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151765</wp:posOffset>
            </wp:positionH>
            <wp:positionV relativeFrom="page">
              <wp:posOffset>257175</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February 1, 2008</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1-8649</w:t>
      </w:r>
    </w:p>
    <w:p>
      <w:pPr>
        <w:spacing w:after="0" w:line="24"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auto"/>
        </w:rPr>
        <w:t>41-0580470</w:t>
      </w:r>
    </w:p>
    <w:p>
      <w:pPr>
        <w:spacing w:after="0" w:line="24"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40" w:space="720"/>
            <w:col w:w="3300"/>
          </w:cols>
          <w:pgMar w:left="240" w:top="1440" w:right="239" w:bottom="1440" w:gutter="0" w:footer="0" w:header="0"/>
          <w:type w:val="continuous"/>
        </w:sect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8111 Lyndale Avenue South</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Telephone number: (952) 888-8801</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70"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S</w:t>
        <w:tab/>
        <w:t>No £</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pacing w:after="0" w:line="190" w:lineRule="exact"/>
        <w:rPr>
          <w:sz w:val="24"/>
          <w:szCs w:val="24"/>
          <w:color w:val="auto"/>
        </w:rPr>
      </w:pPr>
    </w:p>
    <w:p>
      <w:pPr>
        <w:spacing w:after="0"/>
        <w:tabs>
          <w:tab w:leader="none" w:pos="3000" w:val="left"/>
          <w:tab w:leader="none" w:pos="5360" w:val="left"/>
          <w:tab w:leader="none" w:pos="8240" w:val="left"/>
        </w:tabs>
        <w:rPr>
          <w:sz w:val="20"/>
          <w:szCs w:val="20"/>
          <w:color w:val="auto"/>
        </w:rPr>
      </w:pPr>
      <w:r>
        <w:rPr>
          <w:rFonts w:ascii="Arial" w:cs="Arial" w:eastAsia="Arial" w:hAnsi="Arial"/>
          <w:sz w:val="17"/>
          <w:szCs w:val="17"/>
          <w:color w:val="auto"/>
        </w:rPr>
        <w:t>Large accelerated filer S</w:t>
      </w:r>
      <w:r>
        <w:rPr>
          <w:sz w:val="20"/>
          <w:szCs w:val="20"/>
          <w:color w:val="auto"/>
        </w:rPr>
        <w:tab/>
      </w:r>
      <w:r>
        <w:rPr>
          <w:rFonts w:ascii="Arial" w:cs="Arial" w:eastAsia="Arial" w:hAnsi="Arial"/>
          <w:sz w:val="17"/>
          <w:szCs w:val="17"/>
          <w:color w:val="auto"/>
        </w:rPr>
        <w:t>Accelerated filer £</w:t>
      </w:r>
      <w:r>
        <w:rPr>
          <w:sz w:val="20"/>
          <w:szCs w:val="20"/>
          <w:color w:val="auto"/>
        </w:rPr>
        <w:tab/>
      </w:r>
      <w:r>
        <w:rPr>
          <w:rFonts w:ascii="Arial" w:cs="Arial" w:eastAsia="Arial" w:hAnsi="Arial"/>
          <w:sz w:val="17"/>
          <w:szCs w:val="17"/>
          <w:color w:val="auto"/>
        </w:rPr>
        <w:t>Non-accelerated filer £</w:t>
      </w:r>
      <w:r>
        <w:rPr>
          <w:sz w:val="20"/>
          <w:szCs w:val="20"/>
          <w:color w:val="auto"/>
        </w:rPr>
        <w:tab/>
      </w:r>
      <w:r>
        <w:rPr>
          <w:rFonts w:ascii="Arial" w:cs="Arial" w:eastAsia="Arial" w:hAnsi="Arial"/>
          <w:sz w:val="15"/>
          <w:szCs w:val="15"/>
          <w:color w:val="auto"/>
        </w:rPr>
        <w:t>Smaller reporting company £</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39"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S</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outstanding as of February 29, 2008 was 37,463,487.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5868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572135</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5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0" w:type="dxa"/>
            <w:vAlign w:val="bottom"/>
            <w:gridSpan w:val="7"/>
          </w:tcPr>
          <w:p>
            <w:pPr>
              <w:jc w:val="center"/>
              <w:ind w:right="2560"/>
              <w:spacing w:after="0"/>
              <w:rPr>
                <w:sz w:val="20"/>
                <w:szCs w:val="20"/>
                <w:color w:val="auto"/>
              </w:rPr>
            </w:pPr>
            <w:r>
              <w:rPr>
                <w:rFonts w:ascii="Arial" w:cs="Arial" w:eastAsia="Arial" w:hAnsi="Arial"/>
                <w:sz w:val="31"/>
                <w:szCs w:val="31"/>
                <w:b w:val="1"/>
                <w:bCs w:val="1"/>
                <w:color w:val="auto"/>
              </w:rPr>
              <w:t>THE TORO COMPANY</w:t>
            </w:r>
          </w:p>
        </w:tc>
        <w:tc>
          <w:tcPr>
            <w:tcW w:w="1320" w:type="dxa"/>
            <w:vAlign w:val="bottom"/>
          </w:tcPr>
          <w:p>
            <w:pPr>
              <w:spacing w:after="0"/>
              <w:rPr>
                <w:sz w:val="24"/>
                <w:szCs w:val="24"/>
                <w:color w:val="auto"/>
              </w:rPr>
            </w:pPr>
          </w:p>
        </w:tc>
      </w:tr>
      <w:tr>
        <w:trPr>
          <w:trHeight w:val="40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0" w:type="dxa"/>
            <w:vAlign w:val="bottom"/>
            <w:gridSpan w:val="7"/>
          </w:tcPr>
          <w:p>
            <w:pPr>
              <w:jc w:val="center"/>
              <w:ind w:right="2560"/>
              <w:spacing w:after="0"/>
              <w:rPr>
                <w:sz w:val="20"/>
                <w:szCs w:val="20"/>
                <w:color w:val="auto"/>
              </w:rPr>
            </w:pPr>
            <w:r>
              <w:rPr>
                <w:rFonts w:ascii="Arial" w:cs="Arial" w:eastAsia="Arial" w:hAnsi="Arial"/>
                <w:sz w:val="31"/>
                <w:szCs w:val="31"/>
                <w:b w:val="1"/>
                <w:bCs w:val="1"/>
                <w:color w:val="auto"/>
              </w:rPr>
              <w:t>INDEX TO FORM 10-Q</w:t>
            </w:r>
          </w:p>
        </w:tc>
        <w:tc>
          <w:tcPr>
            <w:tcW w:w="1320" w:type="dxa"/>
            <w:vAlign w:val="bottom"/>
          </w:tcPr>
          <w:p>
            <w:pPr>
              <w:spacing w:after="0"/>
              <w:rPr>
                <w:sz w:val="24"/>
                <w:szCs w:val="24"/>
                <w:color w:val="auto"/>
              </w:rPr>
            </w:pPr>
          </w:p>
        </w:tc>
      </w:tr>
      <w:tr>
        <w:trPr>
          <w:trHeight w:val="42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Page Number</w:t>
            </w:r>
          </w:p>
        </w:tc>
      </w:tr>
      <w:tr>
        <w:trPr>
          <w:trHeight w:val="371"/>
        </w:trPr>
        <w:tc>
          <w:tcPr>
            <w:tcW w:w="600" w:type="dxa"/>
            <w:vAlign w:val="bottom"/>
            <w:tcBorders>
              <w:bottom w:val="single" w:sz="8" w:color="0000EE"/>
            </w:tcBorders>
            <w:gridSpan w:val="2"/>
          </w:tcPr>
          <w:p>
            <w:pPr>
              <w:spacing w:after="0"/>
              <w:rPr>
                <w:rFonts w:ascii="Arial" w:cs="Arial" w:eastAsia="Arial" w:hAnsi="Arial"/>
                <w:sz w:val="17"/>
                <w:szCs w:val="17"/>
                <w:b w:val="1"/>
                <w:bCs w:val="1"/>
                <w:color w:val="0000EE"/>
                <w:w w:val="95"/>
              </w:rPr>
            </w:pPr>
            <w:hyperlink w:anchor="page3">
              <w:r>
                <w:rPr>
                  <w:rFonts w:ascii="Arial" w:cs="Arial" w:eastAsia="Arial" w:hAnsi="Arial"/>
                  <w:sz w:val="17"/>
                  <w:szCs w:val="17"/>
                  <w:b w:val="1"/>
                  <w:bCs w:val="1"/>
                  <w:color w:val="0000EE"/>
                  <w:w w:val="95"/>
                </w:rPr>
                <w:t>PART I.</w:t>
              </w:r>
            </w:hyperlink>
          </w:p>
        </w:tc>
        <w:tc>
          <w:tcPr>
            <w:tcW w:w="980" w:type="dxa"/>
            <w:vAlign w:val="bottom"/>
            <w:gridSpan w:val="3"/>
          </w:tcPr>
          <w:p>
            <w:pPr>
              <w:spacing w:after="0"/>
              <w:rPr>
                <w:sz w:val="24"/>
                <w:szCs w:val="24"/>
                <w:color w:val="auto"/>
              </w:rPr>
            </w:pPr>
          </w:p>
        </w:tc>
        <w:tc>
          <w:tcPr>
            <w:tcW w:w="2320" w:type="dxa"/>
            <w:vAlign w:val="bottom"/>
            <w:tcBorders>
              <w:bottom w:val="single" w:sz="8" w:color="0000EE"/>
            </w:tcBorders>
            <w:gridSpan w:val="1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w:t>
              </w:r>
            </w:hyperlink>
          </w:p>
        </w:tc>
        <w:tc>
          <w:tcPr>
            <w:tcW w:w="620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r>
      <w:tr>
        <w:trPr>
          <w:trHeight w:val="389"/>
        </w:trPr>
        <w:tc>
          <w:tcPr>
            <w:tcW w:w="520" w:type="dxa"/>
            <w:vAlign w:val="bottom"/>
          </w:tcPr>
          <w:p>
            <w:pPr>
              <w:spacing w:after="0"/>
              <w:rPr>
                <w:rFonts w:ascii="Arial" w:cs="Arial" w:eastAsia="Arial" w:hAnsi="Arial"/>
                <w:sz w:val="17"/>
                <w:szCs w:val="17"/>
                <w:b w:val="1"/>
                <w:bCs w:val="1"/>
                <w:color w:val="0000EE"/>
                <w:w w:val="92"/>
              </w:rPr>
            </w:pPr>
            <w:hyperlink w:anchor="page3">
              <w:r>
                <w:rPr>
                  <w:rFonts w:ascii="Arial" w:cs="Arial" w:eastAsia="Arial" w:hAnsi="Arial"/>
                  <w:sz w:val="17"/>
                  <w:szCs w:val="17"/>
                  <w:b w:val="1"/>
                  <w:bCs w:val="1"/>
                  <w:color w:val="0000EE"/>
                  <w:w w:val="92"/>
                </w:rPr>
                <w:t>Item 1.</w:t>
              </w:r>
            </w:hyperlink>
          </w:p>
        </w:tc>
        <w:tc>
          <w:tcPr>
            <w:tcW w:w="1060" w:type="dxa"/>
            <w:vAlign w:val="bottom"/>
            <w:gridSpan w:val="4"/>
          </w:tcPr>
          <w:p>
            <w:pPr>
              <w:spacing w:after="0"/>
              <w:rPr>
                <w:sz w:val="24"/>
                <w:szCs w:val="24"/>
                <w:color w:val="auto"/>
              </w:rPr>
            </w:pPr>
          </w:p>
        </w:tc>
        <w:tc>
          <w:tcPr>
            <w:tcW w:w="852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13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20" w:type="dxa"/>
            <w:vAlign w:val="bottom"/>
            <w:gridSpan w:val="18"/>
          </w:tcPr>
          <w:p>
            <w:pPr>
              <w:spacing w:after="0" w:line="185" w:lineRule="exact"/>
              <w:rPr>
                <w:rFonts w:ascii="Arial" w:cs="Arial" w:eastAsia="Arial" w:hAnsi="Arial"/>
                <w:sz w:val="17"/>
                <w:szCs w:val="17"/>
                <w:color w:val="0000EE"/>
                <w:w w:val="91"/>
              </w:rPr>
            </w:pPr>
            <w:hyperlink w:anchor="page3">
              <w:r>
                <w:rPr>
                  <w:rFonts w:ascii="Arial" w:cs="Arial" w:eastAsia="Arial" w:hAnsi="Arial"/>
                  <w:sz w:val="17"/>
                  <w:szCs w:val="17"/>
                  <w:color w:val="0000EE"/>
                  <w:w w:val="91"/>
                </w:rPr>
                <w:t>Condensed Consolidated Statements of Earnings (Unaudited) –Three Months Ended February 1, 2008 and February 2,</w:t>
              </w:r>
            </w:hyperlink>
          </w:p>
        </w:tc>
        <w:tc>
          <w:tcPr>
            <w:tcW w:w="132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89"/>
              </w:rPr>
            </w:pPr>
            <w:hyperlink w:anchor="page3">
              <w:r>
                <w:rPr>
                  <w:rFonts w:ascii="Arial" w:cs="Arial" w:eastAsia="Arial" w:hAnsi="Arial"/>
                  <w:sz w:val="17"/>
                  <w:szCs w:val="17"/>
                  <w:color w:val="0000EE"/>
                  <w:w w:val="89"/>
                </w:rPr>
                <w:t>2007</w:t>
              </w:r>
            </w:hyperlink>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6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color w:val="auto"/>
                <w:w w:val="84"/>
              </w:rPr>
              <w:t>3</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Borders>
              <w:bottom w:val="single" w:sz="8" w:color="0000EE"/>
            </w:tcBorders>
            <w:gridSpan w:val="16"/>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Condensed Consolidated Balance Sheets (Unaudited) - February 1, 2008, February 2, 2007 and October 31, 2007</w:t>
              </w:r>
            </w:hyperlink>
          </w:p>
        </w:tc>
        <w:tc>
          <w:tcPr>
            <w:tcW w:w="480" w:type="dxa"/>
            <w:vAlign w:val="bottom"/>
            <w:gridSpan w:val="2"/>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w w:val="91"/>
              </w:rPr>
            </w:pPr>
            <w:hyperlink w:anchor="page5">
              <w:r>
                <w:rPr>
                  <w:rFonts w:ascii="Arial" w:cs="Arial" w:eastAsia="Arial" w:hAnsi="Arial"/>
                  <w:sz w:val="17"/>
                  <w:szCs w:val="17"/>
                  <w:color w:val="0000EE"/>
                  <w:w w:val="91"/>
                </w:rPr>
                <w:t>Condensed Consolidated Statements of Cash Flows (Unaudited) -Three Months Ended February 1, 2008 and February</w:t>
              </w:r>
            </w:hyperlink>
          </w:p>
        </w:tc>
        <w:tc>
          <w:tcPr>
            <w:tcW w:w="1320" w:type="dxa"/>
            <w:vAlign w:val="bottom"/>
          </w:tcPr>
          <w:p>
            <w:pPr>
              <w:spacing w:after="0"/>
              <w:rPr>
                <w:sz w:val="24"/>
                <w:szCs w:val="24"/>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520" w:type="dxa"/>
            <w:vAlign w:val="bottom"/>
            <w:tcBorders>
              <w:top w:val="single" w:sz="8" w:color="0000EE"/>
              <w:bottom w:val="single" w:sz="8" w:color="0000EE"/>
            </w:tcBorders>
            <w:gridSpan w:val="4"/>
          </w:tcPr>
          <w:p>
            <w:pPr>
              <w:spacing w:after="0" w:line="185" w:lineRule="exact"/>
              <w:rPr>
                <w:rFonts w:ascii="Arial" w:cs="Arial" w:eastAsia="Arial" w:hAnsi="Arial"/>
                <w:sz w:val="17"/>
                <w:szCs w:val="17"/>
                <w:color w:val="0000EE"/>
                <w:w w:val="88"/>
              </w:rPr>
            </w:pPr>
            <w:hyperlink w:anchor="page5">
              <w:r>
                <w:rPr>
                  <w:rFonts w:ascii="Arial" w:cs="Arial" w:eastAsia="Arial" w:hAnsi="Arial"/>
                  <w:sz w:val="17"/>
                  <w:szCs w:val="17"/>
                  <w:color w:val="0000EE"/>
                  <w:w w:val="88"/>
                </w:rPr>
                <w:t>2, 2007</w:t>
              </w:r>
            </w:hyperlink>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6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color w:val="auto"/>
                <w:w w:val="84"/>
              </w:rPr>
              <w:t>5</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Condensed Consolidated Financial Statements (Unaudited)</w:t>
              </w:r>
            </w:hyperlink>
          </w:p>
        </w:tc>
        <w:tc>
          <w:tcPr>
            <w:tcW w:w="3560" w:type="dxa"/>
            <w:vAlign w:val="bottom"/>
            <w:gridSpan w:val="4"/>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8"/>
              </w:rPr>
              <w:t>6-12</w:t>
            </w:r>
          </w:p>
        </w:tc>
      </w:tr>
      <w:tr>
        <w:trPr>
          <w:trHeight w:val="389"/>
        </w:trPr>
        <w:tc>
          <w:tcPr>
            <w:tcW w:w="520" w:type="dxa"/>
            <w:vAlign w:val="bottom"/>
          </w:tcPr>
          <w:p>
            <w:pPr>
              <w:spacing w:after="0"/>
              <w:rPr>
                <w:rFonts w:ascii="Arial" w:cs="Arial" w:eastAsia="Arial" w:hAnsi="Arial"/>
                <w:sz w:val="17"/>
                <w:szCs w:val="17"/>
                <w:b w:val="1"/>
                <w:bCs w:val="1"/>
                <w:color w:val="0000EE"/>
                <w:w w:val="92"/>
              </w:rPr>
            </w:pPr>
            <w:hyperlink w:anchor="page13">
              <w:r>
                <w:rPr>
                  <w:rFonts w:ascii="Arial" w:cs="Arial" w:eastAsia="Arial" w:hAnsi="Arial"/>
                  <w:sz w:val="17"/>
                  <w:szCs w:val="17"/>
                  <w:b w:val="1"/>
                  <w:bCs w:val="1"/>
                  <w:color w:val="0000EE"/>
                  <w:w w:val="92"/>
                </w:rPr>
                <w:t>Item 2.</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Management's Discussion and Analysis of Financial Condition and Results of Operations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13-21</w:t>
            </w:r>
          </w:p>
        </w:tc>
      </w:tr>
      <w:tr>
        <w:trPr>
          <w:trHeight w:val="409"/>
        </w:trPr>
        <w:tc>
          <w:tcPr>
            <w:tcW w:w="520" w:type="dxa"/>
            <w:vAlign w:val="bottom"/>
            <w:tcBorders>
              <w:top w:val="single" w:sz="8" w:color="0000EE"/>
            </w:tcBorders>
          </w:tcPr>
          <w:p>
            <w:pPr>
              <w:spacing w:after="0"/>
              <w:rPr>
                <w:rFonts w:ascii="Arial" w:cs="Arial" w:eastAsia="Arial" w:hAnsi="Arial"/>
                <w:sz w:val="17"/>
                <w:szCs w:val="17"/>
                <w:b w:val="1"/>
                <w:bCs w:val="1"/>
                <w:color w:val="0000EE"/>
                <w:w w:val="92"/>
              </w:rPr>
            </w:pPr>
            <w:hyperlink w:anchor="page22">
              <w:r>
                <w:rPr>
                  <w:rFonts w:ascii="Arial" w:cs="Arial" w:eastAsia="Arial" w:hAnsi="Arial"/>
                  <w:sz w:val="17"/>
                  <w:szCs w:val="17"/>
                  <w:b w:val="1"/>
                  <w:bCs w:val="1"/>
                  <w:color w:val="0000EE"/>
                  <w:w w:val="92"/>
                </w:rPr>
                <w:t>Item 3.</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6100" w:type="dxa"/>
            <w:vAlign w:val="bottom"/>
            <w:tcBorders>
              <w:top w:val="single" w:sz="8" w:color="0000EE"/>
            </w:tcBorders>
            <w:gridSpan w:val="15"/>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Quantitative and Qualitative Disclosures about Market Risk</w:t>
              </w:r>
            </w:hyperlink>
          </w:p>
        </w:tc>
        <w:tc>
          <w:tcPr>
            <w:tcW w:w="212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22-23</w:t>
            </w:r>
          </w:p>
        </w:tc>
      </w:tr>
      <w:tr>
        <w:trPr>
          <w:trHeight w:val="369"/>
        </w:trPr>
        <w:tc>
          <w:tcPr>
            <w:tcW w:w="52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92"/>
              </w:rPr>
            </w:pPr>
            <w:hyperlink w:anchor="page23">
              <w:r>
                <w:rPr>
                  <w:rFonts w:ascii="Arial" w:cs="Arial" w:eastAsia="Arial" w:hAnsi="Arial"/>
                  <w:sz w:val="17"/>
                  <w:szCs w:val="17"/>
                  <w:b w:val="1"/>
                  <w:bCs w:val="1"/>
                  <w:color w:val="0000EE"/>
                  <w:w w:val="92"/>
                </w:rPr>
                <w:t>Item 4.</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88"/>
              </w:rPr>
            </w:pPr>
            <w:hyperlink w:anchor="page23">
              <w:r>
                <w:rPr>
                  <w:rFonts w:ascii="Arial" w:cs="Arial" w:eastAsia="Arial" w:hAnsi="Arial"/>
                  <w:sz w:val="17"/>
                  <w:szCs w:val="17"/>
                  <w:color w:val="0000EE"/>
                  <w:w w:val="88"/>
                </w:rPr>
                <w:t>Controls and Procedures</w:t>
              </w:r>
            </w:hyperlink>
          </w:p>
        </w:tc>
        <w:tc>
          <w:tcPr>
            <w:tcW w:w="2400" w:type="dxa"/>
            <w:vAlign w:val="bottom"/>
            <w:tcBorders>
              <w:top w:val="single" w:sz="8" w:color="0000EE"/>
            </w:tcBorders>
            <w:gridSpan w:val="2"/>
          </w:tcPr>
          <w:p>
            <w:pPr>
              <w:spacing w:after="0"/>
              <w:rPr>
                <w:sz w:val="24"/>
                <w:szCs w:val="24"/>
                <w:color w:val="auto"/>
              </w:rPr>
            </w:pPr>
          </w:p>
        </w:tc>
        <w:tc>
          <w:tcPr>
            <w:tcW w:w="4140" w:type="dxa"/>
            <w:vAlign w:val="bottom"/>
            <w:gridSpan w:val="6"/>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23</w:t>
            </w:r>
          </w:p>
        </w:tc>
      </w:tr>
      <w:tr>
        <w:trPr>
          <w:trHeight w:val="389"/>
        </w:trPr>
        <w:tc>
          <w:tcPr>
            <w:tcW w:w="1580" w:type="dxa"/>
            <w:vAlign w:val="bottom"/>
            <w:gridSpan w:val="5"/>
          </w:tcPr>
          <w:p>
            <w:pPr>
              <w:spacing w:after="0"/>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PART II.</w:t>
              </w:r>
            </w:hyperlink>
          </w:p>
        </w:tc>
        <w:tc>
          <w:tcPr>
            <w:tcW w:w="8520" w:type="dxa"/>
            <w:vAlign w:val="bottom"/>
            <w:gridSpan w:val="19"/>
          </w:tcPr>
          <w:p>
            <w:pPr>
              <w:spacing w:after="0"/>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OTHER INFORMATION:</w:t>
              </w:r>
            </w:hyperlink>
          </w:p>
        </w:tc>
        <w:tc>
          <w:tcPr>
            <w:tcW w:w="1320" w:type="dxa"/>
            <w:vAlign w:val="bottom"/>
          </w:tcPr>
          <w:p>
            <w:pPr>
              <w:spacing w:after="0"/>
              <w:rPr>
                <w:sz w:val="24"/>
                <w:szCs w:val="24"/>
                <w:color w:val="auto"/>
              </w:rPr>
            </w:pPr>
          </w:p>
        </w:tc>
      </w:tr>
      <w:tr>
        <w:trPr>
          <w:trHeight w:val="389"/>
        </w:trPr>
        <w:tc>
          <w:tcPr>
            <w:tcW w:w="520" w:type="dxa"/>
            <w:vAlign w:val="bottom"/>
            <w:tcBorders>
              <w:top w:val="single" w:sz="8" w:color="0000EE"/>
            </w:tcBorders>
          </w:tcPr>
          <w:p>
            <w:pPr>
              <w:spacing w:after="0"/>
              <w:rPr>
                <w:rFonts w:ascii="Arial" w:cs="Arial" w:eastAsia="Arial" w:hAnsi="Arial"/>
                <w:sz w:val="17"/>
                <w:szCs w:val="17"/>
                <w:b w:val="1"/>
                <w:bCs w:val="1"/>
                <w:color w:val="0000EE"/>
                <w:w w:val="92"/>
              </w:rPr>
            </w:pPr>
            <w:hyperlink w:anchor="page23">
              <w:r>
                <w:rPr>
                  <w:rFonts w:ascii="Arial" w:cs="Arial" w:eastAsia="Arial" w:hAnsi="Arial"/>
                  <w:sz w:val="17"/>
                  <w:szCs w:val="17"/>
                  <w:b w:val="1"/>
                  <w:bCs w:val="1"/>
                  <w:color w:val="0000EE"/>
                  <w:w w:val="92"/>
                </w:rPr>
                <w:t>Item 1.</w:t>
              </w:r>
            </w:hyperlink>
          </w:p>
        </w:tc>
        <w:tc>
          <w:tcPr>
            <w:tcW w:w="140" w:type="dxa"/>
            <w:vAlign w:val="bottom"/>
            <w:tcBorders>
              <w:top w:val="single" w:sz="8" w:color="0000EE"/>
            </w:tcBorders>
            <w:gridSpan w:val="3"/>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gridSpan w:val="9"/>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Legal Proceedings</w:t>
              </w:r>
            </w:hyperlink>
          </w:p>
        </w:tc>
        <w:tc>
          <w:tcPr>
            <w:tcW w:w="6560" w:type="dxa"/>
            <w:vAlign w:val="bottom"/>
            <w:gridSpan w:val="9"/>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23-24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89"/>
        </w:trPr>
        <w:tc>
          <w:tcPr>
            <w:tcW w:w="640" w:type="dxa"/>
            <w:vAlign w:val="bottom"/>
            <w:tcBorders>
              <w:bottom w:val="single" w:sz="8" w:color="0000EE"/>
            </w:tcBorders>
            <w:gridSpan w:val="3"/>
          </w:tcPr>
          <w:p>
            <w:pPr>
              <w:spacing w:after="0"/>
              <w:rPr>
                <w:rFonts w:ascii="Arial" w:cs="Arial" w:eastAsia="Arial" w:hAnsi="Arial"/>
                <w:sz w:val="17"/>
                <w:szCs w:val="17"/>
                <w:b w:val="1"/>
                <w:bCs w:val="1"/>
                <w:color w:val="0000EE"/>
                <w:w w:val="93"/>
              </w:rPr>
            </w:pPr>
            <w:hyperlink w:anchor="page24">
              <w:r>
                <w:rPr>
                  <w:rFonts w:ascii="Arial" w:cs="Arial" w:eastAsia="Arial" w:hAnsi="Arial"/>
                  <w:sz w:val="17"/>
                  <w:szCs w:val="17"/>
                  <w:b w:val="1"/>
                  <w:bCs w:val="1"/>
                  <w:color w:val="0000EE"/>
                  <w:w w:val="93"/>
                </w:rPr>
                <w:t>Item 1A.</w:t>
              </w:r>
            </w:hyperlink>
          </w:p>
        </w:tc>
        <w:tc>
          <w:tcPr>
            <w:tcW w:w="9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0000EE"/>
            </w:tcBorders>
            <w:gridSpan w:val="6"/>
          </w:tcPr>
          <w:p>
            <w:pPr>
              <w:spacing w:after="0"/>
              <w:rPr>
                <w:rFonts w:ascii="Arial" w:cs="Arial" w:eastAsia="Arial" w:hAnsi="Arial"/>
                <w:sz w:val="17"/>
                <w:szCs w:val="17"/>
                <w:color w:val="0000EE"/>
                <w:w w:val="88"/>
              </w:rPr>
            </w:pPr>
            <w:hyperlink w:anchor="page24">
              <w:r>
                <w:rPr>
                  <w:rFonts w:ascii="Arial" w:cs="Arial" w:eastAsia="Arial" w:hAnsi="Arial"/>
                  <w:sz w:val="17"/>
                  <w:szCs w:val="17"/>
                  <w:color w:val="0000EE"/>
                  <w:w w:val="88"/>
                </w:rPr>
                <w:t>Risk Factors</w:t>
              </w:r>
            </w:hyperlink>
          </w:p>
        </w:tc>
        <w:tc>
          <w:tcPr>
            <w:tcW w:w="7360" w:type="dxa"/>
            <w:vAlign w:val="bottom"/>
            <w:gridSpan w:val="12"/>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24</w:t>
            </w:r>
          </w:p>
        </w:tc>
      </w:tr>
      <w:tr>
        <w:trPr>
          <w:trHeight w:val="409"/>
        </w:trPr>
        <w:tc>
          <w:tcPr>
            <w:tcW w:w="520" w:type="dxa"/>
            <w:vAlign w:val="bottom"/>
          </w:tcPr>
          <w:p>
            <w:pPr>
              <w:spacing w:after="0"/>
              <w:rPr>
                <w:rFonts w:ascii="Arial" w:cs="Arial" w:eastAsia="Arial" w:hAnsi="Arial"/>
                <w:sz w:val="17"/>
                <w:szCs w:val="17"/>
                <w:b w:val="1"/>
                <w:bCs w:val="1"/>
                <w:color w:val="0000EE"/>
                <w:w w:val="92"/>
              </w:rPr>
            </w:pPr>
            <w:hyperlink w:anchor="page25">
              <w:r>
                <w:rPr>
                  <w:rFonts w:ascii="Arial" w:cs="Arial" w:eastAsia="Arial" w:hAnsi="Arial"/>
                  <w:sz w:val="17"/>
                  <w:szCs w:val="17"/>
                  <w:b w:val="1"/>
                  <w:bCs w:val="1"/>
                  <w:color w:val="0000EE"/>
                  <w:w w:val="92"/>
                </w:rPr>
                <w:t>Item 2.</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Unregistered Sales of Equity Securities and Use of Proceeds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25</w:t>
            </w:r>
          </w:p>
        </w:tc>
      </w:tr>
      <w:tr>
        <w:trPr>
          <w:trHeight w:val="369"/>
        </w:trPr>
        <w:tc>
          <w:tcPr>
            <w:tcW w:w="52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92"/>
              </w:rPr>
            </w:pPr>
            <w:hyperlink w:anchor="page25">
              <w:r>
                <w:rPr>
                  <w:rFonts w:ascii="Arial" w:cs="Arial" w:eastAsia="Arial" w:hAnsi="Arial"/>
                  <w:sz w:val="17"/>
                  <w:szCs w:val="17"/>
                  <w:b w:val="1"/>
                  <w:bCs w:val="1"/>
                  <w:color w:val="0000EE"/>
                  <w:w w:val="92"/>
                </w:rPr>
                <w:t>Item 6.</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4"/>
              </w:rPr>
            </w:pPr>
            <w:hyperlink w:anchor="page25">
              <w:r>
                <w:rPr>
                  <w:rFonts w:ascii="Arial" w:cs="Arial" w:eastAsia="Arial" w:hAnsi="Arial"/>
                  <w:sz w:val="17"/>
                  <w:szCs w:val="17"/>
                  <w:color w:val="0000EE"/>
                  <w:w w:val="94"/>
                </w:rPr>
                <w:t>Exhibits</w:t>
              </w:r>
            </w:hyperlink>
          </w:p>
        </w:tc>
        <w:tc>
          <w:tcPr>
            <w:tcW w:w="3540" w:type="dxa"/>
            <w:vAlign w:val="bottom"/>
            <w:tcBorders>
              <w:top w:val="single" w:sz="8" w:color="0000EE"/>
            </w:tcBorders>
            <w:gridSpan w:val="11"/>
          </w:tcPr>
          <w:p>
            <w:pPr>
              <w:spacing w:after="0"/>
              <w:rPr>
                <w:sz w:val="24"/>
                <w:szCs w:val="24"/>
                <w:color w:val="auto"/>
              </w:rPr>
            </w:pPr>
          </w:p>
        </w:tc>
        <w:tc>
          <w:tcPr>
            <w:tcW w:w="4100" w:type="dxa"/>
            <w:vAlign w:val="bottom"/>
            <w:gridSpan w:val="5"/>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25-26</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Signatures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27</w:t>
            </w:r>
          </w:p>
        </w:tc>
      </w:tr>
      <w:tr>
        <w:trPr>
          <w:trHeight w:val="82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0000EE"/>
            </w:tcBorders>
            <w:gridSpan w:val="4"/>
          </w:tcPr>
          <w:p>
            <w:pPr>
              <w:spacing w:after="0"/>
              <w:rPr>
                <w:sz w:val="24"/>
                <w:szCs w:val="24"/>
                <w:color w:val="auto"/>
              </w:rPr>
            </w:pPr>
          </w:p>
        </w:tc>
        <w:tc>
          <w:tcPr>
            <w:tcW w:w="3360" w:type="dxa"/>
            <w:vAlign w:val="bottom"/>
            <w:gridSpan w:val="8"/>
          </w:tcPr>
          <w:p>
            <w:pPr>
              <w:jc w:val="center"/>
              <w:ind w:left="2795"/>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3"/>
        </w:trPr>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60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4"/>
              </w:rPr>
              <w:t>February 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1"/>
              </w:rPr>
              <w:t>February 2,</w:t>
            </w:r>
          </w:p>
        </w:tc>
        <w:tc>
          <w:tcPr>
            <w:tcW w:w="100" w:type="dxa"/>
            <w:vAlign w:val="bottom"/>
          </w:tcPr>
          <w:p>
            <w:pPr>
              <w:spacing w:after="0"/>
              <w:rPr>
                <w:sz w:val="16"/>
                <w:szCs w:val="16"/>
                <w:color w:val="auto"/>
              </w:rPr>
            </w:pPr>
          </w:p>
        </w:tc>
      </w:tr>
      <w:tr>
        <w:trPr>
          <w:trHeight w:val="223"/>
        </w:trPr>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405,799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379,088</w:t>
            </w: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Cost of sales</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256,662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239,023</w:t>
            </w:r>
          </w:p>
        </w:tc>
      </w:tr>
      <w:tr>
        <w:trPr>
          <w:trHeight w:val="26"/>
        </w:trPr>
        <w:tc>
          <w:tcPr>
            <w:tcW w:w="60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Gross profit</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140,065</w:t>
            </w:r>
          </w:p>
        </w:tc>
      </w:tr>
      <w:tr>
        <w:trPr>
          <w:trHeight w:val="205"/>
        </w:trPr>
        <w:tc>
          <w:tcPr>
            <w:tcW w:w="604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117,117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112,281</w:t>
            </w:r>
          </w:p>
        </w:tc>
      </w:tr>
      <w:tr>
        <w:trPr>
          <w:trHeight w:val="26"/>
        </w:trPr>
        <w:tc>
          <w:tcPr>
            <w:tcW w:w="60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Earnings from operations</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27,784</w:t>
            </w: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Interest expense</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(4,487)</w:t>
            </w: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2,391</w:t>
            </w:r>
          </w:p>
        </w:tc>
      </w:tr>
      <w:tr>
        <w:trPr>
          <w:trHeight w:val="26"/>
        </w:trPr>
        <w:tc>
          <w:tcPr>
            <w:tcW w:w="60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Earnings before income taxes</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28,835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25,688</w:t>
            </w: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7,238</w:t>
            </w:r>
          </w:p>
        </w:tc>
      </w:tr>
      <w:tr>
        <w:trPr>
          <w:trHeight w:val="26"/>
        </w:trPr>
        <w:tc>
          <w:tcPr>
            <w:tcW w:w="60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Net earnings</w:t>
            </w:r>
          </w:p>
        </w:tc>
        <w:tc>
          <w:tcPr>
            <w:tcW w:w="2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18,627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18,450</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Basic net earnings per share of common stock</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0.49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0.45</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Diluted net earnings per share of common stock</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0.47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0.44</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of common</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stock outstanding – Basic</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38,386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41,139</w:t>
            </w:r>
          </w:p>
        </w:tc>
      </w:tr>
      <w:tr>
        <w:trPr>
          <w:trHeight w:val="205"/>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Weighted-average number of shares of common</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outstanding – Diluted</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39,395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ind w:right="-159"/>
        <w:spacing w:after="0"/>
        <w:rPr>
          <w:sz w:val="20"/>
          <w:szCs w:val="20"/>
          <w:color w:val="auto"/>
        </w:rPr>
      </w:pPr>
      <w:r>
        <w:rPr>
          <w:rFonts w:ascii="Arial" w:cs="Arial" w:eastAsia="Arial" w:hAnsi="Arial"/>
          <w:sz w:val="20"/>
          <w:szCs w:val="20"/>
          <w:b w:val="1"/>
          <w:bCs w:val="1"/>
          <w:color w:val="auto"/>
        </w:rPr>
        <w:t>(Dollars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4"/>
              </w:rPr>
              <w:t>February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February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166"/>
        </w:trPr>
        <w:tc>
          <w:tcPr>
            <w:tcW w:w="7440" w:type="dxa"/>
            <w:vAlign w:val="bottom"/>
            <w:gridSpan w:val="3"/>
          </w:tcPr>
          <w:p>
            <w:pPr>
              <w:spacing w:after="0" w:line="167" w:lineRule="exact"/>
              <w:rPr>
                <w:sz w:val="20"/>
                <w:szCs w:val="20"/>
                <w:color w:val="auto"/>
              </w:rPr>
            </w:pPr>
            <w:r>
              <w:rPr>
                <w:rFonts w:ascii="Arial" w:cs="Arial" w:eastAsia="Arial" w:hAnsi="Arial"/>
                <w:sz w:val="17"/>
                <w:szCs w:val="17"/>
                <w:color w:val="auto"/>
              </w:rPr>
              <w:t>ASSETS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
        </w:trPr>
        <w:tc>
          <w:tcPr>
            <w:tcW w:w="620" w:type="dxa"/>
            <w:vAlign w:val="bottom"/>
            <w:tcBorders>
              <w:top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29,762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30,051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62,047</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Receivables, net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344,682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357,165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283,115</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307,415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251,275</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14,626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14,905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10,677</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55,801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57,814</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741,863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765,337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664,928</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Property, plant, and equipment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587,423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552,886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577,082</w:t>
            </w: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416,854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383,582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406,410</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170,569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169,304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170,672</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1,862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5,185</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9,153</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86,064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81,571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86,224</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14,675</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1,031,109</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1,034,436</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950,837</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7440" w:type="dxa"/>
            <w:vAlign w:val="bottom"/>
            <w:gridSpan w:val="3"/>
          </w:tcPr>
          <w:p>
            <w:pPr>
              <w:spacing w:after="0" w:line="192" w:lineRule="exact"/>
              <w:rPr>
                <w:sz w:val="20"/>
                <w:szCs w:val="20"/>
                <w:color w:val="auto"/>
              </w:rPr>
            </w:pPr>
            <w:r>
              <w:rPr>
                <w:rFonts w:ascii="Arial" w:cs="Arial" w:eastAsia="Arial" w:hAnsi="Arial"/>
                <w:sz w:val="17"/>
                <w:szCs w:val="17"/>
                <w:color w:val="auto"/>
              </w:rPr>
              <w:t>LIABILITIES AND STOCKHOLDERS' EQUITY</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1,611</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Short-term debt</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85,800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127,100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372</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106,881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90,966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241,737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230,485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248,521</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539,466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341,470</w:t>
            </w:r>
          </w:p>
        </w:tc>
      </w:tr>
      <w:tr>
        <w:trPr>
          <w:trHeight w:val="205"/>
        </w:trPr>
        <w:tc>
          <w:tcPr>
            <w:tcW w:w="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228,241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227,598</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revenue and other long-term liabilities</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17,086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9,142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11,331</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7440" w:type="dxa"/>
            <w:vAlign w:val="bottom"/>
            <w:gridSpan w:val="3"/>
            <w:shd w:val="clear" w:color="auto" w:fill="CCEEFF"/>
          </w:tcPr>
          <w:p>
            <w:pPr>
              <w:ind w:left="80"/>
              <w:spacing w:after="0" w:line="193" w:lineRule="exact"/>
              <w:rPr>
                <w:sz w:val="20"/>
                <w:szCs w:val="20"/>
                <w:color w:val="auto"/>
              </w:rPr>
            </w:pPr>
            <w:r>
              <w:rPr>
                <w:rFonts w:ascii="Arial" w:cs="Arial" w:eastAsia="Arial" w:hAnsi="Arial"/>
                <w:sz w:val="17"/>
                <w:szCs w:val="17"/>
                <w:color w:val="auto"/>
              </w:rPr>
              <w:t>Preferred stock, par value $1.00, authorized 1,000,000 voting</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and 850,000 non-voting shares, none issued and outstanding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2"/>
        </w:trPr>
        <w:tc>
          <w:tcPr>
            <w:tcW w:w="7440" w:type="dxa"/>
            <w:vAlign w:val="bottom"/>
            <w:gridSpan w:val="3"/>
          </w:tcPr>
          <w:p>
            <w:pPr>
              <w:ind w:left="80"/>
              <w:spacing w:after="0" w:line="193" w:lineRule="exact"/>
              <w:rPr>
                <w:sz w:val="20"/>
                <w:szCs w:val="20"/>
                <w:color w:val="auto"/>
              </w:rPr>
            </w:pPr>
            <w:r>
              <w:rPr>
                <w:rFonts w:ascii="Arial" w:cs="Arial" w:eastAsia="Arial" w:hAnsi="Arial"/>
                <w:sz w:val="17"/>
                <w:szCs w:val="17"/>
                <w:color w:val="auto"/>
              </w:rPr>
              <w:t>Common stock, par value $1.00, authorized 100,000,000 shares,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issued and outstanding 37,450,647 shares as of February 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2008 (net of 16,581,573 treasury shares), 40,224,629 shares as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of February 2, 2007 (net of 13,807,591 treasury shares), and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37,950,831 shares as of October 31, 2007 (net of 16,081,389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treasury shares)</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37,451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40,225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37,951</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351,992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335,384</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(3,387)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(6,389)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(2,897)</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stockholders' equity</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354,138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385,828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370,438</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1,031,109</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1,034,436</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950,837</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4" w:name="page5"/>
    <w:bookmarkEnd w:id="4"/>
    <w:p>
      <w:pPr>
        <w:jc w:val="center"/>
        <w:ind w:left="320"/>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ind w:left="320"/>
        <w:spacing w:after="0"/>
        <w:rPr>
          <w:sz w:val="20"/>
          <w:szCs w:val="20"/>
          <w:color w:val="auto"/>
        </w:rPr>
      </w:pPr>
      <w:r>
        <w:rPr>
          <w:rFonts w:ascii="Arial" w:cs="Arial" w:eastAsia="Arial" w:hAnsi="Arial"/>
          <w:sz w:val="20"/>
          <w:szCs w:val="20"/>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4"/>
              </w:rPr>
              <w:t>February 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1"/>
              </w:rPr>
              <w:t>February 2,</w:t>
            </w:r>
          </w:p>
        </w:tc>
        <w:tc>
          <w:tcPr>
            <w:tcW w:w="100" w:type="dxa"/>
            <w:vAlign w:val="bottom"/>
          </w:tcPr>
          <w:p>
            <w:pPr>
              <w:spacing w:after="0"/>
              <w:rPr>
                <w:sz w:val="16"/>
                <w:szCs w:val="16"/>
                <w:color w:val="auto"/>
              </w:rPr>
            </w:pPr>
          </w:p>
        </w:tc>
      </w:tr>
      <w:tr>
        <w:trPr>
          <w:trHeight w:val="223"/>
        </w:trPr>
        <w:tc>
          <w:tcPr>
            <w:tcW w:w="53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18,450</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Adjustments to reconcile net earnings to net cash</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used in operating activities: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Equity losses from investments</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depreciation and amortization</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10,334</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Gain on disposal of property, plant, and equipment</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a business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Stock-based compensation expense</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1,881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1,944</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decrease in deferred income taxes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 net</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(62,267)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(62,588)</w:t>
            </w:r>
          </w:p>
        </w:tc>
      </w:tr>
      <w:tr>
        <w:trPr>
          <w:trHeight w:val="205"/>
        </w:trPr>
        <w:tc>
          <w:tcPr>
            <w:tcW w:w="5340" w:type="dxa"/>
            <w:vAlign w:val="bottom"/>
          </w:tcPr>
          <w:p>
            <w:pPr>
              <w:ind w:left="300"/>
              <w:spacing w:after="0"/>
              <w:rPr>
                <w:sz w:val="20"/>
                <w:szCs w:val="20"/>
                <w:color w:val="auto"/>
              </w:rPr>
            </w:pPr>
            <w:r>
              <w:rPr>
                <w:rFonts w:ascii="Arial" w:cs="Arial" w:eastAsia="Arial" w:hAnsi="Arial"/>
                <w:sz w:val="17"/>
                <w:szCs w:val="17"/>
                <w:color w:val="auto"/>
              </w:rPr>
              <w:t>Inventories, net</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(46,799)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(67,261)</w:t>
            </w:r>
          </w:p>
        </w:tc>
      </w:tr>
      <w:tr>
        <w:trPr>
          <w:trHeight w:val="205"/>
        </w:trPr>
        <w:tc>
          <w:tcPr>
            <w:tcW w:w="5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assets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(5,737)</w:t>
            </w:r>
          </w:p>
        </w:tc>
      </w:tr>
      <w:tr>
        <w:trPr>
          <w:trHeight w:val="192"/>
        </w:trPr>
        <w:tc>
          <w:tcPr>
            <w:tcW w:w="5340" w:type="dxa"/>
            <w:vAlign w:val="bottom"/>
          </w:tcPr>
          <w:p>
            <w:pPr>
              <w:ind w:left="300"/>
              <w:spacing w:after="0" w:line="193" w:lineRule="exact"/>
              <w:rPr>
                <w:sz w:val="20"/>
                <w:szCs w:val="20"/>
                <w:color w:val="auto"/>
              </w:rPr>
            </w:pPr>
            <w:r>
              <w:rPr>
                <w:rFonts w:ascii="Arial" w:cs="Arial" w:eastAsia="Arial" w:hAnsi="Arial"/>
                <w:sz w:val="17"/>
                <w:szCs w:val="17"/>
                <w:color w:val="auto"/>
                <w:w w:val="96"/>
              </w:rPr>
              <w:t>Accounts payable, accrued liabilities, and deferred revenue and other</w:t>
            </w: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340" w:type="dxa"/>
            <w:vAlign w:val="bottom"/>
          </w:tcPr>
          <w:p>
            <w:pPr>
              <w:ind w:left="400"/>
              <w:spacing w:after="0"/>
              <w:rPr>
                <w:sz w:val="20"/>
                <w:szCs w:val="20"/>
                <w:color w:val="auto"/>
              </w:rPr>
            </w:pPr>
            <w:r>
              <w:rPr>
                <w:rFonts w:ascii="Arial" w:cs="Arial" w:eastAsia="Arial" w:hAnsi="Arial"/>
                <w:sz w:val="17"/>
                <w:szCs w:val="17"/>
                <w:color w:val="auto"/>
              </w:rPr>
              <w:t>long-term liabilities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(6,099)</w:t>
            </w:r>
          </w:p>
        </w:tc>
      </w:tr>
      <w:tr>
        <w:trPr>
          <w:trHeight w:val="26"/>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3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operating activities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(70,030)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(110,854)</w:t>
            </w:r>
          </w:p>
        </w:tc>
      </w:tr>
      <w:tr>
        <w:trPr>
          <w:trHeight w:val="205"/>
        </w:trPr>
        <w:tc>
          <w:tcPr>
            <w:tcW w:w="5340" w:type="dxa"/>
            <w:vAlign w:val="bottom"/>
            <w:tcBorders>
              <w:top w:val="single" w:sz="8" w:color="CCEEFF"/>
            </w:tcBorders>
          </w:tcPr>
          <w:p>
            <w:pPr>
              <w:spacing w:after="0"/>
              <w:rPr>
                <w:sz w:val="17"/>
                <w:szCs w:val="17"/>
                <w:color w:val="auto"/>
              </w:rPr>
            </w:pPr>
          </w:p>
        </w:tc>
        <w:tc>
          <w:tcPr>
            <w:tcW w:w="34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(11,027)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(12,478)</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asset disposals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Increase in investment in affiliates</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(Decrease) increase in other assets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(754)</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Proceeds from sale of a business</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1,152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Acquisitions, net of cash acquired</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(1,088)</w:t>
            </w:r>
          </w:p>
        </w:tc>
      </w:tr>
      <w:tr>
        <w:trPr>
          <w:trHeight w:val="26"/>
        </w:trPr>
        <w:tc>
          <w:tcPr>
            <w:tcW w:w="534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5340" w:type="dxa"/>
            <w:vAlign w:val="bottom"/>
          </w:tcPr>
          <w:p>
            <w:pPr>
              <w:ind w:left="460"/>
              <w:spacing w:after="0"/>
              <w:rPr>
                <w:sz w:val="20"/>
                <w:szCs w:val="20"/>
                <w:color w:val="auto"/>
              </w:rPr>
            </w:pPr>
            <w:r>
              <w:rPr>
                <w:rFonts w:ascii="Arial" w:cs="Arial" w:eastAsia="Arial" w:hAnsi="Arial"/>
                <w:sz w:val="17"/>
                <w:szCs w:val="17"/>
                <w:color w:val="auto"/>
              </w:rPr>
              <w:t>Net cash used in investing activities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(10,953)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(14,273)</w:t>
            </w:r>
          </w:p>
        </w:tc>
      </w:tr>
      <w:tr>
        <w:trPr>
          <w:trHeight w:val="205"/>
        </w:trPr>
        <w:tc>
          <w:tcPr>
            <w:tcW w:w="534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short-term debt</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85,428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126,780</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Repayments of long-term debt</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Excess tax benefits from stock-based awards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2,758</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Proceeds from exercise of stock-based awards</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4,145</w:t>
            </w:r>
          </w:p>
        </w:tc>
      </w:tr>
      <w:tr>
        <w:trPr>
          <w:trHeight w:val="205"/>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Toro common stock</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(31,835)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(29,029)</w:t>
            </w: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Dividends paid on Toro common stock</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(5,737)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(4,929)</w:t>
            </w:r>
          </w:p>
        </w:tc>
      </w:tr>
      <w:tr>
        <w:trPr>
          <w:trHeight w:val="26"/>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3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provided by financing activities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99,725</w:t>
            </w:r>
          </w:p>
        </w:tc>
      </w:tr>
      <w:tr>
        <w:trPr>
          <w:trHeight w:val="205"/>
        </w:trPr>
        <w:tc>
          <w:tcPr>
            <w:tcW w:w="5340" w:type="dxa"/>
            <w:vAlign w:val="bottom"/>
            <w:tcBorders>
              <w:top w:val="single" w:sz="8" w:color="CCEEFF"/>
            </w:tcBorders>
          </w:tcPr>
          <w:p>
            <w:pPr>
              <w:spacing w:after="0"/>
              <w:rPr>
                <w:sz w:val="17"/>
                <w:szCs w:val="17"/>
                <w:color w:val="auto"/>
              </w:rPr>
            </w:pPr>
          </w:p>
        </w:tc>
        <w:tc>
          <w:tcPr>
            <w:tcW w:w="34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rates on cash</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r>
      <w:tr>
        <w:trPr>
          <w:trHeight w:val="205"/>
        </w:trPr>
        <w:tc>
          <w:tcPr>
            <w:tcW w:w="5340" w:type="dxa"/>
            <w:vAlign w:val="bottom"/>
            <w:tcBorders>
              <w:top w:val="single" w:sz="8" w:color="CCEEFF"/>
            </w:tcBorders>
          </w:tcPr>
          <w:p>
            <w:pPr>
              <w:spacing w:after="0"/>
              <w:rPr>
                <w:sz w:val="17"/>
                <w:szCs w:val="17"/>
                <w:color w:val="auto"/>
              </w:rPr>
            </w:pPr>
          </w:p>
        </w:tc>
        <w:tc>
          <w:tcPr>
            <w:tcW w:w="34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(32,285)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(25,472)</w:t>
            </w:r>
          </w:p>
        </w:tc>
      </w:tr>
      <w:tr>
        <w:trPr>
          <w:trHeight w:val="205"/>
        </w:trPr>
        <w:tc>
          <w:tcPr>
            <w:tcW w:w="5340" w:type="dxa"/>
            <w:vAlign w:val="bottom"/>
          </w:tcPr>
          <w:p>
            <w:pPr>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62,047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55,523</w:t>
            </w:r>
          </w:p>
        </w:tc>
      </w:tr>
      <w:tr>
        <w:trPr>
          <w:trHeight w:val="26"/>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as of the end of the fiscal period</w:t>
            </w:r>
          </w:p>
        </w:tc>
        <w:tc>
          <w:tcPr>
            <w:tcW w:w="34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30,051</w:t>
            </w:r>
          </w:p>
        </w:tc>
      </w:tr>
      <w:tr>
        <w:trPr>
          <w:trHeight w:val="196"/>
        </w:trPr>
        <w:tc>
          <w:tcPr>
            <w:tcW w:w="5340" w:type="dxa"/>
            <w:vAlign w:val="bottom"/>
            <w:tcBorders>
              <w:top w:val="single" w:sz="8" w:color="CCEEFF"/>
            </w:tcBorders>
          </w:tcPr>
          <w:p>
            <w:pPr>
              <w:spacing w:after="0"/>
              <w:rPr>
                <w:sz w:val="17"/>
                <w:szCs w:val="17"/>
                <w:color w:val="auto"/>
              </w:rPr>
            </w:pPr>
          </w:p>
        </w:tc>
        <w:tc>
          <w:tcPr>
            <w:tcW w:w="34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issued in connection with an acquisition</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6"/>
        </w:trPr>
        <w:tc>
          <w:tcPr>
            <w:tcW w:w="5340" w:type="dxa"/>
            <w:vAlign w:val="bottom"/>
            <w:tcBorders>
              <w:top w:val="single" w:sz="8" w:color="CCEEFF"/>
            </w:tcBorders>
          </w:tcPr>
          <w:p>
            <w:pPr>
              <w:spacing w:after="0"/>
              <w:rPr>
                <w:sz w:val="17"/>
                <w:szCs w:val="17"/>
                <w:color w:val="auto"/>
              </w:rPr>
            </w:pPr>
          </w:p>
        </w:tc>
        <w:tc>
          <w:tcPr>
            <w:tcW w:w="34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w w:val="95"/>
              </w:rPr>
              <w:t>See accompanying notes to condensed consolidated financial statements.</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574"/>
        </w:trPr>
        <w:tc>
          <w:tcPr>
            <w:tcW w:w="5340" w:type="dxa"/>
            <w:vAlign w:val="bottom"/>
          </w:tcPr>
          <w:p>
            <w:pPr>
              <w:spacing w:after="0"/>
              <w:rPr>
                <w:sz w:val="24"/>
                <w:szCs w:val="24"/>
                <w:color w:val="auto"/>
              </w:rPr>
            </w:pPr>
          </w:p>
        </w:tc>
        <w:tc>
          <w:tcPr>
            <w:tcW w:w="3460" w:type="dxa"/>
            <w:vAlign w:val="bottom"/>
          </w:tcPr>
          <w:p>
            <w:pPr>
              <w:jc w:val="right"/>
              <w:ind w:right="2955"/>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53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jc w:val="center"/>
        <w:ind w:left="440" w:right="2560"/>
        <w:spacing w:after="0" w:line="258" w:lineRule="auto"/>
        <w:rPr>
          <w:sz w:val="20"/>
          <w:szCs w:val="20"/>
          <w:color w:val="auto"/>
        </w:rPr>
      </w:pPr>
      <w:r>
        <w:rPr>
          <w:rFonts w:ascii="Arial" w:cs="Arial" w:eastAsia="Arial" w:hAnsi="Arial"/>
          <w:sz w:val="20"/>
          <w:szCs w:val="20"/>
          <w:b w:val="1"/>
          <w:bCs w:val="1"/>
          <w:color w:val="auto"/>
        </w:rPr>
        <w:t>THE TORO COMPANY AND SUBSIDIARIES Notes to Condensed Consolidated Financial Statements (Unaudited) February 1, 2008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4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February 1, 2008 cannot be annualized to determine the expected results for the fiscal year ending October 31, 2008.</w:t>
      </w:r>
    </w:p>
    <w:p>
      <w:pPr>
        <w:spacing w:after="0" w:line="2" w:lineRule="exact"/>
        <w:rPr>
          <w:sz w:val="20"/>
          <w:szCs w:val="20"/>
          <w:color w:val="auto"/>
        </w:rPr>
      </w:pPr>
    </w:p>
    <w:p>
      <w:pPr>
        <w:ind w:right="40" w:firstLine="210"/>
        <w:spacing w:after="0" w:line="251" w:lineRule="auto"/>
        <w:rPr>
          <w:sz w:val="20"/>
          <w:szCs w:val="20"/>
          <w:color w:val="auto"/>
        </w:rPr>
      </w:pPr>
      <w:r>
        <w:rPr>
          <w:rFonts w:ascii="Arial" w:cs="Arial" w:eastAsia="Arial" w:hAnsi="Arial"/>
          <w:sz w:val="17"/>
          <w:szCs w:val="17"/>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firstLine="213"/>
        <w:spacing w:after="0" w:line="262" w:lineRule="auto"/>
        <w:rPr>
          <w:sz w:val="20"/>
          <w:szCs w:val="20"/>
          <w:color w:val="auto"/>
        </w:rPr>
      </w:pPr>
      <w:r>
        <w:rPr>
          <w:rFonts w:ascii="Arial" w:cs="Arial" w:eastAsia="Arial" w:hAnsi="Arial"/>
          <w:sz w:val="17"/>
          <w:szCs w:val="17"/>
          <w:color w:val="auto"/>
        </w:rPr>
        <w:t>For further information, refer to the consolidated financial statements and notes included in the company’s Annual Report on Form 10-K for the fiscal year ended October 31, 2007. The policies described in that report are used for preparing quarterly reports.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43"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In preparing the consolidated financial statements in conformity with U.S. generally accepted accounting principles,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most recent Annual Report on Form 10-K describe various elements of the financial statements and the assumptions made in determining specific amounts.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and Divestiture</w:t>
      </w:r>
    </w:p>
    <w:p>
      <w:pPr>
        <w:spacing w:after="0" w:line="243"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On December 6, 2007, the company completed the purchase of Turf Guard™ wireless monitoring technology from JLH Labs, LLC, a leader in wireless soil monitoring technology. The Turf Guard system is designed to measure soil moisture, salinity and temperature through buried wireless sensors that communicate data to an internet server for processing and presentation to a user through the web. In accordance with the terms of the asset purchase agreement, the company may be obligated to make earn-out payments to JLH Labs, LLC over the five-year period ending October 31, 2012 based on the financial results of Turf Guard systems.</w:t>
      </w:r>
    </w:p>
    <w:p>
      <w:pPr>
        <w:ind w:left="220"/>
        <w:spacing w:after="0"/>
        <w:rPr>
          <w:sz w:val="20"/>
          <w:szCs w:val="20"/>
          <w:color w:val="auto"/>
        </w:rPr>
      </w:pPr>
      <w:r>
        <w:rPr>
          <w:rFonts w:ascii="Arial" w:cs="Arial" w:eastAsia="Arial" w:hAnsi="Arial"/>
          <w:sz w:val="16"/>
          <w:szCs w:val="16"/>
          <w:color w:val="auto"/>
        </w:rPr>
        <w:t>During the first quarter of fiscal 2008, the company completed the sale of a portion of the operations of one of our company-owned distributorships.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6089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20955"/>
                    </a:xfrm>
                    <a:prstGeom prst="rect">
                      <a:avLst/>
                    </a:prstGeom>
                    <a:noFill/>
                  </pic:spPr>
                </pic:pic>
              </a:graphicData>
            </a:graphic>
          </wp:anchor>
        </w:drawing>
      </w:r>
    </w:p>
    <w:p>
      <w:pPr>
        <w:sectPr>
          <w:pgSz w:w="11900" w:h="16838" w:orient="portrait"/>
          <w:cols w:equalWidth="0" w:num="1">
            <w:col w:w="11240"/>
          </w:cols>
          <w:pgMar w:left="240" w:top="485"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880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8800" w:type="dxa"/>
            <w:vAlign w:val="bottom"/>
          </w:tcPr>
          <w:p>
            <w:pPr>
              <w:spacing w:after="0"/>
              <w:rPr>
                <w:sz w:val="20"/>
                <w:szCs w:val="20"/>
                <w:color w:val="auto"/>
              </w:rPr>
            </w:pPr>
            <w:r>
              <w:rPr>
                <w:rFonts w:ascii="Arial" w:cs="Arial" w:eastAsia="Arial" w:hAnsi="Arial"/>
                <w:sz w:val="17"/>
                <w:szCs w:val="17"/>
                <w:color w:val="auto"/>
              </w:rPr>
              <w:t>Comprehensive income and the components of other comprehensive income (loss) were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880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4"/>
              </w:rPr>
              <w:t>February 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1"/>
              </w:rPr>
              <w:t>February 2,</w:t>
            </w:r>
          </w:p>
        </w:tc>
        <w:tc>
          <w:tcPr>
            <w:tcW w:w="100" w:type="dxa"/>
            <w:vAlign w:val="bottom"/>
          </w:tcPr>
          <w:p>
            <w:pPr>
              <w:spacing w:after="0"/>
              <w:rPr>
                <w:sz w:val="16"/>
                <w:szCs w:val="16"/>
                <w:color w:val="auto"/>
              </w:rPr>
            </w:pPr>
          </w:p>
        </w:tc>
      </w:tr>
      <w:tr>
        <w:trPr>
          <w:trHeight w:val="223"/>
        </w:trPr>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18,627</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18,450</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Cumulative translation adjustments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w:t>
            </w:r>
          </w:p>
        </w:tc>
      </w:tr>
      <w:tr>
        <w:trPr>
          <w:trHeight w:val="192"/>
        </w:trPr>
        <w:tc>
          <w:tcPr>
            <w:tcW w:w="8800" w:type="dxa"/>
            <w:vAlign w:val="bottom"/>
          </w:tcPr>
          <w:p>
            <w:pPr>
              <w:ind w:left="300"/>
              <w:spacing w:after="0" w:line="193" w:lineRule="exact"/>
              <w:rPr>
                <w:sz w:val="20"/>
                <w:szCs w:val="20"/>
                <w:color w:val="auto"/>
              </w:rPr>
            </w:pPr>
            <w:r>
              <w:rPr>
                <w:rFonts w:ascii="Arial" w:cs="Arial" w:eastAsia="Arial" w:hAnsi="Arial"/>
                <w:sz w:val="17"/>
                <w:szCs w:val="17"/>
                <w:color w:val="auto"/>
              </w:rPr>
              <w:t>Minimum pension liability adjustment,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800" w:type="dxa"/>
            <w:vAlign w:val="bottom"/>
          </w:tcPr>
          <w:p>
            <w:pPr>
              <w:ind w:left="440"/>
              <w:spacing w:after="0"/>
              <w:rPr>
                <w:sz w:val="20"/>
                <w:szCs w:val="20"/>
                <w:color w:val="auto"/>
              </w:rPr>
            </w:pPr>
            <w:r>
              <w:rPr>
                <w:rFonts w:ascii="Arial" w:cs="Arial" w:eastAsia="Arial" w:hAnsi="Arial"/>
                <w:sz w:val="17"/>
                <w:szCs w:val="17"/>
                <w:color w:val="auto"/>
              </w:rPr>
              <w:t>net of tax</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8800" w:type="dxa"/>
            <w:vAlign w:val="bottom"/>
            <w:shd w:val="clear" w:color="auto" w:fill="CCEEFF"/>
          </w:tcPr>
          <w:p>
            <w:pPr>
              <w:ind w:left="300"/>
              <w:spacing w:after="0" w:line="193" w:lineRule="exact"/>
              <w:rPr>
                <w:sz w:val="20"/>
                <w:szCs w:val="20"/>
                <w:color w:val="auto"/>
              </w:rPr>
            </w:pPr>
            <w:r>
              <w:rPr>
                <w:rFonts w:ascii="Arial" w:cs="Arial" w:eastAsia="Arial" w:hAnsi="Arial"/>
                <w:sz w:val="17"/>
                <w:szCs w:val="17"/>
                <w:color w:val="auto"/>
              </w:rPr>
              <w:t>Unrealized gain (loss) on derivative</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instruments, net of tax</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r>
      <w:tr>
        <w:trPr>
          <w:trHeight w:val="26"/>
        </w:trPr>
        <w:tc>
          <w:tcPr>
            <w:tcW w:w="88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Comprehensive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18,137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18,910</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3"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color w:val="auto"/>
        </w:rPr>
        <w:t>The company accounts for stock-based compensation awards in accordance with the provisions of Statement of Financial Accounting Standards (SFAS) No. 123 (Revised 2004), “Share-Based Payment.” During the first quarter of fiscal 2008, options were granted with an exercise price equal to the market price of the company’s common stock on the date of grant. For certain non-officer employees, the options vest in full two years from the date of grant and have a five-year term. For officers and members of our Board of Directors, the options vest one-third each year over a three-year period and have a ten-year term. Compensation expense equal to the grant date fair value is recognized for these awards over the vesting period. The company also issues performance share awards to officers and other key employees. The company determines the fair value of these performance share awards as of the date of grant and recognizes the expense over the three-year vesting period. Total compensation expense for options and performance share awards was $1.9 million for both first quarters of fiscal 2008 and 2007.</w:t>
      </w:r>
    </w:p>
    <w:p>
      <w:pPr>
        <w:ind w:right="160" w:firstLine="210"/>
        <w:spacing w:after="0" w:line="291" w:lineRule="auto"/>
        <w:rPr>
          <w:sz w:val="20"/>
          <w:szCs w:val="20"/>
          <w:color w:val="auto"/>
        </w:rPr>
      </w:pPr>
      <w:r>
        <w:rPr>
          <w:rFonts w:ascii="Arial" w:cs="Arial" w:eastAsia="Arial" w:hAnsi="Arial"/>
          <w:sz w:val="15"/>
          <w:szCs w:val="15"/>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22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2008</w:t>
            </w:r>
          </w:p>
        </w:tc>
        <w:tc>
          <w:tcPr>
            <w:tcW w:w="260" w:type="dxa"/>
            <w:vAlign w:val="bottom"/>
          </w:tcPr>
          <w:p>
            <w:pPr>
              <w:spacing w:after="0"/>
              <w:rPr>
                <w:sz w:val="19"/>
                <w:szCs w:val="19"/>
                <w:color w:val="auto"/>
              </w:rPr>
            </w:pPr>
          </w:p>
        </w:tc>
        <w:tc>
          <w:tcPr>
            <w:tcW w:w="23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2007</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option in years</w:t>
            </w:r>
          </w:p>
        </w:tc>
        <w:tc>
          <w:tcPr>
            <w:tcW w:w="22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2"/>
              </w:rPr>
              <w:t>3 – 6.5</w:t>
            </w:r>
          </w:p>
        </w:tc>
        <w:tc>
          <w:tcPr>
            <w:tcW w:w="260" w:type="dxa"/>
            <w:vAlign w:val="bottom"/>
            <w:shd w:val="clear" w:color="auto" w:fill="CCEEFF"/>
          </w:tcPr>
          <w:p>
            <w:pPr>
              <w:spacing w:after="0"/>
              <w:rPr>
                <w:sz w:val="17"/>
                <w:szCs w:val="17"/>
                <w:color w:val="auto"/>
              </w:rPr>
            </w:pPr>
          </w:p>
        </w:tc>
        <w:tc>
          <w:tcPr>
            <w:tcW w:w="236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2"/>
              </w:rPr>
              <w:t>3 – 6.5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volatility</w:t>
            </w:r>
          </w:p>
        </w:tc>
        <w:tc>
          <w:tcPr>
            <w:tcW w:w="2240" w:type="dxa"/>
            <w:vAlign w:val="bottom"/>
          </w:tcPr>
          <w:p>
            <w:pPr>
              <w:jc w:val="right"/>
              <w:ind w:right="475"/>
              <w:spacing w:after="0"/>
              <w:rPr>
                <w:sz w:val="20"/>
                <w:szCs w:val="20"/>
                <w:color w:val="auto"/>
              </w:rPr>
            </w:pPr>
            <w:r>
              <w:rPr>
                <w:rFonts w:ascii="Arial" w:cs="Arial" w:eastAsia="Arial" w:hAnsi="Arial"/>
                <w:sz w:val="17"/>
                <w:szCs w:val="17"/>
                <w:color w:val="auto"/>
              </w:rPr>
              <w:t>24.84% - 25.75%</w:t>
            </w:r>
          </w:p>
        </w:tc>
        <w:tc>
          <w:tcPr>
            <w:tcW w:w="2620" w:type="dxa"/>
            <w:vAlign w:val="bottom"/>
            <w:gridSpan w:val="2"/>
          </w:tcPr>
          <w:p>
            <w:pPr>
              <w:jc w:val="right"/>
              <w:ind w:right="535"/>
              <w:spacing w:after="0"/>
              <w:rPr>
                <w:sz w:val="20"/>
                <w:szCs w:val="20"/>
                <w:color w:val="auto"/>
              </w:rPr>
            </w:pPr>
            <w:r>
              <w:rPr>
                <w:rFonts w:ascii="Arial" w:cs="Arial" w:eastAsia="Arial" w:hAnsi="Arial"/>
                <w:sz w:val="17"/>
                <w:szCs w:val="17"/>
                <w:color w:val="auto"/>
              </w:rPr>
              <w:t>24.96% - 26.44%</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22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0"/>
              </w:rPr>
              <w:t>25.26%</w:t>
            </w:r>
          </w:p>
        </w:tc>
        <w:tc>
          <w:tcPr>
            <w:tcW w:w="26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0"/>
              </w:rPr>
              <w:t>25.65%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240" w:type="dxa"/>
            <w:vAlign w:val="bottom"/>
          </w:tcPr>
          <w:p>
            <w:pPr>
              <w:jc w:val="right"/>
              <w:ind w:right="595"/>
              <w:spacing w:after="0"/>
              <w:rPr>
                <w:sz w:val="20"/>
                <w:szCs w:val="20"/>
                <w:color w:val="auto"/>
              </w:rPr>
            </w:pPr>
            <w:r>
              <w:rPr>
                <w:rFonts w:ascii="Arial" w:cs="Arial" w:eastAsia="Arial" w:hAnsi="Arial"/>
                <w:sz w:val="17"/>
                <w:szCs w:val="17"/>
                <w:color w:val="auto"/>
              </w:rPr>
              <w:t>3.10% - 4.08%</w:t>
            </w:r>
          </w:p>
        </w:tc>
        <w:tc>
          <w:tcPr>
            <w:tcW w:w="2620" w:type="dxa"/>
            <w:vAlign w:val="bottom"/>
            <w:gridSpan w:val="2"/>
          </w:tcPr>
          <w:p>
            <w:pPr>
              <w:jc w:val="right"/>
              <w:ind w:right="655"/>
              <w:spacing w:after="0"/>
              <w:rPr>
                <w:sz w:val="20"/>
                <w:szCs w:val="20"/>
                <w:color w:val="auto"/>
              </w:rPr>
            </w:pPr>
            <w:r>
              <w:rPr>
                <w:rFonts w:ascii="Arial" w:cs="Arial" w:eastAsia="Arial" w:hAnsi="Arial"/>
                <w:sz w:val="17"/>
                <w:szCs w:val="17"/>
                <w:color w:val="auto"/>
              </w:rPr>
              <w:t>4.42% - 4.53%</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2240" w:type="dxa"/>
            <w:vAlign w:val="bottom"/>
            <w:shd w:val="clear" w:color="auto" w:fill="CCEEFF"/>
          </w:tcPr>
          <w:p>
            <w:pPr>
              <w:jc w:val="center"/>
              <w:ind w:right="95"/>
              <w:spacing w:after="0"/>
              <w:rPr>
                <w:sz w:val="20"/>
                <w:szCs w:val="20"/>
                <w:color w:val="auto"/>
              </w:rPr>
            </w:pPr>
            <w:r>
              <w:rPr>
                <w:rFonts w:ascii="Arial" w:cs="Arial" w:eastAsia="Arial" w:hAnsi="Arial"/>
                <w:sz w:val="17"/>
                <w:szCs w:val="17"/>
                <w:color w:val="auto"/>
                <w:w w:val="91"/>
              </w:rPr>
              <w:t>0.92%- 0.95%</w:t>
            </w:r>
          </w:p>
        </w:tc>
        <w:tc>
          <w:tcPr>
            <w:tcW w:w="262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1"/>
              </w:rPr>
              <w:t>0.78%- 0.90%</w:t>
            </w:r>
          </w:p>
        </w:tc>
      </w:tr>
      <w:tr>
        <w:trPr>
          <w:trHeight w:val="216"/>
        </w:trPr>
        <w:tc>
          <w:tcPr>
            <w:tcW w:w="6560" w:type="dxa"/>
            <w:vAlign w:val="bottom"/>
          </w:tcPr>
          <w:p>
            <w:pPr>
              <w:spacing w:after="0"/>
              <w:rPr>
                <w:sz w:val="20"/>
                <w:szCs w:val="20"/>
                <w:color w:val="auto"/>
              </w:rPr>
            </w:pPr>
            <w:r>
              <w:rPr>
                <w:rFonts w:ascii="Arial" w:cs="Arial" w:eastAsia="Arial" w:hAnsi="Arial"/>
                <w:sz w:val="17"/>
                <w:szCs w:val="17"/>
                <w:color w:val="auto"/>
              </w:rPr>
              <w:t>Weighted-average dividend yield</w:t>
            </w:r>
          </w:p>
        </w:tc>
        <w:tc>
          <w:tcPr>
            <w:tcW w:w="2240" w:type="dxa"/>
            <w:vAlign w:val="bottom"/>
          </w:tcPr>
          <w:p>
            <w:pPr>
              <w:jc w:val="center"/>
              <w:ind w:right="75"/>
              <w:spacing w:after="0"/>
              <w:rPr>
                <w:sz w:val="20"/>
                <w:szCs w:val="20"/>
                <w:color w:val="auto"/>
              </w:rPr>
            </w:pPr>
            <w:r>
              <w:rPr>
                <w:rFonts w:ascii="Arial" w:cs="Arial" w:eastAsia="Arial" w:hAnsi="Arial"/>
                <w:sz w:val="17"/>
                <w:szCs w:val="17"/>
                <w:color w:val="auto"/>
                <w:w w:val="91"/>
              </w:rPr>
              <w:t>0.94%</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0.84%</w:t>
            </w:r>
          </w:p>
        </w:tc>
      </w:tr>
    </w:tbl>
    <w:p>
      <w:pPr>
        <w:spacing w:after="0" w:line="207"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The weighted-average fair value of options granted during the first quarters of fiscal 2008 and 2007 was $13.90 per share and $12.33 per share, respectively. The fair value of performance share awards granted during the first quarters of fiscal 2008 and 2007 was $58.96 per share and $44.90 per share,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based on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February 1,</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February 2,</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October 31,</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Raw materials and work in process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74,348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74,894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68,367</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Finished goods and service parts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282,049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292,264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242,965</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356,397</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367,158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311,332</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Less: LIFO</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42,889</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40,860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42,889</w:t>
            </w:r>
          </w:p>
        </w:tc>
        <w:tc>
          <w:tcPr>
            <w:tcW w:w="0" w:type="dxa"/>
            <w:vAlign w:val="bottom"/>
          </w:tcPr>
          <w:p>
            <w:pPr>
              <w:spacing w:after="0"/>
              <w:rPr>
                <w:sz w:val="1"/>
                <w:szCs w:val="1"/>
                <w:color w:val="auto"/>
              </w:rPr>
            </w:pPr>
          </w:p>
        </w:tc>
      </w:tr>
      <w:tr>
        <w:trPr>
          <w:trHeight w:val="205"/>
        </w:trPr>
        <w:tc>
          <w:tcPr>
            <w:tcW w:w="38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Other reserves</w:t>
            </w: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17,585</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18,883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17,168</w:t>
            </w:r>
          </w:p>
        </w:tc>
        <w:tc>
          <w:tcPr>
            <w:tcW w:w="0" w:type="dxa"/>
            <w:vAlign w:val="bottom"/>
          </w:tcPr>
          <w:p>
            <w:pPr>
              <w:spacing w:after="0"/>
              <w:rPr>
                <w:sz w:val="1"/>
                <w:szCs w:val="1"/>
                <w:color w:val="auto"/>
              </w:rPr>
            </w:pPr>
          </w:p>
        </w:tc>
      </w:tr>
      <w:tr>
        <w:trPr>
          <w:trHeight w:val="26"/>
        </w:trPr>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295,923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307,415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251,275</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4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440" w:type="dxa"/>
            <w:vAlign w:val="bottom"/>
            <w:gridSpan w:val="3"/>
          </w:tcPr>
          <w:p>
            <w:pPr>
              <w:spacing w:after="0"/>
              <w:rPr>
                <w:sz w:val="20"/>
                <w:szCs w:val="20"/>
                <w:color w:val="auto"/>
              </w:rPr>
            </w:pPr>
            <w:r>
              <w:rPr>
                <w:rFonts w:ascii="Arial" w:cs="Arial" w:eastAsia="Arial" w:hAnsi="Arial"/>
                <w:sz w:val="17"/>
                <w:szCs w:val="17"/>
                <w:color w:val="auto"/>
                <w:w w:val="92"/>
              </w:rPr>
              <w:t>Reconciliations of basic and diluted weighted-average shares of common stock outstanding are as follows: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192"/>
        </w:trPr>
        <w:tc>
          <w:tcPr>
            <w:tcW w:w="7440" w:type="dxa"/>
            <w:vAlign w:val="bottom"/>
            <w:gridSpan w:val="3"/>
          </w:tcPr>
          <w:p>
            <w:pPr>
              <w:spacing w:after="0" w:line="193" w:lineRule="exact"/>
              <w:rPr>
                <w:sz w:val="20"/>
                <w:szCs w:val="20"/>
                <w:color w:val="auto"/>
              </w:rPr>
            </w:pPr>
            <w:r>
              <w:rPr>
                <w:rFonts w:ascii="Arial" w:cs="Arial" w:eastAsia="Arial" w:hAnsi="Arial"/>
                <w:sz w:val="17"/>
                <w:szCs w:val="17"/>
                <w:color w:val="auto"/>
              </w:rPr>
              <w:t>(Shares in thousands)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3" w:lineRule="exact"/>
              <w:rPr>
                <w:sz w:val="20"/>
                <w:szCs w:val="20"/>
                <w:color w:val="auto"/>
              </w:rPr>
            </w:pPr>
            <w:r>
              <w:rPr>
                <w:rFonts w:ascii="Arial" w:cs="Arial" w:eastAsia="Arial" w:hAnsi="Arial"/>
                <w:sz w:val="17"/>
                <w:szCs w:val="17"/>
                <w:color w:val="auto"/>
                <w:w w:val="91"/>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5"/>
              <w:spacing w:after="0" w:line="193" w:lineRule="exact"/>
              <w:rPr>
                <w:sz w:val="20"/>
                <w:szCs w:val="20"/>
                <w:color w:val="auto"/>
              </w:rPr>
            </w:pPr>
            <w:r>
              <w:rPr>
                <w:rFonts w:ascii="Arial" w:cs="Arial" w:eastAsia="Arial" w:hAnsi="Arial"/>
                <w:sz w:val="17"/>
                <w:szCs w:val="17"/>
                <w:color w:val="auto"/>
                <w:w w:val="89"/>
              </w:rPr>
              <w:t>February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440" w:type="dxa"/>
            <w:vAlign w:val="bottom"/>
            <w:gridSpan w:val="3"/>
          </w:tcPr>
          <w:p>
            <w:pPr>
              <w:spacing w:after="0" w:line="179" w:lineRule="exact"/>
              <w:rPr>
                <w:sz w:val="20"/>
                <w:szCs w:val="20"/>
                <w:color w:val="auto"/>
              </w:rPr>
            </w:pPr>
            <w:r>
              <w:rPr>
                <w:rFonts w:ascii="Arial" w:cs="Arial" w:eastAsia="Arial" w:hAnsi="Arial"/>
                <w:sz w:val="17"/>
                <w:szCs w:val="17"/>
                <w:i w:val="1"/>
                <w:iCs w:val="1"/>
                <w:color w:val="auto"/>
              </w:rPr>
              <w:t>Basic</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75"/>
              <w:spacing w:after="0" w:line="179" w:lineRule="exact"/>
              <w:rPr>
                <w:sz w:val="20"/>
                <w:szCs w:val="20"/>
                <w:color w:val="auto"/>
              </w:rPr>
            </w:pPr>
            <w:r>
              <w:rPr>
                <w:rFonts w:ascii="Arial" w:cs="Arial" w:eastAsia="Arial" w:hAnsi="Arial"/>
                <w:sz w:val="17"/>
                <w:szCs w:val="17"/>
                <w:color w:val="auto"/>
                <w:w w:val="89"/>
              </w:rPr>
              <w:t>2008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35"/>
              <w:spacing w:after="0" w:line="179" w:lineRule="exact"/>
              <w:rPr>
                <w:sz w:val="20"/>
                <w:szCs w:val="20"/>
                <w:color w:val="auto"/>
              </w:rPr>
            </w:pPr>
            <w:r>
              <w:rPr>
                <w:rFonts w:ascii="Arial" w:cs="Arial" w:eastAsia="Arial" w:hAnsi="Arial"/>
                <w:sz w:val="17"/>
                <w:szCs w:val="17"/>
                <w:color w:val="auto"/>
                <w:w w:val="89"/>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Weighted-average number of shares of common stock</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38,362</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41,058</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Assumed issuance of contingent shares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 contingent shares</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38,386</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41,139</w:t>
            </w:r>
          </w:p>
        </w:tc>
        <w:tc>
          <w:tcPr>
            <w:tcW w:w="0" w:type="dxa"/>
            <w:vAlign w:val="bottom"/>
          </w:tcPr>
          <w:p>
            <w:pPr>
              <w:spacing w:after="0"/>
              <w:rPr>
                <w:sz w:val="1"/>
                <w:szCs w:val="1"/>
                <w:color w:val="auto"/>
              </w:rPr>
            </w:pPr>
          </w:p>
        </w:tc>
      </w:tr>
      <w:tr>
        <w:trPr>
          <w:trHeight w:val="192"/>
        </w:trPr>
        <w:tc>
          <w:tcPr>
            <w:tcW w:w="520" w:type="dxa"/>
            <w:vAlign w:val="bottom"/>
            <w:tcBorders>
              <w:top w:val="single" w:sz="8" w:color="CCEEFF"/>
              <w:bottom w:val="single" w:sz="8" w:color="auto"/>
            </w:tcBorders>
            <w:gridSpan w:val="2"/>
          </w:tcPr>
          <w:p>
            <w:pPr>
              <w:spacing w:after="0" w:line="183" w:lineRule="exact"/>
              <w:rPr>
                <w:sz w:val="20"/>
                <w:szCs w:val="20"/>
                <w:color w:val="auto"/>
              </w:rPr>
            </w:pPr>
            <w:r>
              <w:rPr>
                <w:rFonts w:ascii="Arial" w:cs="Arial" w:eastAsia="Arial" w:hAnsi="Arial"/>
                <w:sz w:val="17"/>
                <w:szCs w:val="17"/>
                <w:i w:val="1"/>
                <w:iCs w:val="1"/>
                <w:color w:val="auto"/>
                <w:w w:val="94"/>
              </w:rPr>
              <w:t>Diluted</w:t>
            </w:r>
          </w:p>
        </w:tc>
        <w:tc>
          <w:tcPr>
            <w:tcW w:w="69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 contingent shares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38,386</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41,139</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w w:val="91"/>
              </w:rPr>
              <w:t>Weighted-average number of shares of common stock, assumed issuance of contingent shares, and effect of dilutive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39,395</w:t>
            </w: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42,253</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0" w:firstLine="213"/>
        <w:spacing w:after="0" w:line="263" w:lineRule="auto"/>
        <w:rPr>
          <w:sz w:val="20"/>
          <w:szCs w:val="20"/>
          <w:color w:val="auto"/>
        </w:rPr>
      </w:pPr>
      <w:r>
        <w:rPr>
          <w:rFonts w:ascii="Arial" w:cs="Arial" w:eastAsia="Arial" w:hAnsi="Arial"/>
          <w:sz w:val="17"/>
          <w:szCs w:val="17"/>
          <w:color w:val="auto"/>
        </w:rPr>
        <w:t>Options to purchase an aggregate of 179,930 and 8,715 shares of common stock outstanding as of February 1, 2008 and February 2, 2007, respectively, were excluded from the diluted net earnings per share calculations because their exercise prices were greater than the average market price of the company’s common stock during the first quarter of fiscal 2008 and 2007,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Segment Data</w:t>
      </w:r>
    </w:p>
    <w:p>
      <w:pPr>
        <w:spacing w:after="0" w:line="243" w:lineRule="exact"/>
        <w:rPr>
          <w:sz w:val="20"/>
          <w:szCs w:val="20"/>
          <w:color w:val="auto"/>
        </w:rPr>
      </w:pPr>
    </w:p>
    <w:p>
      <w:pPr>
        <w:ind w:right="300"/>
        <w:spacing w:after="0" w:line="290" w:lineRule="auto"/>
        <w:rPr>
          <w:sz w:val="20"/>
          <w:szCs w:val="20"/>
          <w:color w:val="auto"/>
        </w:rPr>
      </w:pPr>
      <w:r>
        <w:rPr>
          <w:rFonts w:ascii="Arial" w:cs="Arial" w:eastAsia="Arial" w:hAnsi="Arial"/>
          <w:sz w:val="15"/>
          <w:szCs w:val="15"/>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ind w:left="2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gridSpan w:val="2"/>
          </w:tcPr>
          <w:p>
            <w:pPr>
              <w:spacing w:after="0"/>
              <w:rPr>
                <w:sz w:val="20"/>
                <w:szCs w:val="20"/>
                <w:color w:val="auto"/>
              </w:rPr>
            </w:pPr>
            <w:r>
              <w:rPr>
                <w:rFonts w:ascii="Arial" w:cs="Arial" w:eastAsia="Arial" w:hAnsi="Arial"/>
                <w:sz w:val="17"/>
                <w:szCs w:val="17"/>
                <w:color w:val="auto"/>
              </w:rPr>
              <w:t>(Dollars in thousands)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460" w:type="dxa"/>
            <w:vAlign w:val="bottom"/>
            <w:gridSpan w:val="2"/>
          </w:tcPr>
          <w:p>
            <w:pPr>
              <w:spacing w:after="0" w:line="179" w:lineRule="exact"/>
              <w:rPr>
                <w:sz w:val="20"/>
                <w:szCs w:val="20"/>
                <w:color w:val="auto"/>
              </w:rPr>
            </w:pPr>
            <w:r>
              <w:rPr>
                <w:rFonts w:ascii="Arial" w:cs="Arial" w:eastAsia="Arial" w:hAnsi="Arial"/>
                <w:sz w:val="17"/>
                <w:szCs w:val="17"/>
                <w:color w:val="auto"/>
              </w:rPr>
              <w:t>Three months ended February 1, 2008</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20"/>
              <w:spacing w:after="0" w:line="179" w:lineRule="exact"/>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line="179" w:lineRule="exact"/>
              <w:rPr>
                <w:sz w:val="20"/>
                <w:szCs w:val="20"/>
                <w:color w:val="auto"/>
              </w:rPr>
            </w:pPr>
            <w:r>
              <w:rPr>
                <w:rFonts w:ascii="Arial" w:cs="Arial" w:eastAsia="Arial" w:hAnsi="Arial"/>
                <w:sz w:val="17"/>
                <w:szCs w:val="17"/>
                <w:color w:val="auto"/>
                <w:w w:val="95"/>
              </w:rPr>
              <w:t>Residential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560"/>
              <w:spacing w:after="0" w:line="179" w:lineRule="exact"/>
              <w:rPr>
                <w:sz w:val="20"/>
                <w:szCs w:val="20"/>
                <w:color w:val="auto"/>
              </w:rPr>
            </w:pPr>
            <w:r>
              <w:rPr>
                <w:rFonts w:ascii="Arial" w:cs="Arial" w:eastAsia="Arial" w:hAnsi="Arial"/>
                <w:sz w:val="17"/>
                <w:szCs w:val="17"/>
                <w:color w:val="auto"/>
              </w:rPr>
              <w:t>Other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640"/>
              <w:spacing w:after="0" w:line="179"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4"/>
        </w:trPr>
        <w:tc>
          <w:tcPr>
            <w:tcW w:w="260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293,196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108,176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405,799</w:t>
            </w: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Arial" w:cs="Arial" w:eastAsia="Arial" w:hAnsi="Arial"/>
                <w:sz w:val="17"/>
                <w:szCs w:val="17"/>
                <w:color w:val="auto"/>
              </w:rPr>
              <w:t>Intersegment gross sales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5,010</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1,751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(6,761)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52,510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28,835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554,325</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256,619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220,165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1,031,109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460" w:type="dxa"/>
            <w:vAlign w:val="bottom"/>
            <w:gridSpan w:val="2"/>
          </w:tcPr>
          <w:p>
            <w:pPr>
              <w:spacing w:after="0" w:line="167" w:lineRule="exact"/>
              <w:rPr>
                <w:sz w:val="20"/>
                <w:szCs w:val="20"/>
                <w:color w:val="auto"/>
              </w:rPr>
            </w:pPr>
            <w:r>
              <w:rPr>
                <w:rFonts w:ascii="Arial" w:cs="Arial" w:eastAsia="Arial" w:hAnsi="Arial"/>
                <w:sz w:val="17"/>
                <w:szCs w:val="17"/>
                <w:color w:val="auto"/>
              </w:rPr>
              <w:t>Three months ended February 2, 2007</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14"/>
                <w:szCs w:val="14"/>
                <w:color w:val="auto"/>
              </w:rPr>
            </w:pPr>
          </w:p>
        </w:tc>
        <w:tc>
          <w:tcPr>
            <w:tcW w:w="1240" w:type="dxa"/>
            <w:vAlign w:val="bottom"/>
            <w:gridSpan w:val="2"/>
          </w:tcPr>
          <w:p>
            <w:pPr>
              <w:jc w:val="right"/>
              <w:ind w:right="420"/>
              <w:spacing w:after="0" w:line="167" w:lineRule="exact"/>
              <w:rPr>
                <w:sz w:val="20"/>
                <w:szCs w:val="20"/>
                <w:color w:val="auto"/>
              </w:rPr>
            </w:pPr>
            <w:r>
              <w:rPr>
                <w:rFonts w:ascii="Arial" w:cs="Arial" w:eastAsia="Arial" w:hAnsi="Arial"/>
                <w:sz w:val="17"/>
                <w:szCs w:val="17"/>
                <w:color w:val="auto"/>
                <w:w w:val="95"/>
              </w:rPr>
              <w:t>Residential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560"/>
              <w:spacing w:after="0" w:line="167" w:lineRule="exact"/>
              <w:rPr>
                <w:sz w:val="20"/>
                <w:szCs w:val="20"/>
                <w:color w:val="auto"/>
              </w:rPr>
            </w:pPr>
            <w:r>
              <w:rPr>
                <w:rFonts w:ascii="Arial" w:cs="Arial" w:eastAsia="Arial" w:hAnsi="Arial"/>
                <w:sz w:val="17"/>
                <w:szCs w:val="17"/>
                <w:color w:val="auto"/>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80"/>
              <w:spacing w:after="0" w:line="167" w:lineRule="exact"/>
              <w:rPr>
                <w:sz w:val="20"/>
                <w:szCs w:val="20"/>
                <w:color w:val="auto"/>
              </w:rPr>
            </w:pPr>
            <w:r>
              <w:rPr>
                <w:rFonts w:ascii="Arial" w:cs="Arial" w:eastAsia="Arial" w:hAnsi="Arial"/>
                <w:sz w:val="17"/>
                <w:szCs w:val="17"/>
                <w:color w:val="auto"/>
              </w:rPr>
              <w:t>Total</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60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272,142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101,858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379,088</w:t>
            </w: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Arial" w:cs="Arial" w:eastAsia="Arial" w:hAnsi="Arial"/>
                <w:sz w:val="17"/>
                <w:szCs w:val="17"/>
                <w:color w:val="auto"/>
              </w:rPr>
              <w:t>Intersegment gross sales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5,855</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(6,586)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48,360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524,931</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261,158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248,347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1,034,436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7340" w:type="dxa"/>
            <w:vAlign w:val="bottom"/>
            <w:gridSpan w:val="6"/>
          </w:tcPr>
          <w:p>
            <w:pPr>
              <w:ind w:left="220"/>
              <w:spacing w:after="0"/>
              <w:rPr>
                <w:sz w:val="20"/>
                <w:szCs w:val="20"/>
                <w:color w:val="auto"/>
              </w:rPr>
            </w:pPr>
            <w:r>
              <w:rPr>
                <w:rFonts w:ascii="Arial" w:cs="Arial" w:eastAsia="Arial" w:hAnsi="Arial"/>
                <w:sz w:val="17"/>
                <w:szCs w:val="17"/>
                <w:color w:val="auto"/>
                <w:w w:val="97"/>
              </w:rPr>
              <w:t>The following table presents the details of the other segment operating loss before income taxes: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8"/>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line="193" w:lineRule="exact"/>
              <w:rPr>
                <w:sz w:val="20"/>
                <w:szCs w:val="20"/>
                <w:color w:val="auto"/>
              </w:rPr>
            </w:pPr>
            <w:r>
              <w:rPr>
                <w:rFonts w:ascii="Arial" w:cs="Arial" w:eastAsia="Arial" w:hAnsi="Arial"/>
                <w:sz w:val="17"/>
                <w:szCs w:val="17"/>
                <w:color w:val="auto"/>
              </w:rPr>
              <w:t>(Dollars in thousands)</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260"/>
              <w:spacing w:after="0" w:line="193" w:lineRule="exact"/>
              <w:rPr>
                <w:sz w:val="20"/>
                <w:szCs w:val="20"/>
                <w:color w:val="auto"/>
              </w:rPr>
            </w:pPr>
            <w:r>
              <w:rPr>
                <w:rFonts w:ascii="Arial" w:cs="Arial" w:eastAsia="Arial" w:hAnsi="Arial"/>
                <w:sz w:val="17"/>
                <w:szCs w:val="17"/>
                <w:color w:val="auto"/>
                <w:w w:val="94"/>
              </w:rPr>
              <w:t>February 1,</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40"/>
              <w:spacing w:after="0" w:line="193" w:lineRule="exact"/>
              <w:rPr>
                <w:sz w:val="20"/>
                <w:szCs w:val="20"/>
                <w:color w:val="auto"/>
              </w:rPr>
            </w:pPr>
            <w:r>
              <w:rPr>
                <w:rFonts w:ascii="Arial" w:cs="Arial" w:eastAsia="Arial" w:hAnsi="Arial"/>
                <w:sz w:val="17"/>
                <w:szCs w:val="17"/>
                <w:color w:val="auto"/>
                <w:w w:val="98"/>
              </w:rPr>
              <w:t>February 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2008</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2007</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expenses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(24,493)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(25,589)</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Arial" w:cs="Arial" w:eastAsia="Arial" w:hAnsi="Arial"/>
                <w:sz w:val="17"/>
                <w:szCs w:val="17"/>
                <w:color w:val="auto"/>
              </w:rPr>
              <w:t>Finance charge revenue</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367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Elimination of corporate financing expense</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2,202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2,682</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7"/>
                <w:szCs w:val="17"/>
                <w:color w:val="auto"/>
              </w:rPr>
              <w:t>(4,883)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(4,487)</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2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gridSpan w:val="2"/>
          </w:tcPr>
          <w:p>
            <w:pPr>
              <w:spacing w:after="0"/>
              <w:rPr>
                <w:sz w:val="20"/>
                <w:szCs w:val="20"/>
                <w:color w:val="auto"/>
              </w:rPr>
            </w:pPr>
            <w:r>
              <w:rPr>
                <w:rFonts w:ascii="Arial" w:cs="Arial" w:eastAsia="Arial" w:hAnsi="Arial"/>
                <w:sz w:val="17"/>
                <w:szCs w:val="17"/>
                <w:color w:val="auto"/>
              </w:rPr>
              <w:t>Total</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20"/>
              <w:spacing w:after="0"/>
              <w:rPr>
                <w:sz w:val="20"/>
                <w:szCs w:val="20"/>
                <w:color w:val="auto"/>
              </w:rPr>
            </w:pPr>
            <w:r>
              <w:rPr>
                <w:rFonts w:ascii="Arial" w:cs="Arial" w:eastAsia="Arial" w:hAnsi="Arial"/>
                <w:sz w:val="17"/>
                <w:szCs w:val="17"/>
                <w:color w:val="auto"/>
              </w:rPr>
              <w:t>(26,499)</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(27,051)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net carrying amount of goodwill for the first quarter of fiscal 2008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Pr>
          <w:p>
            <w:pPr>
              <w:spacing w:after="0"/>
              <w:rPr>
                <w:sz w:val="20"/>
                <w:szCs w:val="20"/>
                <w:color w:val="auto"/>
              </w:rPr>
            </w:pPr>
            <w:r>
              <w:rPr>
                <w:rFonts w:ascii="Arial" w:cs="Arial" w:eastAsia="Arial" w:hAnsi="Arial"/>
                <w:sz w:val="17"/>
                <w:szCs w:val="17"/>
                <w:color w:val="auto"/>
              </w:rPr>
              <w:t>(Dollars in thousands)</w:t>
            </w: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Professional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Residential</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9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5"/>
              </w:rPr>
              <w:t>Segment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8"/>
              </w:rPr>
              <w:t>Segment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r>
      <w:tr>
        <w:trPr>
          <w:trHeight w:val="20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October 31, 2007</w:t>
            </w:r>
          </w:p>
        </w:tc>
        <w:tc>
          <w:tcPr>
            <w:tcW w:w="3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75,457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10,767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86,224</w:t>
            </w:r>
          </w:p>
        </w:tc>
      </w:tr>
      <w:tr>
        <w:trPr>
          <w:trHeight w:val="205"/>
        </w:trPr>
        <w:tc>
          <w:tcPr>
            <w:tcW w:w="3920" w:type="dxa"/>
            <w:vAlign w:val="bottom"/>
          </w:tcPr>
          <w:p>
            <w:pPr>
              <w:spacing w:after="0"/>
              <w:rPr>
                <w:sz w:val="20"/>
                <w:szCs w:val="20"/>
                <w:color w:val="auto"/>
              </w:rPr>
            </w:pPr>
            <w:r>
              <w:rPr>
                <w:rFonts w:ascii="Arial" w:cs="Arial" w:eastAsia="Arial" w:hAnsi="Arial"/>
                <w:sz w:val="17"/>
                <w:szCs w:val="17"/>
                <w:color w:val="auto"/>
              </w:rPr>
              <w:t>Translation adjustment</w:t>
            </w: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r>
      <w:tr>
        <w:trPr>
          <w:trHeight w:val="26"/>
        </w:trPr>
        <w:tc>
          <w:tcPr>
            <w:tcW w:w="39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February 1, 2008</w:t>
            </w:r>
          </w:p>
        </w:tc>
        <w:tc>
          <w:tcPr>
            <w:tcW w:w="3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75,389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86,064</w:t>
            </w:r>
          </w:p>
        </w:tc>
      </w:tr>
      <w:tr>
        <w:trPr>
          <w:trHeight w:val="796"/>
        </w:trPr>
        <w:tc>
          <w:tcPr>
            <w:tcW w:w="392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jc w:val="right"/>
              <w:ind w:right="1595"/>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92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20"/>
                <w:szCs w:val="20"/>
                <w:color w:val="auto"/>
              </w:rPr>
            </w:pPr>
            <w:r>
              <w:rPr>
                <w:rFonts w:ascii="Arial" w:cs="Arial" w:eastAsia="Arial" w:hAnsi="Arial"/>
                <w:sz w:val="17"/>
                <w:szCs w:val="17"/>
                <w:b w:val="1"/>
                <w:bCs w:val="1"/>
                <w:color w:val="auto"/>
              </w:rPr>
              <w:t>Other Intangible Assets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6060" w:type="dxa"/>
            <w:vAlign w:val="bottom"/>
          </w:tcPr>
          <w:p>
            <w:pPr>
              <w:spacing w:after="0"/>
              <w:rPr>
                <w:sz w:val="20"/>
                <w:szCs w:val="20"/>
                <w:color w:val="auto"/>
              </w:rPr>
            </w:pPr>
            <w:r>
              <w:rPr>
                <w:rFonts w:ascii="Arial" w:cs="Arial" w:eastAsia="Arial" w:hAnsi="Arial"/>
                <w:sz w:val="17"/>
                <w:szCs w:val="17"/>
                <w:color w:val="auto"/>
              </w:rPr>
              <w:t>The components of other amortizable intangible assets were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7"/>
                <w:szCs w:val="17"/>
                <w:color w:val="auto"/>
              </w:rPr>
              <w:t>February 1, 2008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7"/>
                <w:szCs w:val="17"/>
                <w:color w:val="auto"/>
              </w:rPr>
              <w:t>October 31, 2007</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380" w:type="dxa"/>
            <w:vAlign w:val="bottom"/>
            <w:tcBorders>
              <w:top w:val="single" w:sz="8" w:color="auto"/>
            </w:tcBorders>
            <w:gridSpan w:val="3"/>
          </w:tcPr>
          <w:p>
            <w:pPr>
              <w:ind w:left="60"/>
              <w:spacing w:after="0" w:line="193" w:lineRule="exact"/>
              <w:rPr>
                <w:sz w:val="20"/>
                <w:szCs w:val="20"/>
                <w:color w:val="auto"/>
              </w:rPr>
            </w:pPr>
            <w:r>
              <w:rPr>
                <w:rFonts w:ascii="Arial" w:cs="Arial" w:eastAsia="Arial" w:hAnsi="Arial"/>
                <w:sz w:val="17"/>
                <w:szCs w:val="17"/>
                <w:color w:val="auto"/>
              </w:rPr>
              <w:t>Gross Carrying</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line="193" w:lineRule="exact"/>
              <w:rPr>
                <w:sz w:val="20"/>
                <w:szCs w:val="20"/>
                <w:color w:val="auto"/>
              </w:rPr>
            </w:pPr>
            <w:r>
              <w:rPr>
                <w:rFonts w:ascii="Arial" w:cs="Arial" w:eastAsia="Arial" w:hAnsi="Arial"/>
                <w:sz w:val="17"/>
                <w:szCs w:val="17"/>
                <w:color w:val="auto"/>
              </w:rPr>
              <w:t>Accumulated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auto"/>
            </w:tcBorders>
            <w:gridSpan w:val="3"/>
          </w:tcPr>
          <w:p>
            <w:pPr>
              <w:jc w:val="center"/>
              <w:ind w:right="100"/>
              <w:spacing w:after="0" w:line="193" w:lineRule="exact"/>
              <w:rPr>
                <w:sz w:val="20"/>
                <w:szCs w:val="20"/>
                <w:color w:val="auto"/>
              </w:rPr>
            </w:pPr>
            <w:r>
              <w:rPr>
                <w:rFonts w:ascii="Arial" w:cs="Arial" w:eastAsia="Arial" w:hAnsi="Arial"/>
                <w:sz w:val="17"/>
                <w:szCs w:val="17"/>
                <w:color w:val="auto"/>
                <w:w w:val="90"/>
              </w:rPr>
              <w:t>Gross Carrying</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line="193"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95"/>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(6,189)</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(6,155)</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Non-compete agreements</w:t>
            </w: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1,939</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(990)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(938)</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6,594</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(504)</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Developed technology</w:t>
            </w: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5,558</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(1,783)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3,490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(1,536)</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(800)</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21,444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(10,388)</w:t>
            </w:r>
          </w:p>
        </w:tc>
        <w:tc>
          <w:tcPr>
            <w:tcW w:w="2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18,898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(9,933)</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11,056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8,965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Amortization expense for intangible assets during the first quarter of fiscal 2008 was $485,000. Estimated amortization expense for the remainder of fiscal 2008 and succeeding fiscal years is as follows: fiscal 2008 (remainder), $1,331,000; fiscal 2009, $1,499,000; fiscal 2010, $1,206,000; fiscal 2011, $1,132,000; fiscal 2012, $1,099,000; fiscal 2013, $926,000; and after fiscal 2013, $3,863,000.</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also has $5.6 million of non-amortizable intangible assets related to the Hayter and Rain Master brand names as of February 1, 2008.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Guarantees</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ind w:left="220"/>
        <w:spacing w:after="0"/>
        <w:rPr>
          <w:sz w:val="20"/>
          <w:szCs w:val="20"/>
          <w:color w:val="auto"/>
        </w:rPr>
      </w:pPr>
      <w:r>
        <w:rPr>
          <w:rFonts w:ascii="Arial" w:cs="Arial" w:eastAsia="Arial" w:hAnsi="Arial"/>
          <w:sz w:val="17"/>
          <w:szCs w:val="17"/>
          <w:color w:val="auto"/>
        </w:rPr>
        <w:t>Warranty provisions, claims, and changes in estimates for the three-month periods in fiscal 2008 and 2007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Beginning</w:t>
            </w: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Warranty</w:t>
            </w: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Warranty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Changes in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Ending</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1"/>
              </w:rPr>
              <w:t>Provisions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2"/>
              </w:rPr>
              <w:t>Claims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99"/>
              </w:rPr>
              <w:t>Estimates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1"/>
              </w:rPr>
              <w:t>Balance</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February 1,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8,940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(9,388)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61,704</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February 2, 2007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65,235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(9,516)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63,892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Postretirement Benefit and Deferred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net periodic benefit costs of the postretirement health-care benefit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35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5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4"/>
              </w:rPr>
              <w:t>February 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1"/>
              </w:rPr>
              <w:t>February 2,</w:t>
            </w:r>
          </w:p>
        </w:tc>
        <w:tc>
          <w:tcPr>
            <w:tcW w:w="100" w:type="dxa"/>
            <w:vAlign w:val="bottom"/>
          </w:tcPr>
          <w:p>
            <w:pPr>
              <w:spacing w:after="0"/>
              <w:rPr>
                <w:sz w:val="16"/>
                <w:szCs w:val="16"/>
                <w:color w:val="auto"/>
              </w:rPr>
            </w:pPr>
          </w:p>
        </w:tc>
      </w:tr>
      <w:tr>
        <w:trPr>
          <w:trHeight w:val="223"/>
        </w:trPr>
        <w:tc>
          <w:tcPr>
            <w:tcW w:w="35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r>
      <w:tr>
        <w:trPr>
          <w:trHeight w:val="205"/>
        </w:trPr>
        <w:tc>
          <w:tcPr>
            <w:tcW w:w="3580" w:type="dxa"/>
            <w:vAlign w:val="bottom"/>
          </w:tcPr>
          <w:p>
            <w:pPr>
              <w:spacing w:after="0"/>
              <w:rPr>
                <w:sz w:val="20"/>
                <w:szCs w:val="20"/>
                <w:color w:val="auto"/>
              </w:rPr>
            </w:pPr>
            <w:r>
              <w:rPr>
                <w:rFonts w:ascii="Arial" w:cs="Arial" w:eastAsia="Arial" w:hAnsi="Arial"/>
                <w:sz w:val="17"/>
                <w:szCs w:val="17"/>
                <w:color w:val="auto"/>
              </w:rPr>
              <w:t>Interest cost</w:t>
            </w:r>
          </w:p>
        </w:tc>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124</w:t>
            </w:r>
          </w:p>
        </w:tc>
      </w:tr>
      <w:tr>
        <w:trPr>
          <w:trHeight w:val="205"/>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5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w:t>
            </w:r>
          </w:p>
        </w:tc>
      </w:tr>
      <w:tr>
        <w:trPr>
          <w:trHeight w:val="205"/>
        </w:trPr>
        <w:tc>
          <w:tcPr>
            <w:tcW w:w="3580" w:type="dxa"/>
            <w:vAlign w:val="bottom"/>
          </w:tcPr>
          <w:p>
            <w:pPr>
              <w:spacing w:after="0"/>
              <w:rPr>
                <w:sz w:val="20"/>
                <w:szCs w:val="20"/>
                <w:color w:val="auto"/>
              </w:rPr>
            </w:pPr>
            <w:r>
              <w:rPr>
                <w:rFonts w:ascii="Arial" w:cs="Arial" w:eastAsia="Arial" w:hAnsi="Arial"/>
                <w:sz w:val="17"/>
                <w:szCs w:val="17"/>
                <w:color w:val="auto"/>
              </w:rPr>
              <w:t>Amortization of losses</w:t>
            </w:r>
          </w:p>
        </w:tc>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r>
      <w:tr>
        <w:trPr>
          <w:trHeight w:val="26"/>
        </w:trPr>
        <w:tc>
          <w:tcPr>
            <w:tcW w:w="35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Net expense</w:t>
            </w:r>
          </w:p>
        </w:tc>
        <w:tc>
          <w:tcPr>
            <w:tcW w:w="5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224</w:t>
            </w:r>
          </w:p>
        </w:tc>
      </w:tr>
      <w:tr>
        <w:trPr>
          <w:trHeight w:val="655"/>
        </w:trPr>
        <w:tc>
          <w:tcPr>
            <w:tcW w:w="3580" w:type="dxa"/>
            <w:vAlign w:val="bottom"/>
            <w:tcBorders>
              <w:top w:val="single" w:sz="8" w:color="CCEEFF"/>
            </w:tcBorders>
          </w:tcPr>
          <w:p>
            <w:pPr>
              <w:spacing w:after="0"/>
              <w:rPr>
                <w:sz w:val="24"/>
                <w:szCs w:val="24"/>
                <w:color w:val="auto"/>
              </w:rPr>
            </w:pPr>
          </w:p>
        </w:tc>
        <w:tc>
          <w:tcPr>
            <w:tcW w:w="5220" w:type="dxa"/>
            <w:vAlign w:val="bottom"/>
            <w:tcBorders>
              <w:top w:val="single" w:sz="8" w:color="CCEEFF"/>
            </w:tcBorders>
          </w:tcPr>
          <w:p>
            <w:pPr>
              <w:jc w:val="right"/>
              <w:ind w:right="2915"/>
              <w:spacing w:after="0"/>
              <w:rPr>
                <w:sz w:val="20"/>
                <w:szCs w:val="20"/>
                <w:color w:val="auto"/>
              </w:rPr>
            </w:pPr>
            <w:r>
              <w:rPr>
                <w:rFonts w:ascii="Arial" w:cs="Arial" w:eastAsia="Arial" w:hAnsi="Arial"/>
                <w:sz w:val="17"/>
                <w:szCs w:val="17"/>
                <w:color w:val="auto"/>
              </w:rPr>
              <w:t>10</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580" w:type="dxa"/>
            <w:vAlign w:val="bottom"/>
            <w:tcBorders>
              <w:bottom w:val="single" w:sz="8" w:color="808080"/>
            </w:tcBorders>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0" w:name="page11"/>
    <w:bookmarkEnd w:id="10"/>
    <w:p>
      <w:pPr>
        <w:ind w:right="840"/>
        <w:spacing w:after="0" w:line="258" w:lineRule="auto"/>
        <w:rPr>
          <w:sz w:val="20"/>
          <w:szCs w:val="20"/>
          <w:color w:val="auto"/>
        </w:rPr>
      </w:pPr>
      <w:r>
        <w:rPr>
          <w:rFonts w:ascii="Arial" w:cs="Arial" w:eastAsia="Arial" w:hAnsi="Arial"/>
          <w:sz w:val="17"/>
          <w:szCs w:val="17"/>
          <w:color w:val="auto"/>
        </w:rPr>
        <w:t>As of February 1, 2008, approximately $125,000 of contributions had been made. The company presently expects to contribute a total of $500,000 to its postretirement health-care benefit plan in fiscal 2008, including contributions made through February 1, 2008.</w:t>
      </w:r>
    </w:p>
    <w:p>
      <w:pPr>
        <w:ind w:right="220" w:firstLine="210"/>
        <w:spacing w:after="0" w:line="25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$4.4 million for the first quarter of fiscal 2008 and $5.7 million for the first quarter of fiscal 2007.</w:t>
      </w:r>
    </w:p>
    <w:p>
      <w:pPr>
        <w:jc w:val="both"/>
        <w:ind w:right="140" w:firstLine="213"/>
        <w:spacing w:after="0" w:line="255" w:lineRule="auto"/>
        <w:rPr>
          <w:sz w:val="20"/>
          <w:szCs w:val="20"/>
          <w:color w:val="auto"/>
        </w:rPr>
      </w:pPr>
      <w:r>
        <w:rPr>
          <w:rFonts w:ascii="Arial" w:cs="Arial" w:eastAsia="Arial" w:hAnsi="Arial"/>
          <w:sz w:val="17"/>
          <w:szCs w:val="17"/>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which amounted to $18 million. The fair value of the investment in the deferred compensation plans as of February 1, 2008 was $18.1 million, which reduced the company’s deferred compensation liability reflected in accrued liabilities on the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of November 1, 2007, the company adopted the provisions of Financial Accounting Standards Board Interpretation No. 48, “Accounting for Uncertainty in Income Taxes” (FIN 48). This interpretation clarifies the accounting for income taxes by prescribing the minimum threshold a tax position is required to meet before being recognized in the financial statements, as well as guidance on de-recognition, measurement, classification, and disclosure of tax positions. The adoption of FIN 48 resulted in no cumulative effect of accounting change by the company as of November 1, 2007. As of February 1, 2008 and October 31, 2007, the company had $5.8 million and $5.6 million, respectively, of liabilities recorded related to unrecognized tax benefits. Accrued interest and penalties on these unrecognized tax benefits were $1.0 million and $0.9 million as of February 1, 2008 and October 31, 2007, respectively. As of October 31, 2007, the liability accrual including interest and penalties was classified as a component of accrued liabilities – income taxes on the company’s consolidated balance sheet. In accordance with the adoption of FIN 48, the liability accrual including interest and penalties was classified as a component of deferred revenue and other long-term liabilities on the company’s condensed consolidated balance sheet as of February 1, 2008. The company recognizes potential interest and penalties related to income tax positions as a component of provision for income taxes on the consolidated statements of earnings. Included in the liability balance as of February 1, 2008 are approximately $3.3 million of unrecognized tax benefits that, if recognized, will affect the company’s effective tax rate. The company does not anticipate that the total amount of unrecognized tax benefits will significantly change during the next twelve months. With few exceptions, the company is no longer subject to federal, state, or foreign income tax examinations for fiscal years prior to fiscal 2004.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243"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The company uses derivative instruments to manage exposure to foreign currency exchange rates. The company uses derivative instruments only in an attempt to limit underlying exposure to currency rate fluctuations, and not for trading purposes. The company documents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effective in offsetting changes in cash flows of the hedged item.</w:t>
      </w:r>
    </w:p>
    <w:p>
      <w:pPr>
        <w:ind w:right="20" w:firstLine="210"/>
        <w:spacing w:after="0" w:line="251" w:lineRule="auto"/>
        <w:rPr>
          <w:sz w:val="20"/>
          <w:szCs w:val="20"/>
          <w:color w:val="auto"/>
        </w:rPr>
      </w:pPr>
      <w:r>
        <w:rPr>
          <w:rFonts w:ascii="Arial" w:cs="Arial" w:eastAsia="Arial" w:hAnsi="Arial"/>
          <w:sz w:val="17"/>
          <w:szCs w:val="17"/>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loss to sales or cost of sales. During the three months ended February 1, 2008, the amount of losses reclassified to earnings for such cash flow hedges was $1.9 million. For the three months ended February 1, 2008, the losses treated as a reduction to net sales for contracts to hedge trade sales were $2.0 million and the gains treated as a reduction of cost of sales for contracts to hedge inventory purchases were $0.1 million. As of February 1, 2008, the notional amount of such contracts outstanding was $88.4 million. The unrecognized after-tax loss portion of the fair value of the contracts recorded in accumulated other comprehensive loss as of February 1, 2008 was $2.5 million.</w:t>
      </w:r>
    </w:p>
    <w:p>
      <w:pPr>
        <w:spacing w:after="0" w:line="2" w:lineRule="exact"/>
        <w:rPr>
          <w:sz w:val="20"/>
          <w:szCs w:val="20"/>
          <w:color w:val="auto"/>
        </w:rPr>
      </w:pPr>
    </w:p>
    <w:p>
      <w:pPr>
        <w:ind w:right="20" w:firstLine="210"/>
        <w:spacing w:after="0" w:line="256" w:lineRule="auto"/>
        <w:rPr>
          <w:sz w:val="20"/>
          <w:szCs w:val="20"/>
          <w:color w:val="auto"/>
        </w:rPr>
      </w:pPr>
      <w:r>
        <w:rPr>
          <w:rFonts w:ascii="Arial" w:cs="Arial" w:eastAsia="Arial" w:hAnsi="Arial"/>
          <w:sz w:val="17"/>
          <w:szCs w:val="17"/>
          <w:color w:val="auto"/>
        </w:rPr>
        <w:t>The company also enters into other foreign currency exchange contracts to hedge intracompany financing transactions and other activities, which do not meet the hedge accounting criteria of SFAS No. 133, “Accounting for Derivative Instruments and Hedging Activities;” therefore, changes in the fair value of these instruments are recorded in other income, net.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357" w:right="41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Contingencies</w:t>
      </w:r>
    </w:p>
    <w:p>
      <w:pPr>
        <w:spacing w:after="0" w:line="24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the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On December 21, 2006, another defendant, American Honda Motor Company, notified the company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The company continues to evaluate this lawsuit and is unable to reasonably estimate the likelihood of loss or the amount or range of potential loss that could result from this litigation. Therefore, no accrual has been established for potential loss in connection with this lawsuit. The company is also unable to assess at this time whether the lawsuit will have a material adverse effect on the company’s annual consolidated operating results or financial condition, although an unfavorable resolution could be material to the company’s consolidated operating results for a particular period.</w:t>
      </w:r>
    </w:p>
    <w:p>
      <w:pPr>
        <w:spacing w:after="0" w:line="11" w:lineRule="exact"/>
        <w:rPr>
          <w:sz w:val="20"/>
          <w:szCs w:val="20"/>
          <w:color w:val="auto"/>
        </w:rPr>
      </w:pPr>
    </w:p>
    <w:p>
      <w:pPr>
        <w:ind w:right="80" w:firstLine="213"/>
        <w:spacing w:after="0" w:line="266" w:lineRule="auto"/>
        <w:rPr>
          <w:sz w:val="20"/>
          <w:szCs w:val="20"/>
          <w:color w:val="auto"/>
        </w:rPr>
      </w:pPr>
      <w:r>
        <w:rPr>
          <w:rFonts w:ascii="Arial" w:cs="Arial" w:eastAsia="Arial" w:hAnsi="Arial"/>
          <w:sz w:val="16"/>
          <w:szCs w:val="16"/>
          <w:color w:val="auto"/>
        </w:rPr>
        <w:t>In July 2005, Textron Innovations Inc., the patent holding company of Textron, Inc., filed a lawsuit in Delaware Federal District Court against the company for patent infringement. Textron alleges that Toro willfully infringes certain claims of three Textron patents by selling its Groundsmaster® commercial mowers. Textron seeks damages for the company’s past sales and an injunction against future infringement. In August and November 2005, the company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the company filed with the United States Patent and Trademark Office (USPTO) to have Textron’s patents reexamined. The reexamination proceedings are pending in the USPTO. In April 2007, the Court granted the company’s motion to stay the litigation and, in June 2007, denied Textron’s motion for reconsideration of the Court’s order staying the proceedings. The company continues to evaluate this lawsuit and is unable to reasonably estimate the likelihood of loss or the amount or range of potential loss that could result from the litigation. Therefore, no accrual has been established for potential loss in connection with this lawsuit. While the company does not believe that the lawsuit will have a material adverse effect on the company’s consolidated financial condition, an unfavorable resolution could be material to the company’s consolidated operating results for a particular period.</w:t>
      </w:r>
    </w:p>
    <w:p>
      <w:pPr>
        <w:spacing w:after="0" w:line="8" w:lineRule="exact"/>
        <w:rPr>
          <w:sz w:val="20"/>
          <w:szCs w:val="20"/>
          <w:color w:val="auto"/>
        </w:rPr>
      </w:pPr>
    </w:p>
    <w:p>
      <w:pPr>
        <w:ind w:right="360" w:firstLine="210"/>
        <w:spacing w:after="0" w:line="290" w:lineRule="auto"/>
        <w:rPr>
          <w:sz w:val="20"/>
          <w:szCs w:val="20"/>
          <w:color w:val="auto"/>
        </w:rPr>
      </w:pPr>
      <w:r>
        <w:rPr>
          <w:rFonts w:ascii="Arial" w:cs="Arial" w:eastAsia="Arial" w:hAnsi="Arial"/>
          <w:sz w:val="15"/>
          <w:szCs w:val="15"/>
          <w:color w:val="auto"/>
        </w:rPr>
        <w:t>The company is a party to litigation in the ordinary course of business. Litigation occasionally involves claims for punitive as well as compensatory damages arising out of use of its products. Although the company is self-insured to some extent, the company maintains insurance against certain liability losses. The company is also subject to administrative proceedings with respect to claims involving the discharge of hazardous substances into the environment. 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USPTO and foreign patent offices. The company believes these activities help it minimize its risk of being a defendant in patent infringement litigation. While the ultimate results of the current cases are unknown at this time, management believes that, except for the lawsuits discussed above, the outcomes of these cases are unlikely to have a material adverse effect on Toro’s consolidated operating results or financial position.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 w:name="page13"/>
    <w:bookmarkEnd w:id="12"/>
    <w:p>
      <w:pPr>
        <w:jc w:val="center"/>
        <w:ind w:right="140"/>
        <w:spacing w:after="0"/>
        <w:rPr>
          <w:sz w:val="20"/>
          <w:szCs w:val="20"/>
          <w:color w:val="auto"/>
        </w:rPr>
      </w:pPr>
      <w:r>
        <w:rPr>
          <w:rFonts w:ascii="Arial" w:cs="Arial" w:eastAsia="Arial" w:hAnsi="Arial"/>
          <w:sz w:val="20"/>
          <w:szCs w:val="20"/>
          <w:b w:val="1"/>
          <w:bCs w:val="1"/>
          <w:color w:val="auto"/>
        </w:rPr>
        <w:t>Item 2. MANAGEMENT'S DISCUSSION AND ANALYSIS OF FINANCIAL CONDITION</w:t>
      </w:r>
    </w:p>
    <w:p>
      <w:pPr>
        <w:spacing w:after="0" w:line="2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w:t>
      </w:r>
    </w:p>
    <w:p>
      <w:pPr>
        <w:spacing w:after="0" w:line="24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Toro Company is in the business of designing, manufacturing, and marketing professional turf maintenance equipment and services, turf and agricultural micro-irrigation systems, landscaping equipment, and residential yard and irrigation products worldwide. We sell our products through a network of distributors, dealers, hardware retailers, home centers, mass retailers, and over the Internet, mainly through internet retailers. Our businesses are organized into two reportable business segments: professional and residential. A third segment called “other” consists of domestic company-owned distribution companies and corporate activities, including corporate financing activities. Our emphasis is to provide well-built, dependable, and innovative products supported by an extensive service network. A significant portion of our revenues has historically been attributable to new and enhanced products. As part of our “GrowLean” initiative, we are focusing our efforts on revenue growth, profit improvement, and asset management while maximizing our use of Lean methods to reduce costs and improve quality and efficiency in our manufacturing facilities and corporate offices. We believe we have opportunities to create a leaner, cohesive enterprise that has the potential to deliver sustainable financial performance. The goals of this initiative are to grow net sales at an average annual rate of 8 percent or more and achieve a consistent after-tax annual return on net sales of 7 percent or more over the three-year period ending October 31, 2009. Our long-term asset management goal is to reduce average net working capital as a percent of net sales below 20 percent, or in the “teens.” We define net working capital as accounts receivable plus inventory less trade payables.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results for the first quarter of fiscal 2008 were positive with net sales growth of 7.0 percent compared to the first quarter of fiscal 2007. Strong international performance led the sales increase along with increased sales of snow thrower products and continued demand for our zero-turning radius riding mowers, which more than offset a decline in domestic sales of both walk power mowers and landscape contractor equipment products. Net earnings increased 1.0 percent, but slightly declined as a percentage of net sales to 4.6 percent in the first quarter of fiscal 2008 from 4.9 percent in the first quarter of fiscal 2007. This decline in net earnings as a percent of net sales was the result of a higher effective tax rate, lower other income, and a slight decline in gross margins, somewhat offset by lower selling, general, and administrative (SG&amp;A) expenses as a percent of net sales. We also increased our first quarter cash dividend by 25 percent from $0.12 to $0.15 per share compared to the quarterly cash dividend paid in the first quarter of fiscal 2007.</w:t>
      </w:r>
    </w:p>
    <w:p>
      <w:pPr>
        <w:ind w:right="60" w:firstLine="213"/>
        <w:spacing w:after="0" w:line="251" w:lineRule="auto"/>
        <w:rPr>
          <w:sz w:val="20"/>
          <w:szCs w:val="20"/>
          <w:color w:val="auto"/>
        </w:rPr>
      </w:pPr>
      <w:r>
        <w:rPr>
          <w:rFonts w:ascii="Arial" w:cs="Arial" w:eastAsia="Arial" w:hAnsi="Arial"/>
          <w:sz w:val="17"/>
          <w:szCs w:val="17"/>
          <w:color w:val="auto"/>
        </w:rPr>
        <w:t>Receivables as of the end of the first quarter of fiscal 2008 were down 3.5 percent compared to the first quarter of fiscal 2007 due primarily to customers’ efforts to lower field inventory levels. Inventory was also down as of the end of the first quarter of fiscal 2008 by 3.7 percent compared to the first quarter of fiscal 2007 as we continue to place additional emphasis on asset management as part of our GrowLean initiative.</w:t>
      </w:r>
    </w:p>
    <w:p>
      <w:pPr>
        <w:spacing w:after="0" w:line="1" w:lineRule="exact"/>
        <w:rPr>
          <w:sz w:val="20"/>
          <w:szCs w:val="20"/>
          <w:color w:val="auto"/>
        </w:rPr>
      </w:pPr>
    </w:p>
    <w:p>
      <w:pPr>
        <w:ind w:firstLine="213"/>
        <w:spacing w:after="0" w:line="272" w:lineRule="auto"/>
        <w:rPr>
          <w:sz w:val="20"/>
          <w:szCs w:val="20"/>
          <w:color w:val="auto"/>
        </w:rPr>
      </w:pPr>
      <w:r>
        <w:rPr>
          <w:rFonts w:ascii="Arial" w:cs="Arial" w:eastAsia="Arial" w:hAnsi="Arial"/>
          <w:sz w:val="16"/>
          <w:szCs w:val="16"/>
          <w:color w:val="auto"/>
        </w:rPr>
        <w:t>Our fiscal 2008 first quarter results were solid, and we are cautiously optimistic that results for the full fiscal year of 2008 will end higher than compared to fiscal 2007 results due to continued growth in international markets and the success of new products introduced during the past two years, somewhat tempered by uncertain domestic economic conditions and outlook. However, as net sales and earnings for the first quarter of our fiscal year are typically lower than other quarters, the results of our first quarter are not necessarily an indicator of spring season sales trends, which are still ahead. We continue to keep a cautionary eye on the domestic and global economies, retail demand, field inventory levels, commodity prices, weather, competitive actions, and other factors identified below under the heading “Forward-Looking Information,” which could cause our actual results to differ from our outlook.</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Net Earnings</w:t>
      </w:r>
    </w:p>
    <w:p>
      <w:pPr>
        <w:spacing w:after="0" w:line="243"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Net earnings for the first quarter of fiscal 2008 were $18.6 million or $0.47 per diluted share compared to $18.5 million or $0.44 per diluted share for the first quarter of fiscal 2007, a net earnings per diluted share increase of 6.8 percent. The primary factors contributing to this increase were higher sales volumes and leveraging of SG&amp;A costs, somewhat offset by a higher effective tax rate, lower other income, and a slight decline in gross margins. In addition, first quarter of fiscal 2008 diluted net earnings per share were benefited by approximately $0.03 per share compared to the first quarter of fiscal 2007 as a result of reduced shares outstanding from repurchases of our common stock.</w:t>
      </w:r>
    </w:p>
    <w:p>
      <w:pPr>
        <w:ind w:left="220"/>
        <w:spacing w:after="0"/>
        <w:rPr>
          <w:sz w:val="20"/>
          <w:szCs w:val="20"/>
          <w:color w:val="auto"/>
        </w:rPr>
      </w:pPr>
      <w:r>
        <w:rPr>
          <w:rFonts w:ascii="Arial" w:cs="Arial" w:eastAsia="Arial" w:hAnsi="Arial"/>
          <w:sz w:val="17"/>
          <w:szCs w:val="17"/>
          <w:color w:val="auto"/>
        </w:rPr>
        <w:t>The following table summarizes the major operating costs and other income as a percentage of net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Pr>
          <w:p>
            <w:pPr>
              <w:spacing w:after="0"/>
              <w:rPr>
                <w:sz w:val="19"/>
                <w:szCs w:val="19"/>
                <w:color w:val="auto"/>
              </w:rPr>
            </w:pPr>
          </w:p>
        </w:tc>
        <w:tc>
          <w:tcPr>
            <w:tcW w:w="2660" w:type="dxa"/>
            <w:vAlign w:val="bottom"/>
            <w:gridSpan w:val="4"/>
          </w:tcPr>
          <w:p>
            <w:pPr>
              <w:jc w:val="right"/>
              <w:ind w:right="680"/>
              <w:spacing w:after="0"/>
              <w:rPr>
                <w:sz w:val="20"/>
                <w:szCs w:val="20"/>
                <w:color w:val="auto"/>
              </w:rPr>
            </w:pPr>
            <w:r>
              <w:rPr>
                <w:rFonts w:ascii="Arial" w:cs="Arial" w:eastAsia="Arial" w:hAnsi="Arial"/>
                <w:sz w:val="17"/>
                <w:szCs w:val="17"/>
                <w:color w:val="auto"/>
              </w:rPr>
              <w:t>Three Months Ended</w:t>
            </w:r>
          </w:p>
        </w:tc>
      </w:tr>
      <w:tr>
        <w:trPr>
          <w:trHeight w:val="192"/>
        </w:trPr>
        <w:tc>
          <w:tcPr>
            <w:tcW w:w="87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3" w:lineRule="exact"/>
              <w:rPr>
                <w:sz w:val="20"/>
                <w:szCs w:val="20"/>
                <w:color w:val="auto"/>
              </w:rPr>
            </w:pPr>
            <w:r>
              <w:rPr>
                <w:rFonts w:ascii="Arial" w:cs="Arial" w:eastAsia="Arial" w:hAnsi="Arial"/>
                <w:sz w:val="17"/>
                <w:szCs w:val="17"/>
                <w:color w:val="auto"/>
              </w:rPr>
              <w:t>February 1,</w:t>
            </w:r>
          </w:p>
        </w:tc>
        <w:tc>
          <w:tcPr>
            <w:tcW w:w="114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rPr>
              <w:t>February 2,</w:t>
            </w:r>
          </w:p>
        </w:tc>
        <w:tc>
          <w:tcPr>
            <w:tcW w:w="140" w:type="dxa"/>
            <w:vAlign w:val="bottom"/>
          </w:tcPr>
          <w:p>
            <w:pPr>
              <w:spacing w:after="0"/>
              <w:rPr>
                <w:sz w:val="16"/>
                <w:szCs w:val="16"/>
                <w:color w:val="auto"/>
              </w:rPr>
            </w:pPr>
          </w:p>
        </w:tc>
      </w:tr>
      <w:tr>
        <w:trPr>
          <w:trHeight w:val="223"/>
        </w:trPr>
        <w:tc>
          <w:tcPr>
            <w:tcW w:w="87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0"/>
        </w:trPr>
        <w:tc>
          <w:tcPr>
            <w:tcW w:w="8760" w:type="dxa"/>
            <w:vAlign w:val="bottom"/>
          </w:tcPr>
          <w:p>
            <w:pPr>
              <w:spacing w:after="0"/>
              <w:rPr>
                <w:sz w:val="20"/>
                <w:szCs w:val="20"/>
                <w:color w:val="auto"/>
              </w:rPr>
            </w:pPr>
            <w:r>
              <w:rPr>
                <w:rFonts w:ascii="Arial" w:cs="Arial" w:eastAsia="Arial" w:hAnsi="Arial"/>
                <w:sz w:val="17"/>
                <w:szCs w:val="17"/>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(63.2)</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(63.1)</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40" w:type="dxa"/>
            <w:vAlign w:val="bottom"/>
            <w:shd w:val="clear" w:color="auto" w:fill="CCEEFF"/>
          </w:tcPr>
          <w:p>
            <w:pPr>
              <w:spacing w:after="0"/>
              <w:rPr>
                <w:sz w:val="17"/>
                <w:szCs w:val="17"/>
                <w:color w:val="auto"/>
              </w:rPr>
            </w:pPr>
          </w:p>
        </w:tc>
      </w:tr>
      <w:tr>
        <w:trPr>
          <w:trHeight w:val="192"/>
        </w:trPr>
        <w:tc>
          <w:tcPr>
            <w:tcW w:w="8760" w:type="dxa"/>
            <w:vAlign w:val="bottom"/>
          </w:tcPr>
          <w:p>
            <w:pPr>
              <w:spacing w:after="0" w:line="193" w:lineRule="exact"/>
              <w:rPr>
                <w:sz w:val="20"/>
                <w:szCs w:val="20"/>
                <w:color w:val="auto"/>
              </w:rPr>
            </w:pPr>
            <w:r>
              <w:rPr>
                <w:rFonts w:ascii="Arial" w:cs="Arial" w:eastAsia="Arial" w:hAnsi="Arial"/>
                <w:sz w:val="17"/>
                <w:szCs w:val="17"/>
                <w:color w:val="auto"/>
              </w:rPr>
              <w:t>Selling, general, and administrative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8760" w:type="dxa"/>
            <w:vAlign w:val="bottom"/>
          </w:tcPr>
          <w:p>
            <w:pPr>
              <w:ind w:left="80"/>
              <w:spacing w:after="0"/>
              <w:rPr>
                <w:sz w:val="20"/>
                <w:szCs w:val="20"/>
                <w:color w:val="auto"/>
              </w:rPr>
            </w:pPr>
            <w:r>
              <w:rPr>
                <w:rFonts w:ascii="Arial" w:cs="Arial" w:eastAsia="Arial" w:hAnsi="Arial"/>
                <w:sz w:val="17"/>
                <w:szCs w:val="17"/>
                <w:color w:val="auto"/>
              </w:rPr>
              <w:t>expense</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(28.9)</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(29.6)</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Other income, net</w:t>
            </w:r>
          </w:p>
        </w:tc>
        <w:tc>
          <w:tcPr>
            <w:tcW w:w="1140" w:type="dxa"/>
            <w:vAlign w:val="bottom"/>
          </w:tcPr>
          <w:p>
            <w:pPr>
              <w:jc w:val="right"/>
              <w:spacing w:after="0"/>
              <w:rPr>
                <w:sz w:val="20"/>
                <w:szCs w:val="20"/>
                <w:color w:val="auto"/>
              </w:rPr>
            </w:pPr>
            <w:r>
              <w:rPr>
                <w:rFonts w:ascii="Arial" w:cs="Arial" w:eastAsia="Arial" w:hAnsi="Arial"/>
                <w:sz w:val="17"/>
                <w:szCs w:val="17"/>
                <w:color w:val="auto"/>
              </w:rPr>
              <w:t>0.4</w:t>
            </w:r>
          </w:p>
        </w:tc>
        <w:tc>
          <w:tcPr>
            <w:tcW w:w="2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0.7</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r>
      <w:tr>
        <w:trPr>
          <w:trHeight w:val="26"/>
        </w:trPr>
        <w:tc>
          <w:tcPr>
            <w:tcW w:w="87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Net earnings</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8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3"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Worldwide consolidated net sales for the first quarter of fiscal 2008 were up 7.0 percent compared to last fiscal year’s first quarter. A weaker U.S. dollar compared to other worldwide currencies in which we transact business accounted for approximately $8 million of our sales growth for the quarter. International sales for the first quarter of fiscal 2008 were strong, increasing by 19.5 percent compared to the first quarter of fiscal 2007. Strong demand for professional segment products drove this increase as a result of continued demand and growth in international markets. Residential segment net sales of snow throwers increased as a result of heavy snow falls in key markets during the winter season of 2007/2008, and shipments of riding products also increased as a result of continued demand for our innovative zero-turning radius riding mowers. However, domestic sales of walk power mower products were down for the first quarter comparison due mainly to our customers’ efforts to reduce field inventory levels by ordering product closer to retail demand. Other segment net sales were down for the first quarter of fiscal 2008 compared to the prior fiscal year’s first quarter due mainly to the sale of a portion of the operations of one of our company-owned distributorships.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4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Gross profit in dollars for the first quarter of fiscal 2008 increased 6.5 percent compared to the first quarter of fiscal 2007. As a percentage of net sales, gross profit for the first quarter of fiscal 2008 was 36.8 percent compared to 36.9 percent in the first quarter of fiscal 2007. The decline in gross profit as a percentage of net sales was due mainly to increased freight expense from higher fuel costs in the first quarter of fiscal 2008 compared to the first quarter of fiscal 2007.</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43"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Selling, general, and administrative expense for the first quarter of fiscal 2008 increased by 4.3 percent compared to the same period last fiscal year. SG&amp;A expense as a percentage of net sales decreased to 28.9 percent in the first quarter of fiscal 2008 compared to 29.6 percent in the first quarter of fiscal 2007. The decline in SG&amp;A expense as a percent of net sales was primarily attributable to: (i) lower profit sharing expense as a result of last fiscal year’s incremental retirement plan contribution to certain participants’ profit sharing accounts to correct an identified contribution shortfall; and (ii) leveraging the fixed portion of SG&amp;A costs over higher sales volumes. Somewhat offsetting those decreases was higher spending for marketing and additional investments in engineering.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first quarter of fiscal 2008 increased by 8.8 percent compared to the first quarter of fiscal 2007 due to higher average levels of debt.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Other Income, Net</w:t>
      </w:r>
    </w:p>
    <w:p>
      <w:pPr>
        <w:spacing w:after="0" w:line="243" w:lineRule="exact"/>
        <w:rPr>
          <w:sz w:val="20"/>
          <w:szCs w:val="20"/>
          <w:color w:val="auto"/>
        </w:rPr>
      </w:pPr>
    </w:p>
    <w:p>
      <w:pPr>
        <w:jc w:val="both"/>
        <w:ind w:right="300"/>
        <w:spacing w:after="0" w:line="263" w:lineRule="auto"/>
        <w:rPr>
          <w:sz w:val="20"/>
          <w:szCs w:val="20"/>
          <w:color w:val="auto"/>
        </w:rPr>
      </w:pPr>
      <w:r>
        <w:rPr>
          <w:rFonts w:ascii="Arial" w:cs="Arial" w:eastAsia="Arial" w:hAnsi="Arial"/>
          <w:sz w:val="17"/>
          <w:szCs w:val="17"/>
          <w:color w:val="auto"/>
        </w:rPr>
        <w:t>Other income, net for the first quarter of fiscal 2008 was $1.7 million compared to $2.4 million for the same period last fiscal year, a decrease of $0.7 million. The decrease was due primarily to lower currency exchange rate gains and a decline in financing revenue in the first quarter of fiscal 2008 compared to the first quarter of fiscal 2007.</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3"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The effective tax rate for the first quarter of fiscal 2008 was 35.4 percent compared to 28.2 percent in the first quarter of fiscal 2007. The effective tax rate for the first quarter of fiscal 2007 reflected a positive impact from the retroactive reinstatement of the federal research and experimentation tax credit. For 2008, this credit has expired, which resulted in an increase in our fiscal 2008 first quarter tax rate. In addition, our effective tax rate increased in the first quarter of fiscal 2008 compared to the first quarter of fiscal 2007 due to the accelerated phase-out of benefits for foreign export incentives as compared to the phase-in benefit for the domestic manufacturing credit.</w:t>
      </w:r>
    </w:p>
    <w:p>
      <w:pPr>
        <w:ind w:right="140" w:firstLine="213"/>
        <w:spacing w:after="0" w:line="254" w:lineRule="auto"/>
        <w:rPr>
          <w:sz w:val="20"/>
          <w:szCs w:val="20"/>
          <w:color w:val="auto"/>
        </w:rPr>
      </w:pPr>
      <w:r>
        <w:rPr>
          <w:rFonts w:ascii="Arial" w:cs="Arial" w:eastAsia="Arial" w:hAnsi="Arial"/>
          <w:sz w:val="17"/>
          <w:szCs w:val="17"/>
          <w:color w:val="auto"/>
        </w:rPr>
        <w:t>In 2006, the FASB issued Interpretation No. 48, “Accounting for Uncertainty in Income Taxes” (FIN 48), which clarifies the accounting for uncertainty in income taxes recognized in a company’s financial statements in accordance with FASB Statement No. 109, “Accounting for Income Taxes.” FIN 48 describes when an uncertain tax item should be recorded in the financial statements and for how much, provides guidance on recording interest and penalties, and prescribes accounting and reporting for income taxes in interim periods. FIN 48 was effective for us on November 1, 2007. The adoption of FIN 48 had no material impact on our financial position or results of operations for the first quarter of fiscal 2008.</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As described previously, we operate in two reportable business segments: professional and residential. A third reportable segment called “other” consists of company-owned distributorships in the United States, corporate activities, and financing functions. Segment earnings for each of our two business segments is defined as earnings from operations plus other income, net. Loss for our third “other” segment includes earnings (loss) from operations, corporate activities, including corporate financing activities, other income, net, and interest expense.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The following table summarizes net sales by segment: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7"/>
                <w:szCs w:val="17"/>
                <w:color w:val="auto"/>
              </w:rPr>
              <w:t>Three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3" w:lineRule="exact"/>
              <w:rPr>
                <w:sz w:val="20"/>
                <w:szCs w:val="20"/>
                <w:color w:val="auto"/>
              </w:rPr>
            </w:pPr>
            <w:r>
              <w:rPr>
                <w:rFonts w:ascii="Arial" w:cs="Arial" w:eastAsia="Arial" w:hAnsi="Arial"/>
                <w:sz w:val="17"/>
                <w:szCs w:val="17"/>
                <w:color w:val="auto"/>
                <w:w w:val="91"/>
              </w:rPr>
              <w:t>February 1,</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93" w:lineRule="exact"/>
              <w:rPr>
                <w:sz w:val="20"/>
                <w:szCs w:val="20"/>
                <w:color w:val="auto"/>
              </w:rPr>
            </w:pPr>
            <w:r>
              <w:rPr>
                <w:rFonts w:ascii="Arial" w:cs="Arial" w:eastAsia="Arial" w:hAnsi="Arial"/>
                <w:sz w:val="17"/>
                <w:szCs w:val="17"/>
                <w:color w:val="auto"/>
                <w:w w:val="89"/>
              </w:rPr>
              <w:t>February 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4"/>
              </w:rPr>
              <w:t>$ Change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293,196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272,142</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21,054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Residential</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108,176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101,858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6,318</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6"/>
        </w:trPr>
        <w:tc>
          <w:tcPr>
            <w:tcW w:w="5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tcPr>
          <w:p>
            <w:pPr>
              <w:ind w:left="160"/>
              <w:spacing w:after="0"/>
              <w:rPr>
                <w:sz w:val="20"/>
                <w:szCs w:val="20"/>
                <w:color w:val="auto"/>
              </w:rPr>
            </w:pPr>
            <w:r>
              <w:rPr>
                <w:rFonts w:ascii="Arial" w:cs="Arial" w:eastAsia="Arial" w:hAnsi="Arial"/>
                <w:sz w:val="17"/>
                <w:szCs w:val="17"/>
                <w:color w:val="auto"/>
              </w:rPr>
              <w:t>Total*</w:t>
            </w:r>
          </w:p>
        </w:tc>
        <w:tc>
          <w:tcPr>
            <w:tcW w:w="5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405,799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379,088</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26,711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158,457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132,613</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25,844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w w:val="93"/>
              </w:rPr>
              <w:t>The following table summarizes segment earnings (loss) before income taxes: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7"/>
                <w:szCs w:val="17"/>
                <w:color w:val="auto"/>
              </w:rPr>
              <w:t>Three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3" w:lineRule="exact"/>
              <w:rPr>
                <w:sz w:val="20"/>
                <w:szCs w:val="20"/>
                <w:color w:val="auto"/>
              </w:rPr>
            </w:pPr>
            <w:r>
              <w:rPr>
                <w:rFonts w:ascii="Arial" w:cs="Arial" w:eastAsia="Arial" w:hAnsi="Arial"/>
                <w:sz w:val="17"/>
                <w:szCs w:val="17"/>
                <w:color w:val="auto"/>
                <w:w w:val="91"/>
              </w:rPr>
              <w:t>February 1,</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93" w:lineRule="exact"/>
              <w:rPr>
                <w:sz w:val="20"/>
                <w:szCs w:val="20"/>
                <w:color w:val="auto"/>
              </w:rPr>
            </w:pPr>
            <w:r>
              <w:rPr>
                <w:rFonts w:ascii="Arial" w:cs="Arial" w:eastAsia="Arial" w:hAnsi="Arial"/>
                <w:sz w:val="17"/>
                <w:szCs w:val="17"/>
                <w:color w:val="auto"/>
                <w:w w:val="89"/>
              </w:rPr>
              <w:t>February 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4"/>
              </w:rPr>
              <w:t>$ Change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52,510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48,360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Residential</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2,824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(1,555)</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(26,499)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(27,051)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6"/>
        </w:trPr>
        <w:tc>
          <w:tcPr>
            <w:tcW w:w="5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tcPr>
          <w:p>
            <w:pPr>
              <w:ind w:left="160"/>
              <w:spacing w:after="0"/>
              <w:rPr>
                <w:sz w:val="20"/>
                <w:szCs w:val="20"/>
                <w:color w:val="auto"/>
              </w:rPr>
            </w:pPr>
            <w:r>
              <w:rPr>
                <w:rFonts w:ascii="Arial" w:cs="Arial" w:eastAsia="Arial" w:hAnsi="Arial"/>
                <w:sz w:val="17"/>
                <w:szCs w:val="17"/>
                <w:color w:val="auto"/>
              </w:rPr>
              <w:t>Total</w:t>
            </w:r>
          </w:p>
        </w:tc>
        <w:tc>
          <w:tcPr>
            <w:tcW w:w="5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28,835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25,688</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3,147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7"/>
                <w:szCs w:val="17"/>
                <w:color w:val="auto"/>
              </w:rPr>
              <w:t>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Professional</w:t>
      </w:r>
    </w:p>
    <w:p>
      <w:pPr>
        <w:spacing w:after="0" w:line="24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first quarter of fiscal 2008 were up 7.7 percent compared to the first quarter of fiscal 2007.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from strong international sales due to continued growth in international markets, particularly the golf and grounds markets; the success of new products introduced within the past two years; and a weaker U.S. dollar compared to other worldwide currencies in which we transact business. Domestic sales of professional segment products were slightly up for the first quarter comparison due mainly to the incremental sales from the acquisition of Rain Master Irrigation Systems, Inc. However, domestic sales of landscape contractor equipment were down for the first quarter comparison due mainly to distribution changes, as well as customers’ efforts to lower inventory levels. Domestic field inventory levels were lower as of the end of the first quarter of fiscal 2008 compared to the end of the first quarter of fiscal 2007, which should position us well for our second quarter of fiscal 2008.</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were $52.5 million in the first quarter of fiscal 2008 compared to $48.4 million in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2007, an increase of 8.6 percent. Expressed as a percentage of net sales, professional segment operating margins slightly increased to 17.9 percent compared to 17.8 percent in the first quarter of fiscal 2007. This profit improvement was the result of higher gross margins in the first quarter of fiscal 2008 compared to the first quarter of fiscal 2007 due to increased sales of higher margin products; a weaker U.S. dollar compared to other worldwide currencies in which we transact business; and select price increases. Somewhat offsetting the operating earnings improvement was an increase in SG&amp;A expense, primarily from higher marketing spending and additional investments in engineering.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Worldwide net sales for the residential segment in the first quarter of fiscal 2008 were up 6.2 percent compared to the first quarter of fiscal 2007.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due to higher worldwide sales of snow thrower products in key markets as a result of heavy snowfalls in those key markets during the 2007/2008 winter season and continued strong demand from our dealers for our innovative zero-turning radius riding mowers. Somewhat offsetting the sales increase was lower shipments to a key retailer, mainly of walk power mowers, due to the retailer’s efforts to lower their inventory levels by ordering product closer to retail demand. As a result of the reasons described above, field inventory levels were down for snow throwers and walk power mowers as of the end of the first quarter of fiscal 2008 compared to the end of the same quarter last fiscal year.</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decreased $1.6 million in the first quarter of fiscal 2008 compared to the first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2007. Expressed as a percentage of net sales, residential segment operating margins decreased to 2.6 percent compared to 4.3 percent in the first quarter of fiscal 2007. This decrease was due mainly to a decline in gross margins as a result of increased freight costs and higher tooling expense associated with new product investments. However, in the first quarter of fiscal 2008 SG&amp;A expense as a percentage of net sales was lower compared to the first quarter of fiscal 2007 due to leveraging fixed SG&amp;A costs over higher sales volumes.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i w:val="1"/>
          <w:iCs w:val="1"/>
          <w:u w:val="single" w:color="auto"/>
          <w:color w:val="auto"/>
        </w:rPr>
        <w:t>Net Sales</w:t>
      </w:r>
      <w:r>
        <w:rPr>
          <w:rFonts w:ascii="Arial" w:cs="Arial" w:eastAsia="Arial" w:hAnsi="Arial"/>
          <w:sz w:val="15"/>
          <w:szCs w:val="15"/>
          <w:i w:val="1"/>
          <w:iCs w:val="1"/>
          <w:color w:val="auto"/>
        </w:rPr>
        <w:t xml:space="preserve">. </w:t>
      </w:r>
      <w:r>
        <w:rPr>
          <w:rFonts w:ascii="Arial" w:cs="Arial" w:eastAsia="Arial" w:hAnsi="Arial"/>
          <w:sz w:val="15"/>
          <w:szCs w:val="15"/>
          <w:color w:val="auto"/>
        </w:rPr>
        <w:t>Net sales for the other segment include sales from our wholly owned domestic distribution companies less sales from the professional and residential</w:t>
      </w:r>
      <w:r>
        <w:rPr>
          <w:rFonts w:ascii="Arial" w:cs="Arial" w:eastAsia="Arial" w:hAnsi="Arial"/>
          <w:sz w:val="15"/>
          <w:szCs w:val="15"/>
          <w:i w:val="1"/>
          <w:iCs w:val="1"/>
          <w:color w:val="auto"/>
        </w:rPr>
        <w:t xml:space="preserve"> </w:t>
      </w:r>
      <w:r>
        <w:rPr>
          <w:rFonts w:ascii="Arial" w:cs="Arial" w:eastAsia="Arial" w:hAnsi="Arial"/>
          <w:sz w:val="15"/>
          <w:szCs w:val="15"/>
          <w:color w:val="auto"/>
        </w:rPr>
        <w:t>segments to those distribution companies. In addition, elimination of the professional and residential segments’ floor plan interest costs from Toro Credit Company are also included in this segment. The other segment net sales decreased $0.7 million, or 13.0 percent, in the first quarter of fiscal 2008 compared to the first quarter of fiscal 2007, due mainly to the sale of a portion of the operations of one of our company-owned distributorships in the first quarter of fiscal 2008.</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color w:val="auto"/>
        </w:rPr>
        <w:t>. Operating losses for the other segment were down $0.6 million or 2.0 percent for the first quarter of fiscal 2008 compared to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2007. This loss decrease was due to last fiscal year’s incremental retirement plan contribution to certain participants’ profit sharing accounts to correct an identified contribution shortfall and a decline in operating losses at the company-owned distributorships, somewhat offset by lower financing revenue and an increase in interest expense.</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Receivables as of the end of the first quarter of fiscal 2008 were down 3.5 percent compared to the end of the first quarter of fiscal 2007. Our average days sales outstanding for receivables improved to 71 days based on sales for the last twelve months ended February 1, 2008, compared to 73 days for the twelve months ended February 2, 2007. Inventory was also down as of the end of the first quarter of fiscal 2008 by 3.7 percent compared to the end of the first quarter of fiscal 2007, and average inventory turnover was even for the twelve months ended February 1, 2008 compared to the twelve months ended February 2, 2007. These improvements were the result of our additional emphasis on improving asset utilization as part of our GrowLean initiative.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acquisitions, debt repayments, quarterly cash dividend payments, and stock repurchases for at least the next twelve months.</w:t>
      </w:r>
    </w:p>
    <w:p>
      <w:pPr>
        <w:spacing w:after="0" w:line="3" w:lineRule="exact"/>
        <w:rPr>
          <w:sz w:val="20"/>
          <w:szCs w:val="20"/>
          <w:color w:val="auto"/>
        </w:rPr>
      </w:pPr>
    </w:p>
    <w:p>
      <w:pPr>
        <w:ind w:right="240" w:firstLine="213"/>
        <w:spacing w:after="0" w:line="262" w:lineRule="auto"/>
        <w:rPr>
          <w:sz w:val="20"/>
          <w:szCs w:val="20"/>
          <w:color w:val="auto"/>
        </w:rPr>
      </w:pPr>
      <w:r>
        <w:rPr>
          <w:rFonts w:ascii="Arial" w:cs="Arial" w:eastAsia="Arial" w:hAnsi="Arial"/>
          <w:sz w:val="17"/>
          <w:szCs w:val="17"/>
          <w:color w:val="auto"/>
        </w:rPr>
        <w:t>Our Board of Directors approved a cash dividend of $0.15 per share for the first quarter of fiscal 2008 paid on January 11, 2008, which was an increase over our cash dividend of $0.12 per share for the first quarter of fiscal 2007.</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Our first fiscal quarter historically uses more operating cash than other quarters due to the seasonality of our business. Cash used in operating activities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three months of fiscal 2008 was $40.8 million lower than the first three months of fiscal 2007 due primarily to a lower increase in inventory levels for the first three months of fiscal 2008 compared to the first three months of fiscal 2007, as well as the fact that last year we used cash to fund a majority of our deferred compensation plans that resulted in a decline in accrued liabilities. Cash used in investing activities was lower by $3.3 million compared to the first quarter of fiscal 2007, due mainly to a decrease of purchases of property, plant, and equipment in the first quarter of fiscal 2008 compared to the first quarter of fiscal 2007, as well as cash received from the sale of a portion of the operations of one of our company-owned distributorships in the first quarter of fiscal 2008. Cash provided by financing activities was also lower by $51.0 million compared to the first quarter of fiscal 2007 due mainly to a decline in short-term debt for the first quarter of fiscal 2008 compared to the first quarter of fiscal 2007.</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 is seasonal, with accounts receivable balances historically increasing between January and April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January and April. Seasonal cash requirements are financed from operations and with short-term financing arrangements, including a $175.0 million unsecured senior five-year revolving credit facility, which was recently increased to $225.0 million on February 29, 2008 and expires in January 2012. Interest expense on this credit line is determined based on a LIBOR rate plus a basis point spread defined in the credit agreement. In addition, our non-U.S. operations maintain unsecured short-term lines of credit of approximately $16 million. These facilities bear interest at various rates depending on the rates in their respective countries of operation. We also have a letter of credit subfacility as part of our credit agreement. Average short-term debt was $55.2 million in the first quarter of fiscal 2008 compared to $61.1 million in the first quarter of fiscal 2007, a decrease of 9.7 percent. This decline was due mainly to a decrease in working capital needs in the first quarter of fiscal 2008 compared to the first quarter of fiscal 2007 as a result of lower levels of accounts receivable and inventory previously discussed, as well as an increase in long-term debt as of the end of the first quarter of fiscal 2008 compared to the end of the first quarter of fiscal 2007. As of February 1, 2008, we had $105.5 million of unutilized availability under our credit agreements.</w:t>
      </w:r>
    </w:p>
    <w:p>
      <w:pPr>
        <w:spacing w:after="0" w:line="2" w:lineRule="exact"/>
        <w:rPr>
          <w:sz w:val="20"/>
          <w:szCs w:val="20"/>
          <w:color w:val="auto"/>
        </w:rPr>
      </w:pPr>
    </w:p>
    <w:p>
      <w:pPr>
        <w:ind w:right="140" w:firstLine="213"/>
        <w:spacing w:after="0" w:line="262" w:lineRule="auto"/>
        <w:rPr>
          <w:sz w:val="20"/>
          <w:szCs w:val="20"/>
          <w:color w:val="auto"/>
        </w:rPr>
      </w:pPr>
      <w:r>
        <w:rPr>
          <w:rFonts w:ascii="Arial" w:cs="Arial" w:eastAsia="Arial" w:hAnsi="Arial"/>
          <w:sz w:val="17"/>
          <w:szCs w:val="17"/>
          <w:color w:val="auto"/>
        </w:rPr>
        <w:t>Significant financial covenants in our credit agreement are interest coverage and debt-to-capitalization ratios. We were in compliance with all covenants related to our credit agreements as of February 1, 2008, and expect to be in compliance with all covenants during fiscal 2008.</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243"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Our off-balance sheet arrangements generally relate to customer financing activities, inventory purchase commitments, deferred compensation arrangements, and operating lease commitments. See our most recently filed Annual Report on Form 10-K for further details regarding our off-balance sheet arrangements and contractual obligations. There has been no material change in this information as of the date of this Form 10-Q.</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are subject to the effects of inflation and changing prices. In the first quarter of fiscal 2008, average prices paid for most commodities we purchase were higher compared to the first quarter of fiscal 2007, which hampered our gross margin growth rate in the first quarter of fiscal 2008 compared to the first quarter of fiscal 2007. We expect average prices paid for commodities we purchase to increase for the remainder of fiscal 2008. We plan to attempt to mitigate the impact of these anticipated increases in commodity costs and other inflationary pressures by engaging in proactive vendor negotiations and internal cost reduction efforts, reviewing alternative sourcing options, and introducing moderate price increases on some products.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ind w:right="60" w:firstLine="213"/>
        <w:spacing w:after="0" w:line="253" w:lineRule="auto"/>
        <w:rPr>
          <w:sz w:val="20"/>
          <w:szCs w:val="20"/>
          <w:color w:val="auto"/>
        </w:rPr>
      </w:pPr>
      <w:r>
        <w:rPr>
          <w:rFonts w:ascii="Arial" w:cs="Arial" w:eastAsia="Arial" w:hAnsi="Arial"/>
          <w:sz w:val="17"/>
          <w:szCs w:val="17"/>
          <w:color w:val="auto"/>
        </w:rPr>
        <w:t>Our significant accounting policies are described in Note 1 to the notes to our consolidated financial statements included in our Annual Report on Form 10-K for the fiscal year ended October 31, 2007.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i w:val="1"/>
          <w:iCs w:val="1"/>
          <w:u w:val="single" w:color="auto"/>
          <w:color w:val="auto"/>
        </w:rPr>
        <w:t>Warranty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coverage on our products ranges from a period of six months to seven years, and covers parts, labor, and other expenses for non-maintenance repairs. Warranty coverage generally does not cover operator abuse and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may result in an increase in our warranty accrual and a decrease in our net earnings.</w:t>
      </w:r>
    </w:p>
    <w:p>
      <w:pPr>
        <w:spacing w:after="0" w:line="203" w:lineRule="exact"/>
        <w:rPr>
          <w:sz w:val="20"/>
          <w:szCs w:val="20"/>
          <w:color w:val="auto"/>
        </w:rPr>
      </w:pPr>
    </w:p>
    <w:p>
      <w:pPr>
        <w:jc w:val="both"/>
        <w:ind w:right="180"/>
        <w:spacing w:after="0" w:line="290" w:lineRule="auto"/>
        <w:rPr>
          <w:sz w:val="20"/>
          <w:szCs w:val="20"/>
          <w:color w:val="auto"/>
        </w:rPr>
      </w:pPr>
      <w:r>
        <w:rPr>
          <w:rFonts w:ascii="Arial" w:cs="Arial" w:eastAsia="Arial" w:hAnsi="Arial"/>
          <w:sz w:val="15"/>
          <w:szCs w:val="15"/>
          <w:i w:val="1"/>
          <w:iCs w:val="1"/>
          <w:u w:val="single" w:color="auto"/>
          <w:color w:val="auto"/>
        </w:rPr>
        <w:t>Sales Promotions and Incentives.</w:t>
      </w:r>
      <w:r>
        <w:rPr>
          <w:rFonts w:ascii="Arial" w:cs="Arial" w:eastAsia="Arial" w:hAnsi="Arial"/>
          <w:sz w:val="15"/>
          <w:szCs w:val="15"/>
          <w:i w:val="1"/>
          <w:iCs w:val="1"/>
          <w:color w:val="auto"/>
        </w:rPr>
        <w:t xml:space="preserve"> </w:t>
      </w:r>
      <w:r>
        <w:rPr>
          <w:rFonts w:ascii="Arial" w:cs="Arial" w:eastAsia="Arial" w:hAnsi="Arial"/>
          <w:sz w:val="15"/>
          <w:szCs w:val="15"/>
          <w:color w:val="auto"/>
        </w:rPr>
        <w:t>At the time of sale to a customer, we record an estimate for sales promotion and incentive costs, which are classified as a reduction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gross sales or as a component of SG&amp;A. Examples of sales promotion and incentive programs include rebate programs on certain professional products sold to distributors, volume discounts, retail financing support, floor planning, cooperative advertising, commissions, and other sales discounts and promotional programs.</w:t>
      </w:r>
    </w:p>
    <w:p>
      <w:pPr>
        <w:ind w:right="20"/>
        <w:spacing w:after="0" w:line="254" w:lineRule="auto"/>
        <w:rPr>
          <w:sz w:val="20"/>
          <w:szCs w:val="20"/>
          <w:color w:val="auto"/>
        </w:rPr>
      </w:pPr>
      <w:r>
        <w:rPr>
          <w:rFonts w:ascii="Arial" w:cs="Arial" w:eastAsia="Arial" w:hAnsi="Arial"/>
          <w:sz w:val="17"/>
          <w:szCs w:val="17"/>
          <w:color w:val="auto"/>
        </w:rPr>
        <w:t>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the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8" w:name="page19"/>
    <w:bookmarkEnd w:id="18"/>
    <w:p>
      <w:pPr>
        <w:ind w:right="200"/>
        <w:spacing w:after="0" w:line="287" w:lineRule="auto"/>
        <w:rPr>
          <w:sz w:val="20"/>
          <w:szCs w:val="20"/>
          <w:color w:val="auto"/>
        </w:rPr>
      </w:pPr>
      <w:r>
        <w:rPr>
          <w:rFonts w:ascii="Arial" w:cs="Arial" w:eastAsia="Arial" w:hAnsi="Arial"/>
          <w:sz w:val="15"/>
          <w:szCs w:val="15"/>
          <w:i w:val="1"/>
          <w:iCs w:val="1"/>
          <w:u w:val="single" w:color="auto"/>
          <w:color w:val="auto"/>
        </w:rPr>
        <w:t>Inventory Valuation.</w:t>
      </w:r>
      <w:r>
        <w:rPr>
          <w:rFonts w:ascii="Arial" w:cs="Arial" w:eastAsia="Arial" w:hAnsi="Arial"/>
          <w:sz w:val="15"/>
          <w:szCs w:val="15"/>
          <w:i w:val="1"/>
          <w:iCs w:val="1"/>
          <w:color w:val="auto"/>
        </w:rPr>
        <w:t xml:space="preserve"> </w:t>
      </w:r>
      <w:r>
        <w:rPr>
          <w:rFonts w:ascii="Arial" w:cs="Arial" w:eastAsia="Arial" w:hAnsi="Arial"/>
          <w:sz w:val="15"/>
          <w:szCs w:val="15"/>
          <w:color w:val="auto"/>
        </w:rPr>
        <w:t>We value our inventories at the lower of the cost of inventory or net realizable value, with cost determined by either the last-in, first-out (LIFO)</w:t>
      </w:r>
      <w:r>
        <w:rPr>
          <w:rFonts w:ascii="Arial" w:cs="Arial" w:eastAsia="Arial" w:hAnsi="Arial"/>
          <w:sz w:val="15"/>
          <w:szCs w:val="15"/>
          <w:i w:val="1"/>
          <w:iCs w:val="1"/>
          <w:color w:val="auto"/>
        </w:rPr>
        <w:t xml:space="preserve"> </w:t>
      </w:r>
      <w:r>
        <w:rPr>
          <w:rFonts w:ascii="Arial" w:cs="Arial" w:eastAsia="Arial" w:hAnsi="Arial"/>
          <w:sz w:val="15"/>
          <w:szCs w:val="15"/>
          <w:color w:val="auto"/>
        </w:rPr>
        <w:t>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jc w:val="both"/>
        <w:ind w:right="500" w:firstLine="210"/>
        <w:spacing w:after="0" w:line="307" w:lineRule="auto"/>
        <w:rPr>
          <w:sz w:val="20"/>
          <w:szCs w:val="20"/>
          <w:color w:val="auto"/>
        </w:rPr>
      </w:pPr>
      <w:r>
        <w:rPr>
          <w:rFonts w:ascii="Arial" w:cs="Arial" w:eastAsia="Arial" w:hAnsi="Arial"/>
          <w:sz w:val="15"/>
          <w:szCs w:val="15"/>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5"/>
          <w:szCs w:val="15"/>
          <w:i w:val="1"/>
          <w:iCs w:val="1"/>
          <w:u w:val="single" w:color="auto"/>
          <w:color w:val="auto"/>
        </w:rPr>
        <w:t>Accounts and Notes Receivable Valuation.</w:t>
      </w:r>
      <w:r>
        <w:rPr>
          <w:rFonts w:ascii="Arial" w:cs="Arial" w:eastAsia="Arial" w:hAnsi="Arial"/>
          <w:sz w:val="15"/>
          <w:szCs w:val="15"/>
          <w:i w:val="1"/>
          <w:iCs w:val="1"/>
          <w:color w:val="auto"/>
        </w:rPr>
        <w:t xml:space="preserve"> </w:t>
      </w:r>
      <w:r>
        <w:rPr>
          <w:rFonts w:ascii="Arial" w:cs="Arial" w:eastAsia="Arial" w:hAnsi="Arial"/>
          <w:sz w:val="15"/>
          <w:szCs w:val="15"/>
          <w:color w:val="auto"/>
        </w:rPr>
        <w:t>We value accounts and notes receivable, net of an allowance for doubtful accounts. Each fiscal quarter, we prepare an</w:t>
      </w:r>
      <w:r>
        <w:rPr>
          <w:rFonts w:ascii="Arial" w:cs="Arial" w:eastAsia="Arial" w:hAnsi="Arial"/>
          <w:sz w:val="15"/>
          <w:szCs w:val="15"/>
          <w:i w:val="1"/>
          <w:iCs w:val="1"/>
          <w:color w:val="auto"/>
        </w:rPr>
        <w:t xml:space="preserve"> </w:t>
      </w:r>
      <w:r>
        <w:rPr>
          <w:rFonts w:ascii="Arial" w:cs="Arial" w:eastAsia="Arial" w:hAnsi="Arial"/>
          <w:sz w:val="15"/>
          <w:szCs w:val="15"/>
          <w:color w:val="auto"/>
        </w:rPr>
        <w:t>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may record a credit or charge to SG&amp;A in the period that we made such a determination.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to be Adopted</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December 2007, the Financial Accounting Standards Board (FASB) issued Statement of Financial Accounting Standards (SFAS) No. 141 (Revised 2007), “Business Combinations.” SFAS No. 141R applies to all business combinations and requires most identifiable assets, liabilities, noncontrolling interests, and goodwill acquired to be recorded at “full fair value.” We will adopt the provisions of SFAS No. 141R to any business combination occurring on or after November 1, 2009, as required.</w:t>
      </w:r>
    </w:p>
    <w:p>
      <w:pPr>
        <w:spacing w:after="0" w:line="2" w:lineRule="exact"/>
        <w:rPr>
          <w:sz w:val="20"/>
          <w:szCs w:val="20"/>
          <w:color w:val="auto"/>
        </w:rPr>
      </w:pPr>
    </w:p>
    <w:p>
      <w:pPr>
        <w:ind w:right="60" w:firstLine="213"/>
        <w:spacing w:after="0" w:line="251"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and expands disclosures concerning fair value. We will adopt the provisions of SFAS No. 157 for financial assets and liabilities and nonfinancial assets and liabilities measured at fair value on a recurring basis during the first quarter of fiscal 2009, as required. 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this new pronouncement will have a material impact on our consolidated financial condition or results of operations.</w:t>
      </w:r>
    </w:p>
    <w:p>
      <w:pPr>
        <w:spacing w:after="0" w:line="1" w:lineRule="exact"/>
        <w:rPr>
          <w:sz w:val="20"/>
          <w:szCs w:val="20"/>
          <w:color w:val="auto"/>
        </w:rPr>
      </w:pPr>
    </w:p>
    <w:p>
      <w:pPr>
        <w:ind w:right="380" w:firstLine="213"/>
        <w:spacing w:after="0" w:line="262" w:lineRule="auto"/>
        <w:rPr>
          <w:sz w:val="20"/>
          <w:szCs w:val="20"/>
          <w:color w:val="auto"/>
        </w:rPr>
      </w:pPr>
      <w:r>
        <w:rPr>
          <w:rFonts w:ascii="Arial" w:cs="Arial" w:eastAsia="Arial" w:hAnsi="Arial"/>
          <w:sz w:val="17"/>
          <w:szCs w:val="17"/>
          <w:color w:val="auto"/>
        </w:rPr>
        <w:t>No other new accounting pronouncement that has been issued but not yet effective for us during the first quarter of fiscal 2008 has had or is expected to have a material impact on our consolidated financial statements.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Forward-Looking Information</w:t>
      </w:r>
    </w:p>
    <w:p>
      <w:pPr>
        <w:spacing w:after="0" w:line="243"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“looking ahead”, “outlook”, “optimistic”, “plan”, “anticipate”, “estimate”, “believe”, “could”, “should”, “may”,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83" w:lineRule="exact"/>
        <w:rPr>
          <w:sz w:val="20"/>
          <w:szCs w:val="20"/>
          <w:color w:val="auto"/>
        </w:rPr>
      </w:pPr>
    </w:p>
    <w:p>
      <w:pPr>
        <w:jc w:val="both"/>
        <w:ind w:right="80"/>
        <w:spacing w:after="0" w:line="255" w:lineRule="auto"/>
        <w:rPr>
          <w:sz w:val="20"/>
          <w:szCs w:val="20"/>
          <w:color w:val="auto"/>
        </w:rPr>
      </w:pPr>
      <w:r>
        <w:rPr>
          <w:rFonts w:ascii="Arial" w:cs="Arial" w:eastAsia="Arial" w:hAnsi="Arial"/>
          <w:sz w:val="17"/>
          <w:szCs w:val="17"/>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jc w:val="both"/>
        <w:ind w:left="300" w:hanging="118"/>
        <w:spacing w:after="0" w:line="284" w:lineRule="auto"/>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Changes in economic conditions and outlook in the United States and around the world, including but not limited to slow domestic and worldwide economic growth rates; slow downs or reductions in home ownership, construction, and home sales; consumer spending levels; employment rates; interest rates; inflation; consumer confidence; and general economic and political conditions and expectations in the United States and the foreign countries in which we conduct business.</w:t>
      </w:r>
    </w:p>
    <w:p>
      <w:pPr>
        <w:spacing w:after="0" w:line="1" w:lineRule="exact"/>
        <w:rPr>
          <w:rFonts w:ascii="Arial" w:cs="Arial" w:eastAsia="Arial" w:hAnsi="Arial"/>
          <w:sz w:val="15"/>
          <w:szCs w:val="15"/>
          <w:color w:val="auto"/>
        </w:rPr>
      </w:pPr>
    </w:p>
    <w:p>
      <w:pPr>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and availability of raw materials and components that we purchase and increases in our other costs of doing business, such as transportation costs, may adversely affect our profit margins and business.</w:t>
      </w:r>
    </w:p>
    <w:p>
      <w:pPr>
        <w:ind w:left="300" w:hanging="11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Weather conditions may reduce demand for some of our products and adversely affect our net sales.</w:t>
      </w:r>
    </w:p>
    <w:p>
      <w:pPr>
        <w:spacing w:after="0" w:line="9" w:lineRule="exact"/>
        <w:rPr>
          <w:rFonts w:ascii="Arial" w:cs="Arial" w:eastAsia="Arial" w:hAnsi="Arial"/>
          <w:sz w:val="17"/>
          <w:szCs w:val="17"/>
          <w:color w:val="auto"/>
        </w:rPr>
      </w:pPr>
    </w:p>
    <w:p>
      <w:pPr>
        <w:jc w:val="both"/>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the level of growth in the residential and commercial construction markets, growth of homeowners’ who outsource lawn care, the amount of investment in golf course renovations and improvements, new golf course development, golf course closures, and the amount of government spending for grounds maintenance equipment.</w:t>
      </w:r>
    </w:p>
    <w:p>
      <w:pPr>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the amount of product placement at retailers, changing buying patterns of customers, and The Home Depot, Inc. as a major customer.</w:t>
      </w:r>
    </w:p>
    <w:p>
      <w:pPr>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we may experience a decrease in demand for our products, and our business could suffer.</w:t>
      </w:r>
    </w:p>
    <w:p>
      <w:pPr>
        <w:ind w:left="300" w:hanging="11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financial and other resources than we do.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jc w:val="both"/>
        <w:ind w:left="300" w:hanging="11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300" w:hanging="11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Fluctuations in foreign currency exchange rates could result in declines in our reported net sales and net earnings.</w:t>
      </w:r>
    </w:p>
    <w:p>
      <w:pPr>
        <w:spacing w:after="0" w:line="9" w:lineRule="exact"/>
        <w:rPr>
          <w:rFonts w:ascii="Arial" w:cs="Arial" w:eastAsia="Arial" w:hAnsi="Arial"/>
          <w:sz w:val="17"/>
          <w:szCs w:val="17"/>
          <w:color w:val="auto"/>
        </w:rPr>
      </w:pPr>
    </w:p>
    <w:p>
      <w:pPr>
        <w:jc w:val="both"/>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intend to grow our business in part through additional acquisitions and alliances, stronger customer relations, and new partnerships, which are risky and could harm our business, particularly if we are not able to successfully integrate such acquisitions, alliances, and partnerships.</w:t>
      </w:r>
    </w:p>
    <w:p>
      <w:pPr>
        <w:ind w:left="300" w:hanging="11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jc w:val="both"/>
        <w:ind w:left="300" w:hanging="118"/>
        <w:spacing w:after="0" w:line="255"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20" w:name="page21"/>
    <w:bookmarkEnd w:id="20"/>
    <w:p>
      <w:pPr>
        <w:ind w:left="300" w:hanging="118"/>
        <w:spacing w:after="0" w:line="258"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jc w:val="both"/>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ratings of lawnmowers, of which we are currently unable to assess whether such litigation would have a material adverse effect on our consolidated operating results or financial condition, although an adverse result might be material to our operating results in a particular period.</w:t>
      </w:r>
    </w:p>
    <w:p>
      <w:pPr>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retain our key employees, and attract and retain other qualified personnel, we may not be able to meet strategic objectives and our business could suffer.</w:t>
      </w:r>
    </w:p>
    <w:p>
      <w:pPr>
        <w:jc w:val="both"/>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In addition, if we are unable to comply with the terms of our credit arrangements and indentures, especially the financial covenants, our credit arrangements could be terminated and our senior notes and debentures could become due and payable.</w:t>
      </w:r>
    </w:p>
    <w:p>
      <w:pPr>
        <w:jc w:val="both"/>
        <w:ind w:left="300" w:hanging="118"/>
        <w:spacing w:after="0" w:line="284"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business is subject to a number of other factors that may adversely affect our operating results, financial condition, or business, such as natural or man-made disasters that may result in shortages of raw materials, higher fuel costs, and an increase in insurance premiums; financial viability of some distributors and dealers and their ability to obtain adequate financing, changes in distributor ownership, changes in channel distribution of our products, relationships with our distribution channel partners, our success in partnering with new dealers, and our customers’ ability to pay amounts owed to us; ability of management to adapt to</w:t>
      </w:r>
    </w:p>
    <w:p>
      <w:pPr>
        <w:spacing w:after="0" w:line="2" w:lineRule="exact"/>
        <w:rPr>
          <w:sz w:val="20"/>
          <w:szCs w:val="20"/>
          <w:color w:val="auto"/>
        </w:rPr>
      </w:pPr>
    </w:p>
    <w:p>
      <w:pPr>
        <w:ind w:left="300"/>
        <w:spacing w:after="0" w:line="251" w:lineRule="auto"/>
        <w:rPr>
          <w:sz w:val="20"/>
          <w:szCs w:val="20"/>
          <w:color w:val="auto"/>
        </w:rPr>
      </w:pPr>
      <w:r>
        <w:rPr>
          <w:rFonts w:ascii="Arial" w:cs="Arial" w:eastAsia="Arial" w:hAnsi="Arial"/>
          <w:sz w:val="17"/>
          <w:szCs w:val="17"/>
          <w:color w:val="auto"/>
        </w:rPr>
        <w:t>unplanned events; and continued threat of terrorist acts and war that may result in heightened security and higher costs for import and export shipments of components or finished goods, reduced leisure travel, and contraction of the U.S. and world economies.</w:t>
      </w:r>
    </w:p>
    <w:p>
      <w:pPr>
        <w:ind w:right="200"/>
        <w:spacing w:after="0" w:line="251"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 w:lineRule="exact"/>
        <w:rPr>
          <w:sz w:val="20"/>
          <w:szCs w:val="20"/>
          <w:color w:val="auto"/>
        </w:rPr>
      </w:pPr>
    </w:p>
    <w:p>
      <w:pPr>
        <w:ind w:right="20" w:firstLine="210"/>
        <w:spacing w:after="0" w:line="291"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0"/>
          <w:szCs w:val="20"/>
          <w:b w:val="1"/>
          <w:bCs w:val="1"/>
          <w:color w:val="auto"/>
        </w:rPr>
        <w:t>Item 3. QUANTITATIVE AND QUALITIATIVE DISCLOSURES ABOUT MARKET RISK</w:t>
      </w:r>
    </w:p>
    <w:p>
      <w:pPr>
        <w:spacing w:after="0" w:line="24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9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color w:val="auto"/>
        </w:rPr>
        <w:t>. In the normal course of business, we actively manage the exposure of our foreign currency market risk by entering into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rate fluctuations and to minimize earnings and cash flow volatility associated with foreign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results from operations outside the United States while a weaker dollar generally has a positive effect. Our primary currency exchange rate exposures are with the Euro, the Japanese yen, the Australian dollar, the Canadian dollar, the British pound, and the Mexican peso against the U.S. dollar.</w:t>
      </w:r>
    </w:p>
    <w:p>
      <w:pPr>
        <w:spacing w:after="0" w:line="6" w:lineRule="exact"/>
        <w:rPr>
          <w:sz w:val="20"/>
          <w:szCs w:val="20"/>
          <w:color w:val="auto"/>
        </w:rPr>
      </w:pPr>
    </w:p>
    <w:p>
      <w:pPr>
        <w:ind w:right="40" w:firstLine="210"/>
        <w:spacing w:after="0" w:line="266"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months ended February 1, 2008, the amount of losses reclassified to earnings for such cash flow hedges was $1.9 million. For the three months ended February 1, 2008, the losses treated as a reduction to net sales for contracts to hedge trade sales were $2.0 million and the gains treated as a reduction of cost of sales for contracts to hedge inventory purchases were $0.1 million.</w:t>
      </w:r>
    </w:p>
    <w:p>
      <w:pPr>
        <w:spacing w:after="0" w:line="6" w:lineRule="exact"/>
        <w:rPr>
          <w:sz w:val="20"/>
          <w:szCs w:val="20"/>
          <w:color w:val="auto"/>
        </w:rPr>
      </w:pPr>
    </w:p>
    <w:p>
      <w:pPr>
        <w:ind w:right="140" w:firstLine="210"/>
        <w:spacing w:after="0" w:line="299" w:lineRule="auto"/>
        <w:rPr>
          <w:sz w:val="20"/>
          <w:szCs w:val="20"/>
          <w:color w:val="auto"/>
        </w:rPr>
      </w:pPr>
      <w:r>
        <w:rPr>
          <w:rFonts w:ascii="Arial" w:cs="Arial" w:eastAsia="Arial" w:hAnsi="Arial"/>
          <w:sz w:val="15"/>
          <w:szCs w:val="15"/>
          <w:color w:val="auto"/>
        </w:rPr>
        <w:t>The following foreign currency exchange rate contracts held by us have maturity dates in fiscal 2008.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for the three months ended February 1, 2008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Value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5960" w:type="dxa"/>
            <w:vAlign w:val="bottom"/>
          </w:tcPr>
          <w:p>
            <w:pPr>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Contracted</w:t>
            </w:r>
          </w:p>
        </w:tc>
        <w:tc>
          <w:tcPr>
            <w:tcW w:w="18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Notional</w:t>
            </w:r>
          </w:p>
        </w:tc>
        <w:tc>
          <w:tcPr>
            <w:tcW w:w="13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Impact</w:t>
            </w:r>
          </w:p>
        </w:tc>
      </w:tr>
      <w:tr>
        <w:trPr>
          <w:trHeight w:val="227"/>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(except average contracted rate)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Gain (Loss)</w:t>
            </w:r>
          </w:p>
        </w:tc>
        <w:tc>
          <w:tcPr>
            <w:tcW w:w="60" w:type="dxa"/>
            <w:vAlign w:val="bottom"/>
          </w:tcPr>
          <w:p>
            <w:pPr>
              <w:spacing w:after="0"/>
              <w:rPr>
                <w:sz w:val="19"/>
                <w:szCs w:val="19"/>
                <w:color w:val="auto"/>
              </w:rPr>
            </w:pPr>
          </w:p>
        </w:tc>
      </w:tr>
      <w:tr>
        <w:trPr>
          <w:trHeight w:val="192"/>
        </w:trPr>
        <w:tc>
          <w:tcPr>
            <w:tcW w:w="5960" w:type="dxa"/>
            <w:vAlign w:val="bottom"/>
          </w:tcPr>
          <w:p>
            <w:pPr>
              <w:spacing w:after="0" w:line="193" w:lineRule="exact"/>
              <w:rPr>
                <w:sz w:val="20"/>
                <w:szCs w:val="20"/>
                <w:color w:val="auto"/>
              </w:rPr>
            </w:pPr>
            <w:r>
              <w:rPr>
                <w:rFonts w:ascii="Arial" w:cs="Arial" w:eastAsia="Arial" w:hAnsi="Arial"/>
                <w:sz w:val="17"/>
                <w:szCs w:val="17"/>
                <w:color w:val="auto"/>
              </w:rPr>
              <w:t>Buy US dollar/Sell Australian dollar</w:t>
            </w:r>
          </w:p>
        </w:tc>
        <w:tc>
          <w:tcPr>
            <w:tcW w:w="10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7"/>
                <w:szCs w:val="17"/>
                <w:color w:val="auto"/>
              </w:rPr>
              <w:t>0.8724</w:t>
            </w:r>
          </w:p>
        </w:tc>
        <w:tc>
          <w:tcPr>
            <w:tcW w:w="22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44,267.0</w:t>
            </w:r>
          </w:p>
        </w:tc>
        <w:tc>
          <w:tcPr>
            <w:tcW w:w="220" w:type="dxa"/>
            <w:vAlign w:val="bottom"/>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(435.7)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(775.2)</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Canadian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0.9939</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7,256.8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(81.0)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(49.1)</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Euro</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1.4258</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93,101.9</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(3,563.5)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(1,688.8)</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British pound</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1.98265</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10,309.8</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(6.1)</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British pound/Sell US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1.98830</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4,970.8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(4.7)</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Euro/Sell Australian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0.6130</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Buy Mexican peso/Sell US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11.1041</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13,463.5</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52.6</w:t>
            </w:r>
          </w:p>
        </w:tc>
      </w:tr>
    </w:tbl>
    <w:p>
      <w:pPr>
        <w:spacing w:after="0" w:line="219" w:lineRule="exact"/>
        <w:rPr>
          <w:sz w:val="20"/>
          <w:szCs w:val="20"/>
          <w:color w:val="auto"/>
        </w:rPr>
      </w:pPr>
    </w:p>
    <w:p>
      <w:pPr>
        <w:ind w:firstLine="213"/>
        <w:spacing w:after="0" w:line="308"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from commercial banks as well as the potential increase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22" w:name="page23"/>
    <w:bookmarkEnd w:id="22"/>
    <w:p>
      <w:pPr>
        <w:ind w:right="120"/>
        <w:spacing w:after="0" w:line="255"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 steel,</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fuel, petroleum-based resin, and linerboard. Further information regarding rising prices for commodities is presented in Item 2 of this Quarterly Report on Form 10-Q, in the section entitled “Inflation.”</w:t>
      </w:r>
    </w:p>
    <w:p>
      <w:pPr>
        <w:spacing w:after="0" w:line="2" w:lineRule="exact"/>
        <w:rPr>
          <w:sz w:val="20"/>
          <w:szCs w:val="20"/>
          <w:color w:val="auto"/>
        </w:rPr>
      </w:pPr>
    </w:p>
    <w:p>
      <w:pPr>
        <w:ind w:right="540" w:firstLine="210"/>
        <w:spacing w:after="0" w:line="329" w:lineRule="auto"/>
        <w:rPr>
          <w:sz w:val="20"/>
          <w:szCs w:val="20"/>
          <w:color w:val="auto"/>
        </w:rPr>
      </w:pPr>
      <w:r>
        <w:rPr>
          <w:rFonts w:ascii="Arial" w:cs="Arial" w:eastAsia="Arial" w:hAnsi="Arial"/>
          <w:sz w:val="15"/>
          <w:szCs w:val="15"/>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(Exchange Act) is recorded, processed, summarized, and reported within the time periods specified in the Securities and Exchange Commission’s (SEC)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first quarter ended February 1, 2008 that has materially affected, or is reasonably likely to materially affect, our internal control over financial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1. LEGAL PROCEEDINGS</w:t>
      </w:r>
    </w:p>
    <w:p>
      <w:pPr>
        <w:spacing w:after="0" w:line="24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the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On December 21, 2006, another defendant, American Honda Motor Company, notified us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3" w:name="page24"/>
    <w:bookmarkEnd w:id="23"/>
    <w:p>
      <w:pPr>
        <w:ind w:right="220" w:firstLine="213"/>
        <w:spacing w:after="0" w:line="268" w:lineRule="auto"/>
        <w:rPr>
          <w:sz w:val="20"/>
          <w:szCs w:val="20"/>
          <w:color w:val="auto"/>
        </w:rPr>
      </w:pPr>
      <w:r>
        <w:rPr>
          <w:rFonts w:ascii="Arial" w:cs="Arial" w:eastAsia="Arial" w:hAnsi="Arial"/>
          <w:sz w:val="16"/>
          <w:szCs w:val="16"/>
          <w:color w:val="auto"/>
        </w:rPr>
        <w:t>In July 2005, Textron Innovations Inc., the patent holding company of Textron, Inc., filed a lawsuit in Delaware Federal District Court against the company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3" w:lineRule="exact"/>
        <w:rPr>
          <w:sz w:val="20"/>
          <w:szCs w:val="20"/>
          <w:color w:val="auto"/>
        </w:rPr>
      </w:pPr>
    </w:p>
    <w:p>
      <w:pPr>
        <w:ind w:right="160" w:firstLine="210"/>
        <w:spacing w:after="0" w:line="291" w:lineRule="auto"/>
        <w:rPr>
          <w:sz w:val="20"/>
          <w:szCs w:val="20"/>
          <w:color w:val="auto"/>
        </w:rPr>
      </w:pPr>
      <w:r>
        <w:rPr>
          <w:rFonts w:ascii="Arial" w:cs="Arial" w:eastAsia="Arial" w:hAnsi="Arial"/>
          <w:sz w:val="15"/>
          <w:szCs w:val="15"/>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minimize our risk of being a defendant in patent infringement litigation. While the ultimate results of the current cases are unknown at this time, management believes that, except for the lawsuits discussed above, the outcomes of these cases are unlikely to have a material adverse effect on our consolidated operating results or financial position.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are described in our most recently filed Annual Report on Form 10-K (Item 1A). There has been no material change in those risk factors.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7"/>
                <w:szCs w:val="17"/>
                <w:color w:val="auto"/>
                <w:w w:val="96"/>
              </w:rPr>
              <w:t>The following table shows our first quarter of fiscal 2008 stock repurchase activity: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24"/>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Total Number of</w:t>
            </w:r>
          </w:p>
        </w:tc>
        <w:tc>
          <w:tcPr>
            <w:tcW w:w="1120" w:type="dxa"/>
            <w:vAlign w:val="bottom"/>
          </w:tcPr>
          <w:p>
            <w:pPr>
              <w:jc w:val="center"/>
              <w:spacing w:after="0"/>
              <w:rPr>
                <w:sz w:val="20"/>
                <w:szCs w:val="20"/>
                <w:color w:val="auto"/>
              </w:rPr>
            </w:pPr>
            <w:r>
              <w:rPr>
                <w:rFonts w:ascii="Arial" w:cs="Arial" w:eastAsia="Arial" w:hAnsi="Arial"/>
                <w:sz w:val="17"/>
                <w:szCs w:val="17"/>
                <w:color w:val="auto"/>
                <w:w w:val="97"/>
              </w:rPr>
              <w:t>Maximum</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Shares (or</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Number</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4"/>
              </w:rPr>
              <w:t>Units)</w:t>
            </w: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of Shares (or</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Purchased</w:t>
            </w: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Units) that May</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As Part of</w:t>
            </w:r>
          </w:p>
        </w:tc>
        <w:tc>
          <w:tcPr>
            <w:tcW w:w="1120" w:type="dxa"/>
            <w:vAlign w:val="bottom"/>
          </w:tcPr>
          <w:p>
            <w:pPr>
              <w:jc w:val="center"/>
              <w:spacing w:after="0"/>
              <w:rPr>
                <w:sz w:val="20"/>
                <w:szCs w:val="20"/>
                <w:color w:val="auto"/>
              </w:rPr>
            </w:pPr>
            <w:r>
              <w:rPr>
                <w:rFonts w:ascii="Arial" w:cs="Arial" w:eastAsia="Arial" w:hAnsi="Arial"/>
                <w:sz w:val="17"/>
                <w:szCs w:val="17"/>
                <w:color w:val="auto"/>
                <w:w w:val="90"/>
              </w:rPr>
              <w:t>Yet Be</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Number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Publicly</w:t>
            </w:r>
          </w:p>
        </w:tc>
        <w:tc>
          <w:tcPr>
            <w:tcW w:w="1120" w:type="dxa"/>
            <w:vAlign w:val="bottom"/>
          </w:tcPr>
          <w:p>
            <w:pPr>
              <w:jc w:val="center"/>
              <w:spacing w:after="0"/>
              <w:rPr>
                <w:sz w:val="20"/>
                <w:szCs w:val="20"/>
                <w:color w:val="auto"/>
              </w:rPr>
            </w:pPr>
            <w:r>
              <w:rPr>
                <w:rFonts w:ascii="Arial" w:cs="Arial" w:eastAsia="Arial" w:hAnsi="Arial"/>
                <w:sz w:val="17"/>
                <w:szCs w:val="17"/>
                <w:color w:val="auto"/>
                <w:w w:val="86"/>
              </w:rPr>
              <w:t>Purchased</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color w:val="auto"/>
                <w:w w:val="85"/>
              </w:rPr>
              <w:t>Shares (or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Average Price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Announced</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Under the Plans</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Units)</w:t>
            </w:r>
          </w:p>
        </w:tc>
        <w:tc>
          <w:tcPr>
            <w:tcW w:w="60" w:type="dxa"/>
            <w:vAlign w:val="bottom"/>
          </w:tcPr>
          <w:p>
            <w:pPr>
              <w:spacing w:after="0"/>
              <w:rPr>
                <w:sz w:val="17"/>
                <w:szCs w:val="17"/>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7"/>
                <w:szCs w:val="17"/>
                <w:color w:val="auto"/>
                <w:w w:val="88"/>
              </w:rPr>
              <w:t>Paid per Share</w:t>
            </w: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color w:val="auto"/>
                <w:w w:val="84"/>
              </w:rPr>
              <w:t>Plans</w:t>
            </w:r>
          </w:p>
        </w:tc>
        <w:tc>
          <w:tcPr>
            <w:tcW w:w="1120" w:type="dxa"/>
            <w:vAlign w:val="bottom"/>
          </w:tcPr>
          <w:p>
            <w:pPr>
              <w:jc w:val="center"/>
              <w:spacing w:after="0"/>
              <w:rPr>
                <w:sz w:val="20"/>
                <w:szCs w:val="20"/>
                <w:color w:val="auto"/>
              </w:rPr>
            </w:pPr>
            <w:r>
              <w:rPr>
                <w:rFonts w:ascii="Arial" w:cs="Arial" w:eastAsia="Arial" w:hAnsi="Arial"/>
                <w:sz w:val="17"/>
                <w:szCs w:val="17"/>
                <w:color w:val="auto"/>
              </w:rPr>
              <w:t>or</w:t>
            </w:r>
          </w:p>
        </w:tc>
      </w:tr>
      <w:tr>
        <w:trPr>
          <w:trHeight w:val="223"/>
        </w:trPr>
        <w:tc>
          <w:tcPr>
            <w:tcW w:w="5960" w:type="dxa"/>
            <w:vAlign w:val="bottom"/>
          </w:tcPr>
          <w:p>
            <w:pPr>
              <w:ind w:left="2760"/>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Purchased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color w:val="auto"/>
                <w:w w:val="97"/>
              </w:rPr>
              <w:t>(or Unit)</w:t>
            </w: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or Programs</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Programs (1)</w:t>
            </w:r>
          </w:p>
        </w:tc>
      </w:tr>
      <w:tr>
        <w:trPr>
          <w:trHeight w:val="397"/>
        </w:trPr>
        <w:tc>
          <w:tcPr>
            <w:tcW w:w="5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November 1, 2007 through</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November 30, 2007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420,000</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53.14</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420,000</w:t>
            </w:r>
          </w:p>
        </w:tc>
        <w:tc>
          <w:tcPr>
            <w:tcW w:w="1120" w:type="dxa"/>
            <w:vAlign w:val="bottom"/>
          </w:tcPr>
          <w:p>
            <w:pPr>
              <w:jc w:val="right"/>
              <w:spacing w:after="0"/>
              <w:rPr>
                <w:sz w:val="20"/>
                <w:szCs w:val="20"/>
                <w:color w:val="auto"/>
              </w:rPr>
            </w:pPr>
            <w:r>
              <w:rPr>
                <w:rFonts w:ascii="Arial" w:cs="Arial" w:eastAsia="Arial" w:hAnsi="Arial"/>
                <w:sz w:val="17"/>
                <w:szCs w:val="17"/>
                <w:color w:val="auto"/>
              </w:rPr>
              <w:t>714,175</w:t>
            </w:r>
          </w:p>
        </w:tc>
      </w:tr>
      <w:tr>
        <w:trPr>
          <w:trHeight w:val="398"/>
        </w:trPr>
        <w:tc>
          <w:tcPr>
            <w:tcW w:w="5960" w:type="dxa"/>
            <w:vAlign w:val="bottom"/>
          </w:tcPr>
          <w:p>
            <w:pPr>
              <w:spacing w:after="0"/>
              <w:rPr>
                <w:sz w:val="20"/>
                <w:szCs w:val="20"/>
                <w:color w:val="auto"/>
              </w:rPr>
            </w:pPr>
            <w:r>
              <w:rPr>
                <w:rFonts w:ascii="Arial" w:cs="Arial" w:eastAsia="Arial" w:hAnsi="Arial"/>
                <w:sz w:val="17"/>
                <w:szCs w:val="17"/>
                <w:color w:val="auto"/>
              </w:rPr>
              <w:t>December 1, 2007 through</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December 28, 2007</w:t>
            </w:r>
          </w:p>
        </w:tc>
        <w:tc>
          <w:tcPr>
            <w:tcW w:w="1500" w:type="dxa"/>
            <w:vAlign w:val="bottom"/>
            <w:gridSpan w:val="3"/>
          </w:tcPr>
          <w:p>
            <w:pPr>
              <w:jc w:val="right"/>
              <w:ind w:right="40"/>
              <w:spacing w:after="0"/>
              <w:rPr>
                <w:sz w:val="20"/>
                <w:szCs w:val="20"/>
                <w:color w:val="auto"/>
              </w:rPr>
            </w:pPr>
            <w:r>
              <w:rPr>
                <w:rFonts w:ascii="Arial" w:cs="Arial" w:eastAsia="Arial" w:hAnsi="Arial"/>
                <w:sz w:val="17"/>
                <w:szCs w:val="17"/>
                <w:color w:val="auto"/>
              </w:rPr>
              <w:t>172,635(2)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55.83</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170,086</w:t>
            </w:r>
          </w:p>
        </w:tc>
        <w:tc>
          <w:tcPr>
            <w:tcW w:w="1120" w:type="dxa"/>
            <w:vAlign w:val="bottom"/>
          </w:tcPr>
          <w:p>
            <w:pPr>
              <w:jc w:val="right"/>
              <w:spacing w:after="0"/>
              <w:rPr>
                <w:sz w:val="20"/>
                <w:szCs w:val="20"/>
                <w:color w:val="auto"/>
              </w:rPr>
            </w:pPr>
            <w:r>
              <w:rPr>
                <w:rFonts w:ascii="Arial" w:cs="Arial" w:eastAsia="Arial" w:hAnsi="Arial"/>
                <w:sz w:val="17"/>
                <w:szCs w:val="17"/>
                <w:color w:val="auto"/>
              </w:rPr>
              <w:t>544,089</w:t>
            </w:r>
          </w:p>
        </w:tc>
      </w:tr>
      <w:tr>
        <w:trPr>
          <w:trHeight w:val="398"/>
        </w:trPr>
        <w:tc>
          <w:tcPr>
            <w:tcW w:w="5960" w:type="dxa"/>
            <w:vAlign w:val="bottom"/>
          </w:tcPr>
          <w:p>
            <w:pPr>
              <w:spacing w:after="0"/>
              <w:rPr>
                <w:sz w:val="20"/>
                <w:szCs w:val="20"/>
                <w:color w:val="auto"/>
              </w:rPr>
            </w:pPr>
            <w:r>
              <w:rPr>
                <w:rFonts w:ascii="Arial" w:cs="Arial" w:eastAsia="Arial" w:hAnsi="Arial"/>
                <w:sz w:val="17"/>
                <w:szCs w:val="17"/>
                <w:color w:val="auto"/>
              </w:rPr>
              <w:t>December 29, 2007 through</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February 1, 2008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544,089</w:t>
            </w:r>
          </w:p>
        </w:tc>
      </w:tr>
      <w:tr>
        <w:trPr>
          <w:trHeight w:val="26"/>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409"/>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592,635</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53.92</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590,086</w:t>
            </w:r>
          </w:p>
        </w:tc>
        <w:tc>
          <w:tcPr>
            <w:tcW w:w="1120" w:type="dxa"/>
            <w:vAlign w:val="bottom"/>
          </w:tcPr>
          <w:p>
            <w:pPr>
              <w:spacing w:after="0"/>
              <w:rPr>
                <w:sz w:val="24"/>
                <w:szCs w:val="24"/>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left="2300" w:hanging="292"/>
        <w:spacing w:after="0" w:line="259" w:lineRule="auto"/>
        <w:tabs>
          <w:tab w:leader="none" w:pos="2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May 22, 2007, the company’s Board of Directors authorized the repurchase of 3,000,000 shares of the company’s common stock in open-market or in privately negotiated transactions. This program has no expiration date but may be terminated by the company’s Board of Directors at any time. The company purchased an aggregate of 590,086 shares during the periods indicated above under this program.</w:t>
      </w:r>
    </w:p>
    <w:p>
      <w:pPr>
        <w:spacing w:after="0" w:line="205" w:lineRule="exact"/>
        <w:rPr>
          <w:rFonts w:ascii="Arial" w:cs="Arial" w:eastAsia="Arial" w:hAnsi="Arial"/>
          <w:sz w:val="17"/>
          <w:szCs w:val="17"/>
          <w:color w:val="auto"/>
        </w:rPr>
      </w:pPr>
    </w:p>
    <w:p>
      <w:pPr>
        <w:jc w:val="both"/>
        <w:ind w:left="2300" w:hanging="292"/>
        <w:spacing w:after="0" w:line="315" w:lineRule="auto"/>
        <w:tabs>
          <w:tab w:leader="none" w:pos="2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Includes 2,549 units (shares) of the company’s common stock purchased in open-market transactions at an average price of $47.22 per share on behalf of a rabbi trust formed to pay benefit obligations of the company to participants in deferred compensation plans. These 2,549 shares were not repurchased under the company’s repurchase program described in footnote (1)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0" w:type="dxa"/>
            <w:vAlign w:val="bottom"/>
          </w:tcPr>
          <w:p>
            <w:pPr>
              <w:ind w:left="3240"/>
              <w:spacing w:after="0"/>
              <w:rPr>
                <w:sz w:val="20"/>
                <w:szCs w:val="20"/>
                <w:color w:val="auto"/>
              </w:rPr>
            </w:pPr>
            <w:r>
              <w:rPr>
                <w:rFonts w:ascii="Arial" w:cs="Arial" w:eastAsia="Arial" w:hAnsi="Arial"/>
                <w:sz w:val="20"/>
                <w:szCs w:val="20"/>
                <w:b w:val="1"/>
                <w:bCs w:val="1"/>
                <w:color w:val="auto"/>
              </w:rPr>
              <w:t>Item 6. EXHIBITS</w:t>
            </w:r>
          </w:p>
        </w:tc>
      </w:tr>
      <w:tr>
        <w:trPr>
          <w:trHeight w:val="425"/>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1300" w:type="dxa"/>
            <w:vAlign w:val="bottom"/>
          </w:tcPr>
          <w:p>
            <w:pPr>
              <w:ind w:left="140"/>
              <w:spacing w:after="0"/>
              <w:rPr>
                <w:sz w:val="20"/>
                <w:szCs w:val="20"/>
                <w:color w:val="auto"/>
              </w:rPr>
            </w:pPr>
            <w:r>
              <w:rPr>
                <w:rFonts w:ascii="Arial" w:cs="Arial" w:eastAsia="Arial" w:hAnsi="Arial"/>
                <w:sz w:val="17"/>
                <w:szCs w:val="17"/>
                <w:color w:val="auto"/>
              </w:rPr>
              <w:t>Exhibits</w:t>
            </w:r>
          </w:p>
        </w:tc>
        <w:tc>
          <w:tcPr>
            <w:tcW w:w="9800" w:type="dxa"/>
            <w:vAlign w:val="bottom"/>
          </w:tcPr>
          <w:p>
            <w:pPr>
              <w:spacing w:after="0"/>
              <w:rPr>
                <w:sz w:val="24"/>
                <w:szCs w:val="24"/>
                <w:color w:val="auto"/>
              </w:rPr>
            </w:pP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3(i) and 4(a)</w:t>
            </w:r>
          </w:p>
        </w:tc>
        <w:tc>
          <w:tcPr>
            <w:tcW w:w="9800" w:type="dxa"/>
            <w:vAlign w:val="bottom"/>
          </w:tcPr>
          <w:p>
            <w:pPr>
              <w:ind w:left="260"/>
              <w:spacing w:after="0"/>
              <w:rPr>
                <w:sz w:val="20"/>
                <w:szCs w:val="20"/>
                <w:color w:val="auto"/>
              </w:rPr>
            </w:pPr>
            <w:r>
              <w:rPr>
                <w:rFonts w:ascii="Arial" w:cs="Arial" w:eastAsia="Arial" w:hAnsi="Arial"/>
                <w:sz w:val="17"/>
                <w:szCs w:val="17"/>
                <w:color w:val="auto"/>
                <w:w w:val="91"/>
              </w:rPr>
              <w:t>The Restated Certificate of Incorporation of Registrant (incorporated by reference to Exhibit 3(i) and 4(a) to Registrant’s Current Report on</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rPr>
              <w:t>Form 8-K dated March 15, 2005, Commission File No. 1-8649).</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3(ii) and 4(b)</w:t>
            </w:r>
          </w:p>
        </w:tc>
        <w:tc>
          <w:tcPr>
            <w:tcW w:w="9800" w:type="dxa"/>
            <w:vAlign w:val="bottom"/>
          </w:tcPr>
          <w:p>
            <w:pPr>
              <w:ind w:left="260"/>
              <w:spacing w:after="0"/>
              <w:rPr>
                <w:sz w:val="20"/>
                <w:szCs w:val="20"/>
                <w:color w:val="auto"/>
              </w:rPr>
            </w:pPr>
            <w:r>
              <w:rPr>
                <w:rFonts w:ascii="Arial" w:cs="Arial" w:eastAsia="Arial" w:hAnsi="Arial"/>
                <w:sz w:val="17"/>
                <w:szCs w:val="17"/>
                <w:color w:val="auto"/>
                <w:w w:val="96"/>
              </w:rPr>
              <w:t>Bylaws of Registrant (incorporated by reference to Exhibit 3 to Registrant’s Current Report on Form 8-K dated November 30, 2005,</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rPr>
              <w:t>Commission File No. 1-8649).</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4(c)</w:t>
            </w:r>
          </w:p>
        </w:tc>
        <w:tc>
          <w:tcPr>
            <w:tcW w:w="9800" w:type="dxa"/>
            <w:vAlign w:val="bottom"/>
          </w:tcPr>
          <w:p>
            <w:pPr>
              <w:ind w:left="260"/>
              <w:spacing w:after="0"/>
              <w:rPr>
                <w:sz w:val="20"/>
                <w:szCs w:val="20"/>
                <w:color w:val="auto"/>
              </w:rPr>
            </w:pPr>
            <w:r>
              <w:rPr>
                <w:rFonts w:ascii="Arial" w:cs="Arial" w:eastAsia="Arial" w:hAnsi="Arial"/>
                <w:sz w:val="17"/>
                <w:szCs w:val="17"/>
                <w:color w:val="auto"/>
                <w:w w:val="93"/>
              </w:rPr>
              <w:t>Specimen Form of Common Stock Certificate (incorporated by reference to Exhibit 4(c) to Registrant’s Annual Report on Form 10-K for</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rPr>
              <w:t>the fiscal year ended October 31, 2006).</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4(d)</w:t>
            </w:r>
          </w:p>
        </w:tc>
        <w:tc>
          <w:tcPr>
            <w:tcW w:w="9800" w:type="dxa"/>
            <w:vAlign w:val="bottom"/>
          </w:tcPr>
          <w:p>
            <w:pPr>
              <w:ind w:left="260"/>
              <w:spacing w:after="0"/>
              <w:rPr>
                <w:sz w:val="20"/>
                <w:szCs w:val="20"/>
                <w:color w:val="auto"/>
              </w:rPr>
            </w:pPr>
            <w:r>
              <w:rPr>
                <w:rFonts w:ascii="Arial" w:cs="Arial" w:eastAsia="Arial" w:hAnsi="Arial"/>
                <w:sz w:val="17"/>
                <w:szCs w:val="17"/>
                <w:color w:val="auto"/>
                <w:w w:val="92"/>
              </w:rPr>
              <w:t>Rights Agreement dated as of May 20, 1998, between Registrant and Wells Fargo Bank Minnesota, National Association relating to rights</w:t>
            </w:r>
          </w:p>
        </w:tc>
      </w:tr>
      <w:tr>
        <w:trPr>
          <w:trHeight w:val="205"/>
        </w:trPr>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w w:val="91"/>
              </w:rPr>
              <w:t>to purchase Series B Junior Participating Voting Preferred Stock, as amended (incorporated by reference to Registrant’s Current Report on</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rPr>
              <w:t>Form 8-K dated May 27, 1998, Commission File No. 1-8649).</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4(e)</w:t>
            </w:r>
          </w:p>
        </w:tc>
        <w:tc>
          <w:tcPr>
            <w:tcW w:w="9800" w:type="dxa"/>
            <w:vAlign w:val="bottom"/>
          </w:tcPr>
          <w:p>
            <w:pPr>
              <w:ind w:left="260"/>
              <w:spacing w:after="0"/>
              <w:rPr>
                <w:sz w:val="20"/>
                <w:szCs w:val="20"/>
                <w:color w:val="auto"/>
              </w:rPr>
            </w:pPr>
            <w:r>
              <w:rPr>
                <w:rFonts w:ascii="Arial" w:cs="Arial" w:eastAsia="Arial" w:hAnsi="Arial"/>
                <w:sz w:val="17"/>
                <w:szCs w:val="17"/>
                <w:color w:val="auto"/>
                <w:w w:val="94"/>
              </w:rPr>
              <w:t>Certificate of Adjusted Purchase Price or Number of Shares dated April 14, 2003 filed by Registrant with Wells Fargo Bank Minnesota,</w:t>
            </w:r>
          </w:p>
        </w:tc>
      </w:tr>
      <w:tr>
        <w:trPr>
          <w:trHeight w:val="205"/>
        </w:trPr>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w w:val="99"/>
              </w:rPr>
              <w:t>N.A., as Rights Agent, in connection with Rights Agreement dated as of May 20, 1998 (incorporated by reference to Exhibit 2 to</w:t>
            </w:r>
          </w:p>
        </w:tc>
      </w:tr>
      <w:tr>
        <w:trPr>
          <w:trHeight w:val="205"/>
        </w:trPr>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w w:val="93"/>
              </w:rPr>
              <w:t>Registrant’s Amendment No. 1 to Registration Statement on Form 8-A/A as filed with the Securities and Exchange Commission on April</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0" w:type="dxa"/>
            <w:vAlign w:val="bottom"/>
          </w:tcPr>
          <w:p>
            <w:pPr>
              <w:ind w:left="260"/>
              <w:spacing w:after="0"/>
              <w:rPr>
                <w:sz w:val="20"/>
                <w:szCs w:val="20"/>
                <w:color w:val="auto"/>
              </w:rPr>
            </w:pPr>
            <w:r>
              <w:rPr>
                <w:rFonts w:ascii="Arial" w:cs="Arial" w:eastAsia="Arial" w:hAnsi="Arial"/>
                <w:sz w:val="17"/>
                <w:szCs w:val="17"/>
                <w:color w:val="auto"/>
              </w:rPr>
              <w:t>14, 2003, Commission File No. 1-8649).</w:t>
            </w:r>
          </w:p>
        </w:tc>
      </w:tr>
      <w:tr>
        <w:trPr>
          <w:trHeight w:val="435"/>
        </w:trPr>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7"/>
                <w:szCs w:val="17"/>
                <w:color w:val="auto"/>
              </w:rPr>
              <w:t>25</w:t>
            </w:r>
          </w:p>
        </w:tc>
      </w:tr>
      <w:tr>
        <w:trPr>
          <w:trHeight w:val="113"/>
        </w:trPr>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9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5"/>
        </w:trPr>
        <w:tc>
          <w:tcPr>
            <w:tcW w:w="1460" w:type="dxa"/>
            <w:vAlign w:val="bottom"/>
          </w:tcPr>
          <w:p>
            <w:pPr>
              <w:ind w:left="460"/>
              <w:spacing w:after="0"/>
              <w:rPr>
                <w:sz w:val="20"/>
                <w:szCs w:val="20"/>
                <w:color w:val="auto"/>
              </w:rPr>
            </w:pPr>
            <w:r>
              <w:rPr>
                <w:rFonts w:ascii="Arial" w:cs="Arial" w:eastAsia="Arial" w:hAnsi="Arial"/>
                <w:sz w:val="17"/>
                <w:szCs w:val="17"/>
                <w:color w:val="auto"/>
              </w:rPr>
              <w:t>4(f)</w:t>
            </w:r>
          </w:p>
        </w:tc>
        <w:tc>
          <w:tcPr>
            <w:tcW w:w="9960" w:type="dxa"/>
            <w:vAlign w:val="bottom"/>
          </w:tcPr>
          <w:p>
            <w:pPr>
              <w:ind w:left="620"/>
              <w:spacing w:after="0"/>
              <w:rPr>
                <w:sz w:val="20"/>
                <w:szCs w:val="20"/>
                <w:color w:val="auto"/>
              </w:rPr>
            </w:pPr>
            <w:r>
              <w:rPr>
                <w:rFonts w:ascii="Arial" w:cs="Arial" w:eastAsia="Arial" w:hAnsi="Arial"/>
                <w:sz w:val="17"/>
                <w:szCs w:val="17"/>
                <w:color w:val="auto"/>
                <w:w w:val="92"/>
              </w:rPr>
              <w:t>Certificate of Adjusted Purchase Price or Number of Shares dated April 12, 2005 filed by Registrant with Wells Fargo Bank Minnesota,</w:t>
            </w:r>
          </w:p>
        </w:tc>
      </w:tr>
      <w:tr>
        <w:trPr>
          <w:trHeight w:val="205"/>
        </w:trPr>
        <w:tc>
          <w:tcPr>
            <w:tcW w:w="1460" w:type="dxa"/>
            <w:vAlign w:val="bottom"/>
          </w:tcPr>
          <w:p>
            <w:pPr>
              <w:spacing w:after="0"/>
              <w:rPr>
                <w:sz w:val="17"/>
                <w:szCs w:val="17"/>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7"/>
              </w:rPr>
              <w:t>N.A., as Rights Agent, in connection with Rights Agreement dated as of May 20, 1998 (incorporated by reference to Exhibit 2 to</w:t>
            </w:r>
          </w:p>
        </w:tc>
      </w:tr>
      <w:tr>
        <w:trPr>
          <w:trHeight w:val="205"/>
        </w:trPr>
        <w:tc>
          <w:tcPr>
            <w:tcW w:w="1460" w:type="dxa"/>
            <w:vAlign w:val="bottom"/>
          </w:tcPr>
          <w:p>
            <w:pPr>
              <w:spacing w:after="0"/>
              <w:rPr>
                <w:sz w:val="17"/>
                <w:szCs w:val="17"/>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5"/>
              </w:rPr>
              <w:t>Registrant’s Amendment No. 2 to Registration Statement on Form 8-A/A as filed with the Securities and Exchange Commission on</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March 21, 2005, Commission File No. 1-8649).</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4(g)</w:t>
            </w:r>
          </w:p>
        </w:tc>
        <w:tc>
          <w:tcPr>
            <w:tcW w:w="9960" w:type="dxa"/>
            <w:vAlign w:val="bottom"/>
          </w:tcPr>
          <w:p>
            <w:pPr>
              <w:ind w:left="620"/>
              <w:spacing w:after="0"/>
              <w:rPr>
                <w:sz w:val="20"/>
                <w:szCs w:val="20"/>
                <w:color w:val="auto"/>
              </w:rPr>
            </w:pPr>
            <w:r>
              <w:rPr>
                <w:rFonts w:ascii="Arial" w:cs="Arial" w:eastAsia="Arial" w:hAnsi="Arial"/>
                <w:sz w:val="17"/>
                <w:szCs w:val="17"/>
                <w:color w:val="auto"/>
                <w:w w:val="91"/>
              </w:rPr>
              <w:t>Indenture dated as of January 31, 1997, between Registrant and First National Trust Association, as Trustee, relating to the Registrant’s</w:t>
            </w:r>
          </w:p>
        </w:tc>
      </w:tr>
      <w:tr>
        <w:trPr>
          <w:trHeight w:val="205"/>
        </w:trPr>
        <w:tc>
          <w:tcPr>
            <w:tcW w:w="1460" w:type="dxa"/>
            <w:vAlign w:val="bottom"/>
          </w:tcPr>
          <w:p>
            <w:pPr>
              <w:spacing w:after="0"/>
              <w:rPr>
                <w:sz w:val="17"/>
                <w:szCs w:val="17"/>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0"/>
              </w:rPr>
              <w:t>7.125% Notes due June 15, 2007 and its 7.80% Debentures due June 15, 2027 (incorporated by reference to Exhibit 4(a) to Registrant’s</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Current Report on Form 8-K dated June 24, 1997, Commission File No. 1-8649).</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4(h)</w:t>
            </w:r>
          </w:p>
        </w:tc>
        <w:tc>
          <w:tcPr>
            <w:tcW w:w="9960" w:type="dxa"/>
            <w:vAlign w:val="bottom"/>
          </w:tcPr>
          <w:p>
            <w:pPr>
              <w:ind w:left="620"/>
              <w:spacing w:after="0"/>
              <w:rPr>
                <w:sz w:val="20"/>
                <w:szCs w:val="20"/>
                <w:color w:val="auto"/>
              </w:rPr>
            </w:pPr>
            <w:r>
              <w:rPr>
                <w:rFonts w:ascii="Arial" w:cs="Arial" w:eastAsia="Arial" w:hAnsi="Arial"/>
                <w:sz w:val="17"/>
                <w:szCs w:val="17"/>
                <w:color w:val="auto"/>
                <w:w w:val="93"/>
              </w:rPr>
              <w:t>Indenture dated as of April 20, 2007, between Registrant and The Bank of New York Trust Company, N.A., as Trustee, relating to the</w:t>
            </w:r>
          </w:p>
        </w:tc>
      </w:tr>
      <w:tr>
        <w:trPr>
          <w:trHeight w:val="205"/>
        </w:trPr>
        <w:tc>
          <w:tcPr>
            <w:tcW w:w="1460" w:type="dxa"/>
            <w:vAlign w:val="bottom"/>
          </w:tcPr>
          <w:p>
            <w:pPr>
              <w:spacing w:after="0"/>
              <w:rPr>
                <w:sz w:val="17"/>
                <w:szCs w:val="17"/>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1"/>
              </w:rPr>
              <w:t>Registrant’s 6.625% Notes due May 1, 2037 (incorporated by reference to Exhibit 4.3 to Registrant’s Registration Statement on Form S-</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3 as filed with the Securities and Exchange Commission on April 23, 2007, Registration No. 333-142282).</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4(i)</w:t>
            </w:r>
          </w:p>
        </w:tc>
        <w:tc>
          <w:tcPr>
            <w:tcW w:w="9960" w:type="dxa"/>
            <w:vAlign w:val="bottom"/>
          </w:tcPr>
          <w:p>
            <w:pPr>
              <w:ind w:left="620"/>
              <w:spacing w:after="0"/>
              <w:rPr>
                <w:sz w:val="20"/>
                <w:szCs w:val="20"/>
                <w:color w:val="auto"/>
              </w:rPr>
            </w:pPr>
            <w:r>
              <w:rPr>
                <w:rFonts w:ascii="Arial" w:cs="Arial" w:eastAsia="Arial" w:hAnsi="Arial"/>
                <w:sz w:val="17"/>
                <w:szCs w:val="17"/>
                <w:color w:val="auto"/>
                <w:w w:val="95"/>
              </w:rPr>
              <w:t>First Supplemental Indenture dated as of April 26, 2007, between Registrant and The Bank of New York Trust Company, N.A., as</w:t>
            </w:r>
          </w:p>
        </w:tc>
      </w:tr>
      <w:tr>
        <w:trPr>
          <w:trHeight w:val="205"/>
        </w:trPr>
        <w:tc>
          <w:tcPr>
            <w:tcW w:w="1460" w:type="dxa"/>
            <w:vAlign w:val="bottom"/>
          </w:tcPr>
          <w:p>
            <w:pPr>
              <w:spacing w:after="0"/>
              <w:rPr>
                <w:sz w:val="17"/>
                <w:szCs w:val="17"/>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4"/>
              </w:rPr>
              <w:t>Trustee, relating to the Registrant’s 6.625% Notes due May 1, 2037 (incorporated by reference to Exhibit 4.1 to Registrant’s Current</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Report on Form 8-K dated April 23, 2007, Commission File No. 1-8649).</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4(j)</w:t>
            </w:r>
          </w:p>
        </w:tc>
        <w:tc>
          <w:tcPr>
            <w:tcW w:w="9960" w:type="dxa"/>
            <w:vAlign w:val="bottom"/>
          </w:tcPr>
          <w:p>
            <w:pPr>
              <w:ind w:left="620"/>
              <w:spacing w:after="0"/>
              <w:rPr>
                <w:sz w:val="20"/>
                <w:szCs w:val="20"/>
                <w:color w:val="auto"/>
              </w:rPr>
            </w:pPr>
            <w:r>
              <w:rPr>
                <w:rFonts w:ascii="Arial" w:cs="Arial" w:eastAsia="Arial" w:hAnsi="Arial"/>
                <w:sz w:val="17"/>
                <w:szCs w:val="17"/>
                <w:color w:val="auto"/>
                <w:w w:val="92"/>
              </w:rPr>
              <w:t>Form of The Toro Company 6.625% Note due May 1, 2037 (incorporated by reference to Exhibit 4.2 to Registrant’s Current Report on</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Form 8-K dated April 23, 2007, Commission File No. 1-8649).</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10(a)</w:t>
            </w:r>
          </w:p>
        </w:tc>
        <w:tc>
          <w:tcPr>
            <w:tcW w:w="9960" w:type="dxa"/>
            <w:vAlign w:val="bottom"/>
          </w:tcPr>
          <w:p>
            <w:pPr>
              <w:ind w:left="620"/>
              <w:spacing w:after="0"/>
              <w:rPr>
                <w:sz w:val="20"/>
                <w:szCs w:val="20"/>
                <w:color w:val="auto"/>
              </w:rPr>
            </w:pPr>
            <w:r>
              <w:rPr>
                <w:rFonts w:ascii="Arial" w:cs="Arial" w:eastAsia="Arial" w:hAnsi="Arial"/>
                <w:sz w:val="17"/>
                <w:szCs w:val="17"/>
                <w:color w:val="auto"/>
                <w:w w:val="92"/>
              </w:rPr>
              <w:t>The Toro Company 2000 Stock Option Plan (As Amended January 15, 2008) (incorporated by reference to Exhibit 10.1 to Registrant’s</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Current Report on Form 8-K dated January 15, 2008, Commission File No. 1-8649).</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10(b)</w:t>
            </w:r>
          </w:p>
        </w:tc>
        <w:tc>
          <w:tcPr>
            <w:tcW w:w="9960" w:type="dxa"/>
            <w:vAlign w:val="bottom"/>
          </w:tcPr>
          <w:p>
            <w:pPr>
              <w:ind w:left="620"/>
              <w:spacing w:after="0"/>
              <w:rPr>
                <w:sz w:val="20"/>
                <w:szCs w:val="20"/>
                <w:color w:val="auto"/>
              </w:rPr>
            </w:pPr>
            <w:r>
              <w:rPr>
                <w:rFonts w:ascii="Arial" w:cs="Arial" w:eastAsia="Arial" w:hAnsi="Arial"/>
                <w:sz w:val="17"/>
                <w:szCs w:val="17"/>
                <w:color w:val="auto"/>
                <w:w w:val="91"/>
              </w:rPr>
              <w:t>The Toro Company Performance Share Plan (As Amended January 15, 2008) (incorporated by reference to Exhibit 10.2 to Registrant’s</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Current Report on Form 8-K dated January 15, 2008, Commission File No. 1-8649).</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10(c)</w:t>
            </w:r>
          </w:p>
        </w:tc>
        <w:tc>
          <w:tcPr>
            <w:tcW w:w="9960" w:type="dxa"/>
            <w:vAlign w:val="bottom"/>
          </w:tcPr>
          <w:p>
            <w:pPr>
              <w:ind w:left="620"/>
              <w:spacing w:after="0"/>
              <w:rPr>
                <w:sz w:val="20"/>
                <w:szCs w:val="20"/>
                <w:color w:val="auto"/>
              </w:rPr>
            </w:pPr>
            <w:r>
              <w:rPr>
                <w:rFonts w:ascii="Arial" w:cs="Arial" w:eastAsia="Arial" w:hAnsi="Arial"/>
                <w:sz w:val="17"/>
                <w:szCs w:val="17"/>
                <w:color w:val="auto"/>
                <w:w w:val="99"/>
              </w:rPr>
              <w:t>The Toro Company 2000 Directors Stock Plan (As Amended January 15, 2008) (incorporated by reference to Exhibit 10.3 to</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Registrant’s Current Report on Form 8-K dated January 15, 2008, Commission File No. 1-8649).</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10(d)</w:t>
            </w:r>
          </w:p>
        </w:tc>
        <w:tc>
          <w:tcPr>
            <w:tcW w:w="9960" w:type="dxa"/>
            <w:vAlign w:val="bottom"/>
          </w:tcPr>
          <w:p>
            <w:pPr>
              <w:ind w:left="620"/>
              <w:spacing w:after="0"/>
              <w:rPr>
                <w:sz w:val="20"/>
                <w:szCs w:val="20"/>
                <w:color w:val="auto"/>
              </w:rPr>
            </w:pPr>
            <w:r>
              <w:rPr>
                <w:rFonts w:ascii="Arial" w:cs="Arial" w:eastAsia="Arial" w:hAnsi="Arial"/>
                <w:sz w:val="17"/>
                <w:szCs w:val="17"/>
                <w:color w:val="auto"/>
                <w:w w:val="97"/>
              </w:rPr>
              <w:t>Amendment No. 4 to Credit Agreement, dated as of February 29, 2008, among The Toro Company, Toro Credit Company, Toro</w:t>
            </w:r>
          </w:p>
        </w:tc>
      </w:tr>
      <w:tr>
        <w:trPr>
          <w:trHeight w:val="205"/>
        </w:trPr>
        <w:tc>
          <w:tcPr>
            <w:tcW w:w="1460" w:type="dxa"/>
            <w:vAlign w:val="bottom"/>
          </w:tcPr>
          <w:p>
            <w:pPr>
              <w:spacing w:after="0"/>
              <w:rPr>
                <w:sz w:val="17"/>
                <w:szCs w:val="17"/>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4"/>
              </w:rPr>
              <w:t>Manufacturing LLC, Exmark Manufacturing Company Incorporated, and certain subsidiaries as Borrowers, the lenders from time to</w:t>
            </w:r>
          </w:p>
        </w:tc>
      </w:tr>
      <w:tr>
        <w:trPr>
          <w:trHeight w:val="205"/>
        </w:trPr>
        <w:tc>
          <w:tcPr>
            <w:tcW w:w="1460" w:type="dxa"/>
            <w:vAlign w:val="bottom"/>
          </w:tcPr>
          <w:p>
            <w:pPr>
              <w:spacing w:after="0"/>
              <w:rPr>
                <w:sz w:val="17"/>
                <w:szCs w:val="17"/>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4"/>
              </w:rPr>
              <w:t>time party thereto, and Bank of America, N.A., as Administrative Agent, Swing Line Lender, and Letter of Credit Issuer (incorporated</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w w:val="96"/>
              </w:rPr>
              <w:t>by reference to Exhibit 10.1 to Registrant's Current Report on Form 8-K dated February 29, 2008, Commission File No. 1-8649).</w:t>
            </w:r>
          </w:p>
        </w:tc>
      </w:tr>
      <w:tr>
        <w:trPr>
          <w:trHeight w:val="409"/>
        </w:trPr>
        <w:tc>
          <w:tcPr>
            <w:tcW w:w="1460" w:type="dxa"/>
            <w:vAlign w:val="bottom"/>
          </w:tcPr>
          <w:p>
            <w:pPr>
              <w:ind w:left="460"/>
              <w:spacing w:after="0"/>
              <w:rPr>
                <w:sz w:val="20"/>
                <w:szCs w:val="20"/>
                <w:color w:val="auto"/>
              </w:rPr>
            </w:pPr>
            <w:r>
              <w:rPr>
                <w:rFonts w:ascii="Arial" w:cs="Arial" w:eastAsia="Arial" w:hAnsi="Arial"/>
                <w:sz w:val="17"/>
                <w:szCs w:val="17"/>
                <w:color w:val="auto"/>
              </w:rPr>
              <w:t>31(a)</w:t>
            </w:r>
          </w:p>
        </w:tc>
        <w:tc>
          <w:tcPr>
            <w:tcW w:w="9960" w:type="dxa"/>
            <w:vAlign w:val="bottom"/>
          </w:tcPr>
          <w:p>
            <w:pPr>
              <w:ind w:left="620"/>
              <w:spacing w:after="0"/>
              <w:rPr>
                <w:sz w:val="20"/>
                <w:szCs w:val="20"/>
                <w:color w:val="auto"/>
              </w:rPr>
            </w:pPr>
            <w:r>
              <w:rPr>
                <w:rFonts w:ascii="Arial" w:cs="Arial" w:eastAsia="Arial" w:hAnsi="Arial"/>
                <w:sz w:val="17"/>
                <w:szCs w:val="17"/>
                <w:color w:val="auto"/>
                <w:w w:val="94"/>
              </w:rPr>
              <w:t>Certification of Chief Executive Officer Pursuant to Rule 13a-14(a) (Section 302 of the Sarbanes-Oxley Act of 2002) (filed herewith).</w:t>
            </w:r>
          </w:p>
        </w:tc>
      </w:tr>
      <w:tr>
        <w:trPr>
          <w:trHeight w:val="409"/>
        </w:trPr>
        <w:tc>
          <w:tcPr>
            <w:tcW w:w="1460" w:type="dxa"/>
            <w:vAlign w:val="bottom"/>
          </w:tcPr>
          <w:p>
            <w:pPr>
              <w:ind w:left="460"/>
              <w:spacing w:after="0"/>
              <w:rPr>
                <w:sz w:val="20"/>
                <w:szCs w:val="20"/>
                <w:color w:val="auto"/>
              </w:rPr>
            </w:pPr>
            <w:r>
              <w:rPr>
                <w:rFonts w:ascii="Arial" w:cs="Arial" w:eastAsia="Arial" w:hAnsi="Arial"/>
                <w:sz w:val="17"/>
                <w:szCs w:val="17"/>
                <w:color w:val="auto"/>
              </w:rPr>
              <w:t>31(b)</w:t>
            </w:r>
          </w:p>
        </w:tc>
        <w:tc>
          <w:tcPr>
            <w:tcW w:w="9960" w:type="dxa"/>
            <w:vAlign w:val="bottom"/>
          </w:tcPr>
          <w:p>
            <w:pPr>
              <w:ind w:left="620"/>
              <w:spacing w:after="0"/>
              <w:rPr>
                <w:sz w:val="20"/>
                <w:szCs w:val="20"/>
                <w:color w:val="auto"/>
              </w:rPr>
            </w:pPr>
            <w:r>
              <w:rPr>
                <w:rFonts w:ascii="Arial" w:cs="Arial" w:eastAsia="Arial" w:hAnsi="Arial"/>
                <w:sz w:val="17"/>
                <w:szCs w:val="17"/>
                <w:color w:val="auto"/>
                <w:w w:val="94"/>
              </w:rPr>
              <w:t>Certification of Chief Financial Officer Pursuant to Rule 13a-14(a) (Section 302 of the Sarbanes-Oxley Act of 2002) (filed herewith).</w:t>
            </w:r>
          </w:p>
        </w:tc>
      </w:tr>
      <w:tr>
        <w:trPr>
          <w:trHeight w:val="398"/>
        </w:trPr>
        <w:tc>
          <w:tcPr>
            <w:tcW w:w="1460" w:type="dxa"/>
            <w:vAlign w:val="bottom"/>
          </w:tcPr>
          <w:p>
            <w:pPr>
              <w:ind w:left="460"/>
              <w:spacing w:after="0"/>
              <w:rPr>
                <w:sz w:val="20"/>
                <w:szCs w:val="20"/>
                <w:color w:val="auto"/>
              </w:rPr>
            </w:pPr>
            <w:r>
              <w:rPr>
                <w:rFonts w:ascii="Arial" w:cs="Arial" w:eastAsia="Arial" w:hAnsi="Arial"/>
                <w:sz w:val="17"/>
                <w:szCs w:val="17"/>
                <w:color w:val="auto"/>
              </w:rPr>
              <w:t>32</w:t>
            </w:r>
          </w:p>
        </w:tc>
        <w:tc>
          <w:tcPr>
            <w:tcW w:w="9960" w:type="dxa"/>
            <w:vAlign w:val="bottom"/>
          </w:tcPr>
          <w:p>
            <w:pPr>
              <w:ind w:left="620"/>
              <w:spacing w:after="0"/>
              <w:rPr>
                <w:sz w:val="20"/>
                <w:szCs w:val="20"/>
                <w:color w:val="auto"/>
              </w:rPr>
            </w:pPr>
            <w:r>
              <w:rPr>
                <w:rFonts w:ascii="Arial" w:cs="Arial" w:eastAsia="Arial" w:hAnsi="Arial"/>
                <w:sz w:val="17"/>
                <w:szCs w:val="17"/>
                <w:color w:val="auto"/>
                <w:w w:val="91"/>
              </w:rPr>
              <w:t>Certification of Chief Executive Officer and Chief Financial Officer Pursuant to 18 U.S.C. Section 1350, as Adopted Pursuant to Section</w:t>
            </w:r>
          </w:p>
        </w:tc>
      </w:tr>
      <w:tr>
        <w:trPr>
          <w:trHeight w:val="216"/>
        </w:trPr>
        <w:tc>
          <w:tcPr>
            <w:tcW w:w="1460" w:type="dxa"/>
            <w:vAlign w:val="bottom"/>
          </w:tcPr>
          <w:p>
            <w:pPr>
              <w:spacing w:after="0"/>
              <w:rPr>
                <w:sz w:val="18"/>
                <w:szCs w:val="18"/>
                <w:color w:val="auto"/>
              </w:rPr>
            </w:pPr>
          </w:p>
        </w:tc>
        <w:tc>
          <w:tcPr>
            <w:tcW w:w="9960" w:type="dxa"/>
            <w:vAlign w:val="bottom"/>
          </w:tcPr>
          <w:p>
            <w:pPr>
              <w:ind w:left="620"/>
              <w:spacing w:after="0"/>
              <w:rPr>
                <w:sz w:val="20"/>
                <w:szCs w:val="20"/>
                <w:color w:val="auto"/>
              </w:rPr>
            </w:pPr>
            <w:r>
              <w:rPr>
                <w:rFonts w:ascii="Arial" w:cs="Arial" w:eastAsia="Arial" w:hAnsi="Arial"/>
                <w:sz w:val="17"/>
                <w:szCs w:val="17"/>
                <w:color w:val="auto"/>
              </w:rPr>
              <w:t>906 of the Sarbanes-Oxley Act of 2002 (furnished herewith).</w:t>
            </w:r>
          </w:p>
        </w:tc>
      </w:tr>
      <w:tr>
        <w:trPr>
          <w:trHeight w:val="780"/>
        </w:trPr>
        <w:tc>
          <w:tcPr>
            <w:tcW w:w="1460" w:type="dxa"/>
            <w:vAlign w:val="bottom"/>
          </w:tcPr>
          <w:p>
            <w:pPr>
              <w:spacing w:after="0"/>
              <w:rPr>
                <w:sz w:val="24"/>
                <w:szCs w:val="24"/>
                <w:color w:val="auto"/>
              </w:rPr>
            </w:pPr>
          </w:p>
        </w:tc>
        <w:tc>
          <w:tcPr>
            <w:tcW w:w="9960" w:type="dxa"/>
            <w:vAlign w:val="bottom"/>
          </w:tcPr>
          <w:p>
            <w:pPr>
              <w:ind w:left="4160"/>
              <w:spacing w:after="0"/>
              <w:rPr>
                <w:sz w:val="20"/>
                <w:szCs w:val="20"/>
                <w:color w:val="auto"/>
              </w:rPr>
            </w:pPr>
            <w:r>
              <w:rPr>
                <w:rFonts w:ascii="Arial" w:cs="Arial" w:eastAsia="Arial" w:hAnsi="Arial"/>
                <w:sz w:val="17"/>
                <w:szCs w:val="17"/>
                <w:color w:val="auto"/>
              </w:rPr>
              <w:t>26</w:t>
            </w:r>
          </w:p>
        </w:tc>
      </w:tr>
      <w:tr>
        <w:trPr>
          <w:trHeight w:val="113"/>
        </w:trPr>
        <w:tc>
          <w:tcPr>
            <w:tcW w:w="1460" w:type="dxa"/>
            <w:vAlign w:val="bottom"/>
            <w:tcBorders>
              <w:bottom w:val="single" w:sz="8" w:color="808080"/>
            </w:tcBorders>
          </w:tcPr>
          <w:p>
            <w:pPr>
              <w:spacing w:after="0"/>
              <w:rPr>
                <w:sz w:val="9"/>
                <w:szCs w:val="9"/>
                <w:color w:val="auto"/>
              </w:rPr>
            </w:pPr>
          </w:p>
        </w:tc>
        <w:tc>
          <w:tcPr>
            <w:tcW w:w="9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6" w:name="page27"/>
    <w:bookmarkEnd w:id="26"/>
    <w:p>
      <w:pPr>
        <w:jc w:val="center"/>
        <w:ind w:right="-579"/>
        <w:spacing w:after="0"/>
        <w:rPr>
          <w:sz w:val="20"/>
          <w:szCs w:val="20"/>
          <w:color w:val="auto"/>
        </w:rPr>
      </w:pPr>
      <w:r>
        <w:rPr>
          <w:rFonts w:ascii="Arial" w:cs="Arial" w:eastAsia="Arial" w:hAnsi="Arial"/>
          <w:sz w:val="17"/>
          <w:szCs w:val="17"/>
          <w:b w:val="1"/>
          <w:bCs w:val="1"/>
          <w:color w:val="auto"/>
        </w:rPr>
        <w:t>SIGNATURES</w:t>
      </w:r>
    </w:p>
    <w:p>
      <w:pPr>
        <w:spacing w:after="0" w:line="243" w:lineRule="exact"/>
        <w:rPr>
          <w:sz w:val="20"/>
          <w:szCs w:val="20"/>
          <w:color w:val="auto"/>
        </w:rPr>
      </w:pPr>
    </w:p>
    <w:p>
      <w:pPr>
        <w:ind w:left="18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579"/>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7"/>
          <w:szCs w:val="17"/>
          <w:color w:val="auto"/>
        </w:rPr>
        <w:t>(Registrant)</w:t>
      </w:r>
    </w:p>
    <w:p>
      <w:pPr>
        <w:spacing w:after="0" w:line="228" w:lineRule="exact"/>
        <w:rPr>
          <w:sz w:val="20"/>
          <w:szCs w:val="20"/>
          <w:color w:val="auto"/>
        </w:rPr>
      </w:pPr>
    </w:p>
    <w:p>
      <w:pPr>
        <w:spacing w:after="0"/>
        <w:tabs>
          <w:tab w:leader="none" w:pos="5680" w:val="left"/>
        </w:tabs>
        <w:rPr>
          <w:sz w:val="20"/>
          <w:szCs w:val="20"/>
          <w:color w:val="auto"/>
        </w:rPr>
      </w:pPr>
      <w:r>
        <w:rPr>
          <w:rFonts w:ascii="Arial" w:cs="Arial" w:eastAsia="Arial" w:hAnsi="Arial"/>
          <w:sz w:val="17"/>
          <w:szCs w:val="17"/>
          <w:color w:val="auto"/>
        </w:rPr>
        <w:t>Date: March 7, 2008</w:t>
      </w:r>
      <w:r>
        <w:rPr>
          <w:sz w:val="20"/>
          <w:szCs w:val="20"/>
          <w:color w:val="auto"/>
        </w:rPr>
        <w:tab/>
      </w:r>
      <w:r>
        <w:rPr>
          <w:rFonts w:ascii="Arial" w:cs="Arial" w:eastAsia="Arial" w:hAnsi="Arial"/>
          <w:sz w:val="15"/>
          <w:szCs w:val="15"/>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13970</wp:posOffset>
            </wp:positionV>
            <wp:extent cx="36309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0930" cy="16510"/>
                    </a:xfrm>
                    <a:prstGeom prst="rect">
                      <a:avLst/>
                    </a:prstGeom>
                    <a:noFill/>
                  </pic:spPr>
                </pic:pic>
              </a:graphicData>
            </a:graphic>
          </wp:anchor>
        </w:drawing>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Stephen P. Wolfe</w:t>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40"/>
          </w:cols>
          <w:pgMar w:left="240" w:top="1185" w:right="81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Exhibit 31(a)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Michael J. Hoffman, certify that:</w:t>
      </w:r>
    </w:p>
    <w:p>
      <w:pPr>
        <w:spacing w:after="0" w:line="239" w:lineRule="exact"/>
        <w:rPr>
          <w:sz w:val="20"/>
          <w:szCs w:val="20"/>
          <w:color w:val="auto"/>
        </w:rPr>
      </w:pPr>
    </w:p>
    <w:p>
      <w:pPr>
        <w:ind w:left="180" w:hanging="178"/>
        <w:spacing w:after="0"/>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93" w:lineRule="auto"/>
        <w:tabs>
          <w:tab w:leader="none" w:pos="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9" w:lineRule="exact"/>
        <w:rPr>
          <w:rFonts w:ascii="Arial" w:cs="Arial" w:eastAsia="Arial" w:hAnsi="Arial"/>
          <w:sz w:val="16"/>
          <w:szCs w:val="16"/>
          <w:color w:val="auto"/>
        </w:rPr>
      </w:pPr>
    </w:p>
    <w:p>
      <w:pPr>
        <w:ind w:right="240" w:firstLine="2"/>
        <w:spacing w:after="0" w:line="258" w:lineRule="auto"/>
        <w:tabs>
          <w:tab w:leader="none" w:pos="17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2008</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Hoffman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35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Exhibit 31(b)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39" w:lineRule="exact"/>
        <w:rPr>
          <w:sz w:val="20"/>
          <w:szCs w:val="20"/>
          <w:color w:val="auto"/>
        </w:rPr>
      </w:pPr>
    </w:p>
    <w:p>
      <w:pPr>
        <w:ind w:left="180" w:hanging="178"/>
        <w:spacing w:after="0"/>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93" w:lineRule="auto"/>
        <w:tabs>
          <w:tab w:leader="none" w:pos="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9" w:lineRule="exact"/>
        <w:rPr>
          <w:rFonts w:ascii="Arial" w:cs="Arial" w:eastAsia="Arial" w:hAnsi="Arial"/>
          <w:sz w:val="16"/>
          <w:szCs w:val="16"/>
          <w:color w:val="auto"/>
        </w:rPr>
      </w:pPr>
    </w:p>
    <w:p>
      <w:pPr>
        <w:ind w:right="240" w:firstLine="2"/>
        <w:spacing w:after="0" w:line="258" w:lineRule="auto"/>
        <w:tabs>
          <w:tab w:leader="none" w:pos="17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2008</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Stephen P. Wolfe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353" w:right="23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7"/>
          <w:szCs w:val="17"/>
          <w:b w:val="1"/>
          <w:bCs w:val="1"/>
          <w:color w:val="auto"/>
        </w:rPr>
        <w:t>Exhibit 32</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February 1, 2008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5" w:lineRule="exact"/>
        <w:rPr>
          <w:sz w:val="20"/>
          <w:szCs w:val="20"/>
          <w:color w:val="auto"/>
        </w:rPr>
      </w:pPr>
    </w:p>
    <w:p>
      <w:pPr>
        <w:ind w:left="920" w:hanging="281"/>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9" w:lineRule="exact"/>
        <w:rPr>
          <w:rFonts w:ascii="Arial" w:cs="Arial" w:eastAsia="Arial" w:hAnsi="Arial"/>
          <w:sz w:val="17"/>
          <w:szCs w:val="17"/>
          <w:color w:val="auto"/>
        </w:rPr>
      </w:pPr>
    </w:p>
    <w:p>
      <w:pPr>
        <w:ind w:left="920" w:hanging="281"/>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45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March 7, 2008</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522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March 7, 2008</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340"/>
      </w:cols>
      <w:pgMar w:left="240" w:top="3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2019-12-13T13:53:26Z</dcterms:created>
  <dcterms:modified xsi:type="dcterms:W3CDTF">2019-12-13T13:53:26Z</dcterms:modified>
</cp:coreProperties>
</file>