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511810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469265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1880" w:hanging="314"/>
        <w:spacing w:after="0"/>
        <w:tabs>
          <w:tab w:leader="none" w:pos="1880" w:val="left"/>
        </w:tabs>
        <w:numPr>
          <w:ilvl w:val="0"/>
          <w:numId w:val="1"/>
        </w:numPr>
        <w:rPr>
          <w:rFonts w:ascii="MS PGothic" w:cs="MS PGothic" w:eastAsia="MS PGothic" w:hAnsi="MS PGothic"/>
          <w:sz w:val="16"/>
          <w:szCs w:val="16"/>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January 29, 2021</w:t>
      </w:r>
    </w:p>
    <w:p>
      <w:pPr>
        <w:spacing w:after="0" w:line="256" w:lineRule="exact"/>
        <w:rPr>
          <w:sz w:val="24"/>
          <w:szCs w:val="24"/>
          <w:color w:val="auto"/>
        </w:rPr>
      </w:pPr>
    </w:p>
    <w:p>
      <w:pPr>
        <w:ind w:left="1880" w:hanging="351"/>
        <w:spacing w:after="0"/>
        <w:tabs>
          <w:tab w:leader="none" w:pos="1880" w:val="left"/>
        </w:tabs>
        <w:numPr>
          <w:ilvl w:val="0"/>
          <w:numId w:val="2"/>
        </w:numPr>
        <w:rPr>
          <w:rFonts w:ascii="MS PGothic" w:cs="MS PGothic" w:eastAsia="MS PGothic" w:hAnsi="MS PGothic"/>
          <w:sz w:val="16"/>
          <w:szCs w:val="16"/>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77" w:lineRule="exact"/>
        <w:rPr>
          <w:sz w:val="24"/>
          <w:szCs w:val="24"/>
          <w:color w:val="auto"/>
        </w:rPr>
      </w:pPr>
    </w:p>
    <w:p>
      <w:pPr>
        <w:jc w:val="right"/>
        <w:ind w:right="4340"/>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right"/>
        <w:ind w:right="44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1-8649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THE TORO COMPANY</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233" w:right="319" w:bottom="1440" w:gutter="0" w:footer="0" w:header="0"/>
        </w:sectPr>
      </w:pPr>
    </w:p>
    <w:p>
      <w:pPr>
        <w:spacing w:after="0" w:line="124"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54" w:lineRule="exact"/>
        <w:rPr>
          <w:sz w:val="24"/>
          <w:szCs w:val="24"/>
          <w:color w:val="auto"/>
        </w:rPr>
      </w:pPr>
    </w:p>
    <w:p>
      <w:pPr>
        <w:sectPr>
          <w:pgSz w:w="11900" w:h="16838" w:orient="portrait"/>
          <w:cols w:equalWidth="0" w:num="2">
            <w:col w:w="8060" w:space="720"/>
            <w:col w:w="2480"/>
          </w:cols>
          <w:pgMar w:left="320" w:top="233" w:right="319" w:bottom="1440" w:gutter="0" w:footer="0" w:header="0"/>
          <w:type w:val="continuous"/>
        </w:sectPr>
      </w:pPr>
    </w:p>
    <w:p>
      <w:pPr>
        <w:ind w:left="1080"/>
        <w:spacing w:after="0"/>
        <w:rPr>
          <w:sz w:val="20"/>
          <w:szCs w:val="20"/>
          <w:color w:val="auto"/>
        </w:rPr>
      </w:pPr>
      <w:r>
        <w:rPr>
          <w:rFonts w:ascii="Arial" w:cs="Arial" w:eastAsia="Arial" w:hAnsi="Arial"/>
          <w:sz w:val="15"/>
          <w:szCs w:val="15"/>
          <w:color w:val="auto"/>
        </w:rPr>
        <w:t>State or Other Jurisdiction of</w:t>
      </w:r>
    </w:p>
    <w:p>
      <w:pPr>
        <w:spacing w:after="0" w:line="4" w:lineRule="exact"/>
        <w:rPr>
          <w:sz w:val="24"/>
          <w:szCs w:val="24"/>
          <w:color w:val="auto"/>
        </w:rPr>
      </w:pPr>
    </w:p>
    <w:p>
      <w:pPr>
        <w:ind w:left="10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364" w:lineRule="exact"/>
        <w:rPr>
          <w:sz w:val="24"/>
          <w:szCs w:val="24"/>
          <w:color w:val="auto"/>
        </w:rPr>
      </w:pPr>
    </w:p>
    <w:p>
      <w:pPr>
        <w:sectPr>
          <w:pgSz w:w="11900" w:h="16838" w:orient="portrait"/>
          <w:cols w:equalWidth="0" w:num="2">
            <w:col w:w="7380" w:space="720"/>
            <w:col w:w="3160"/>
          </w:cols>
          <w:pgMar w:left="320" w:top="233" w:right="319" w:bottom="1440" w:gutter="0" w:footer="0" w:header="0"/>
          <w:type w:val="continuous"/>
        </w:sectPr>
      </w:pPr>
    </w:p>
    <w:p>
      <w:pPr>
        <w:spacing w:after="0" w:line="15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23" w:lineRule="exact"/>
        <w:rPr>
          <w:sz w:val="24"/>
          <w:szCs w:val="24"/>
          <w:color w:val="auto"/>
        </w:rPr>
      </w:pPr>
    </w:p>
    <w:p>
      <w:pPr>
        <w:jc w:val="both"/>
        <w:ind w:right="2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right="2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0" w:lineRule="exact"/>
        <w:rPr>
          <w:sz w:val="24"/>
          <w:szCs w:val="24"/>
          <w:color w:val="auto"/>
        </w:rPr>
      </w:pPr>
    </w:p>
    <w:p>
      <w:pPr>
        <w:ind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960"/>
        <w:spacing w:after="0" w:line="21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February 25, 2021 was 107,620,141.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rFonts w:ascii="Arial" w:cs="Arial" w:eastAsia="Arial" w:hAnsi="Arial"/>
                <w:sz w:val="18"/>
                <w:szCs w:val="18"/>
                <w:u w:val="single" w:color="auto"/>
                <w:color w:val="0000FF"/>
                <w:w w:val="92"/>
              </w:rPr>
            </w:pPr>
            <w:hyperlink w:anchor="page1">
              <w:r>
                <w:rPr>
                  <w:rFonts w:ascii="Arial" w:cs="Arial" w:eastAsia="Arial" w:hAnsi="Arial"/>
                  <w:sz w:val="18"/>
                  <w:szCs w:val="18"/>
                  <w:u w:val="single" w:color="auto"/>
                  <w:color w:val="0000FF"/>
                  <w:w w:val="92"/>
                </w:rPr>
                <w:t>Table of Contents</w:t>
              </w:r>
            </w:hyperlink>
          </w:p>
        </w:tc>
        <w:tc>
          <w:tcPr>
            <w:tcW w:w="7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792"/>
        </w:trPr>
        <w:tc>
          <w:tcPr>
            <w:tcW w:w="1340" w:type="dxa"/>
            <w:vAlign w:val="bottom"/>
          </w:tcPr>
          <w:p>
            <w:pPr>
              <w:spacing w:after="0"/>
              <w:rPr>
                <w:sz w:val="24"/>
                <w:szCs w:val="24"/>
                <w:color w:val="auto"/>
              </w:rPr>
            </w:pPr>
          </w:p>
        </w:tc>
        <w:tc>
          <w:tcPr>
            <w:tcW w:w="7580" w:type="dxa"/>
            <w:vAlign w:val="bottom"/>
          </w:tcPr>
          <w:p>
            <w:pPr>
              <w:jc w:val="center"/>
              <w:ind w:left="890"/>
              <w:spacing w:after="0"/>
              <w:rPr>
                <w:sz w:val="20"/>
                <w:szCs w:val="20"/>
                <w:color w:val="auto"/>
              </w:rPr>
            </w:pPr>
            <w:r>
              <w:rPr>
                <w:rFonts w:ascii="Arial" w:cs="Arial" w:eastAsia="Arial" w:hAnsi="Arial"/>
                <w:sz w:val="18"/>
                <w:szCs w:val="18"/>
                <w:b w:val="1"/>
                <w:bCs w:val="1"/>
                <w:color w:val="auto"/>
              </w:rPr>
              <w:t>THE TORO COMPANY</w:t>
            </w:r>
          </w:p>
        </w:tc>
        <w:tc>
          <w:tcPr>
            <w:tcW w:w="23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58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FORM 10-Q</w:t>
            </w:r>
          </w:p>
        </w:tc>
        <w:tc>
          <w:tcPr>
            <w:tcW w:w="23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580" w:type="dxa"/>
            <w:vAlign w:val="bottom"/>
          </w:tcPr>
          <w:p>
            <w:pPr>
              <w:jc w:val="center"/>
              <w:ind w:left="890"/>
              <w:spacing w:after="0"/>
              <w:rPr>
                <w:sz w:val="20"/>
                <w:szCs w:val="20"/>
                <w:color w:val="auto"/>
              </w:rPr>
            </w:pPr>
            <w:r>
              <w:rPr>
                <w:rFonts w:ascii="Arial" w:cs="Arial" w:eastAsia="Arial" w:hAnsi="Arial"/>
                <w:sz w:val="18"/>
                <w:szCs w:val="18"/>
                <w:b w:val="1"/>
                <w:bCs w:val="1"/>
                <w:color w:val="auto"/>
                <w:w w:val="98"/>
              </w:rPr>
              <w:t>TABLE OF CONTENTS</w:t>
            </w:r>
          </w:p>
        </w:tc>
        <w:tc>
          <w:tcPr>
            <w:tcW w:w="2320" w:type="dxa"/>
            <w:vAlign w:val="bottom"/>
          </w:tcPr>
          <w:p>
            <w:pPr>
              <w:spacing w:after="0"/>
              <w:rPr>
                <w:sz w:val="20"/>
                <w:szCs w:val="20"/>
                <w:color w:val="auto"/>
              </w:rPr>
            </w:pPr>
          </w:p>
        </w:tc>
      </w:tr>
      <w:tr>
        <w:trPr>
          <w:trHeight w:val="567"/>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7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 Number</w:t>
            </w:r>
          </w:p>
        </w:tc>
      </w:tr>
      <w:tr>
        <w:trPr>
          <w:trHeight w:val="453"/>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7580" w:type="dxa"/>
            <w:vAlign w:val="bottom"/>
          </w:tcPr>
          <w:p>
            <w:pPr>
              <w:ind w:left="6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2320" w:type="dxa"/>
            <w:vAlign w:val="bottom"/>
          </w:tcPr>
          <w:p>
            <w:pPr>
              <w:spacing w:after="0"/>
              <w:rPr>
                <w:sz w:val="24"/>
                <w:szCs w:val="24"/>
                <w:color w:val="auto"/>
              </w:rPr>
            </w:pPr>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w:t>
              </w:r>
            </w:hyperlink>
          </w:p>
        </w:tc>
        <w:tc>
          <w:tcPr>
            <w:tcW w:w="7580" w:type="dxa"/>
            <w:vAlign w:val="bottom"/>
          </w:tcPr>
          <w:p>
            <w:pPr>
              <w:ind w:left="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2320" w:type="dxa"/>
            <w:vAlign w:val="bottom"/>
          </w:tcPr>
          <w:p>
            <w:pPr>
              <w:spacing w:after="0"/>
              <w:rPr>
                <w:sz w:val="24"/>
                <w:szCs w:val="24"/>
                <w:color w:val="auto"/>
              </w:rPr>
            </w:pPr>
          </w:p>
        </w:tc>
      </w:tr>
      <w:tr>
        <w:trPr>
          <w:trHeight w:val="459"/>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Earnings (Unaudited)</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459"/>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Comprehensive Income (Unaudited)</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459"/>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459"/>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Cash Flows (Unaudited)</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459"/>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Stockholders' Equity (Unaudited)</w:t>
              </w:r>
            </w:hyperlink>
          </w:p>
        </w:tc>
        <w:tc>
          <w:tcPr>
            <w:tcW w:w="23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 (Unaudited)</w:t>
              </w:r>
            </w:hyperlink>
          </w:p>
        </w:tc>
        <w:tc>
          <w:tcPr>
            <w:tcW w:w="23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Item 2.</w:t>
              </w:r>
            </w:hyperlink>
          </w:p>
        </w:tc>
        <w:tc>
          <w:tcPr>
            <w:tcW w:w="7580" w:type="dxa"/>
            <w:vAlign w:val="bottom"/>
          </w:tcPr>
          <w:p>
            <w:pPr>
              <w:ind w:left="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Management’s Discussion and Analysis of Financial Condition and Results of Operations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25</w:t>
              </w:r>
            </w:hyperlink>
          </w:p>
        </w:tc>
      </w:tr>
      <w:tr>
        <w:trPr>
          <w:trHeight w:val="459"/>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Company Overview</w:t>
              </w:r>
            </w:hyperlink>
          </w:p>
        </w:tc>
        <w:tc>
          <w:tcPr>
            <w:tcW w:w="23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Results of Operations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391"/>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Business Segments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Financial Position</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31</w:t>
              </w:r>
            </w:hyperlink>
          </w:p>
        </w:tc>
      </w:tr>
      <w:tr>
        <w:trPr>
          <w:trHeight w:val="391"/>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Non-GAAP Financial Measures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Critical Accounting Policies and Estimates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Forward-Looking Information</w:t>
              </w:r>
            </w:hyperlink>
          </w:p>
        </w:tc>
        <w:tc>
          <w:tcPr>
            <w:tcW w:w="23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391"/>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Item 3.</w:t>
              </w:r>
            </w:hyperlink>
          </w:p>
        </w:tc>
        <w:tc>
          <w:tcPr>
            <w:tcW w:w="7580" w:type="dxa"/>
            <w:vAlign w:val="bottom"/>
          </w:tcPr>
          <w:p>
            <w:pPr>
              <w:ind w:left="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4">
              <w:r>
                <w:rPr>
                  <w:rFonts w:ascii="Arial" w:cs="Arial" w:eastAsia="Arial" w:hAnsi="Arial"/>
                  <w:sz w:val="18"/>
                  <w:szCs w:val="18"/>
                  <w:b w:val="1"/>
                  <w:bCs w:val="1"/>
                  <w:u w:val="single" w:color="auto"/>
                  <w:color w:val="0000FF"/>
                </w:rPr>
                <w:t>Item 4.</w:t>
              </w:r>
            </w:hyperlink>
          </w:p>
        </w:tc>
        <w:tc>
          <w:tcPr>
            <w:tcW w:w="7580" w:type="dxa"/>
            <w:vAlign w:val="bottom"/>
          </w:tcPr>
          <w:p>
            <w:pPr>
              <w:ind w:left="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Controls and Procedures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w:t>
              </w:r>
            </w:hyperlink>
          </w:p>
        </w:tc>
        <w:tc>
          <w:tcPr>
            <w:tcW w:w="7580" w:type="dxa"/>
            <w:vAlign w:val="bottom"/>
          </w:tcPr>
          <w:p>
            <w:pPr>
              <w:ind w:left="60"/>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OTHER INFORMATION:</w:t>
              </w:r>
            </w:hyperlink>
          </w:p>
        </w:tc>
        <w:tc>
          <w:tcPr>
            <w:tcW w:w="2320" w:type="dxa"/>
            <w:vAlign w:val="bottom"/>
          </w:tcPr>
          <w:p>
            <w:pPr>
              <w:spacing w:after="0"/>
              <w:rPr>
                <w:sz w:val="24"/>
                <w:szCs w:val="24"/>
                <w:color w:val="auto"/>
              </w:rPr>
            </w:pPr>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Item 1.</w:t>
              </w:r>
            </w:hyperlink>
          </w:p>
        </w:tc>
        <w:tc>
          <w:tcPr>
            <w:tcW w:w="7580" w:type="dxa"/>
            <w:vAlign w:val="bottom"/>
          </w:tcPr>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Item 1A.</w:t>
              </w:r>
            </w:hyperlink>
          </w:p>
        </w:tc>
        <w:tc>
          <w:tcPr>
            <w:tcW w:w="7580" w:type="dxa"/>
            <w:vAlign w:val="bottom"/>
          </w:tcPr>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Risk Factors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r>
      <w:tr>
        <w:trPr>
          <w:trHeight w:val="459"/>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Item 2.</w:t>
              </w:r>
            </w:hyperlink>
          </w:p>
        </w:tc>
        <w:tc>
          <w:tcPr>
            <w:tcW w:w="7580" w:type="dxa"/>
            <w:vAlign w:val="bottom"/>
          </w:tcPr>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r>
      <w:tr>
        <w:trPr>
          <w:trHeight w:val="391"/>
        </w:trPr>
        <w:tc>
          <w:tcPr>
            <w:tcW w:w="1340" w:type="dxa"/>
            <w:vAlign w:val="bottom"/>
          </w:tcPr>
          <w:p>
            <w:pPr>
              <w:ind w:left="2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Item 6.</w:t>
              </w:r>
            </w:hyperlink>
          </w:p>
        </w:tc>
        <w:tc>
          <w:tcPr>
            <w:tcW w:w="7580" w:type="dxa"/>
            <w:vAlign w:val="bottom"/>
          </w:tcPr>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r>
      <w:tr>
        <w:trPr>
          <w:trHeight w:val="459"/>
        </w:trPr>
        <w:tc>
          <w:tcPr>
            <w:tcW w:w="1340" w:type="dxa"/>
            <w:vAlign w:val="bottom"/>
          </w:tcPr>
          <w:p>
            <w:pPr>
              <w:spacing w:after="0"/>
              <w:rPr>
                <w:sz w:val="24"/>
                <w:szCs w:val="24"/>
                <w:color w:val="auto"/>
              </w:rPr>
            </w:pPr>
          </w:p>
        </w:tc>
        <w:tc>
          <w:tcPr>
            <w:tcW w:w="7580" w:type="dxa"/>
            <w:vAlign w:val="bottom"/>
          </w:tcPr>
          <w:p>
            <w:pPr>
              <w:ind w:left="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Signatures</w:t>
              </w:r>
            </w:hyperlink>
          </w:p>
        </w:tc>
        <w:tc>
          <w:tcPr>
            <w:tcW w:w="232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 share data)</w:t>
      </w:r>
    </w:p>
    <w:p>
      <w:pPr>
        <w:spacing w:after="0" w:line="122" w:lineRule="exact"/>
        <w:rPr>
          <w:sz w:val="20"/>
          <w:szCs w:val="20"/>
          <w:color w:val="auto"/>
        </w:rPr>
      </w:pPr>
    </w:p>
    <w:p>
      <w:pPr>
        <w:ind w:left="898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w w:val="99"/>
              </w:rPr>
              <w:t>January 31, 2020</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872,986</w:t>
            </w:r>
          </w:p>
        </w:tc>
        <w:tc>
          <w:tcPr>
            <w:tcW w:w="5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767,483</w:t>
            </w: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557,950</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479,395</w:t>
            </w:r>
          </w:p>
        </w:tc>
      </w:tr>
      <w:tr>
        <w:trPr>
          <w:trHeight w:val="210"/>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315,036</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288,088</w:t>
            </w: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173,571</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196,959</w:t>
            </w:r>
          </w:p>
        </w:tc>
      </w:tr>
      <w:tr>
        <w:trPr>
          <w:trHeight w:val="209"/>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earnings</w:t>
            </w: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141,465</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91,129</w:t>
            </w:r>
          </w:p>
        </w:tc>
      </w:tr>
      <w:tr>
        <w:trPr>
          <w:trHeight w:val="216"/>
        </w:trPr>
        <w:tc>
          <w:tcPr>
            <w:tcW w:w="68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(7,522)</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(8,156)</w:t>
            </w:r>
          </w:p>
        </w:tc>
      </w:tr>
      <w:tr>
        <w:trPr>
          <w:trHeight w:val="216"/>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9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1,883</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3,166</w:t>
            </w:r>
          </w:p>
        </w:tc>
      </w:tr>
      <w:tr>
        <w:trPr>
          <w:trHeight w:val="209"/>
        </w:trPr>
        <w:tc>
          <w:tcPr>
            <w:tcW w:w="6800" w:type="dxa"/>
            <w:vAlign w:val="bottom"/>
          </w:tcPr>
          <w:p>
            <w:pPr>
              <w:ind w:left="140"/>
              <w:spacing w:after="0"/>
              <w:rPr>
                <w:sz w:val="20"/>
                <w:szCs w:val="20"/>
                <w:color w:val="auto"/>
              </w:rPr>
            </w:pPr>
            <w:r>
              <w:rPr>
                <w:rFonts w:ascii="Arial" w:cs="Arial" w:eastAsia="Arial" w:hAnsi="Arial"/>
                <w:sz w:val="17"/>
                <w:szCs w:val="17"/>
                <w:color w:val="auto"/>
              </w:rPr>
              <w:t>Earnings before income taxes</w:t>
            </w:r>
          </w:p>
        </w:tc>
        <w:tc>
          <w:tcPr>
            <w:tcW w:w="19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135,826</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86,139</w:t>
            </w:r>
          </w:p>
        </w:tc>
      </w:tr>
      <w:tr>
        <w:trPr>
          <w:trHeight w:val="216"/>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9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24,545</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16,048</w:t>
            </w:r>
          </w:p>
        </w:tc>
      </w:tr>
      <w:tr>
        <w:trPr>
          <w:trHeight w:val="210"/>
        </w:trPr>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19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111,281</w:t>
            </w:r>
          </w:p>
        </w:tc>
        <w:tc>
          <w:tcPr>
            <w:tcW w:w="5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70,091</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9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1.03</w:t>
            </w:r>
          </w:p>
        </w:tc>
        <w:tc>
          <w:tcPr>
            <w:tcW w:w="5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0.65</w:t>
            </w:r>
          </w:p>
        </w:tc>
      </w:tr>
      <w:tr>
        <w:trPr>
          <w:trHeight w:val="196"/>
        </w:trPr>
        <w:tc>
          <w:tcPr>
            <w:tcW w:w="6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9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1.02</w:t>
            </w:r>
          </w:p>
        </w:tc>
        <w:tc>
          <w:tcPr>
            <w:tcW w:w="5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0.65</w:t>
            </w:r>
          </w:p>
        </w:tc>
      </w:tr>
      <w:tr>
        <w:trPr>
          <w:trHeight w:val="196"/>
        </w:trPr>
        <w:tc>
          <w:tcPr>
            <w:tcW w:w="6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9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108,122</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107,423</w:t>
            </w:r>
          </w:p>
        </w:tc>
      </w:tr>
      <w:tr>
        <w:trPr>
          <w:trHeight w:val="216"/>
        </w:trPr>
        <w:tc>
          <w:tcPr>
            <w:tcW w:w="6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109,194</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108,655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22" w:lineRule="exact"/>
        <w:rPr>
          <w:sz w:val="20"/>
          <w:szCs w:val="20"/>
          <w:color w:val="auto"/>
        </w:rPr>
      </w:pPr>
    </w:p>
    <w:p>
      <w:pPr>
        <w:ind w:left="898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6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w w:val="99"/>
              </w:rPr>
              <w:t>January 31, 2020</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1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111,281</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70,091</w:t>
            </w:r>
          </w:p>
        </w:tc>
      </w:tr>
      <w:tr>
        <w:trPr>
          <w:trHeight w:val="216"/>
        </w:trPr>
        <w:tc>
          <w:tcPr>
            <w:tcW w:w="656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2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10,396</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r>
      <w:tr>
        <w:trPr>
          <w:trHeight w:val="216"/>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Derivative instruments, net of tax of $(2,792) and $189, respectively</w:t>
            </w:r>
          </w:p>
        </w:tc>
        <w:tc>
          <w:tcPr>
            <w:tcW w:w="2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(8,310)</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r>
      <w:tr>
        <w:trPr>
          <w:trHeight w:val="209"/>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2,086</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income</w:t>
            </w:r>
          </w:p>
        </w:tc>
        <w:tc>
          <w:tcPr>
            <w:tcW w:w="21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113,367</w:t>
            </w:r>
          </w:p>
        </w:tc>
        <w:tc>
          <w:tcPr>
            <w:tcW w:w="5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70,019</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January 29, 2021</w:t>
            </w:r>
          </w:p>
        </w:tc>
        <w:tc>
          <w:tcPr>
            <w:tcW w:w="154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w w:val="99"/>
              </w:rPr>
              <w:t>January 31, 2020</w:t>
            </w:r>
          </w:p>
        </w:tc>
        <w:tc>
          <w:tcPr>
            <w:tcW w:w="148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w w:val="99"/>
              </w:rPr>
              <w:t>October 31, 2020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60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5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433,394</w:t>
            </w:r>
          </w:p>
        </w:tc>
        <w:tc>
          <w:tcPr>
            <w:tcW w:w="4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108,914</w:t>
            </w:r>
          </w:p>
        </w:tc>
        <w:tc>
          <w:tcPr>
            <w:tcW w:w="4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479,892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306,865</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321,192</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675,307</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738,960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652,433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6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41,177</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51,442</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1,456,743</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1,220,508</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1,427,648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457,147</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431,253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467,919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422,163</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362,136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410,587</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347,643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408,305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75,467</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73,137</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22,955</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25,455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19,745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9,658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6,161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20,418</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25,316</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20,318</w:t>
            </w: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6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5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2,875,138</w:t>
            </w:r>
          </w:p>
        </w:tc>
        <w:tc>
          <w:tcPr>
            <w:tcW w:w="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2,491,609</w:t>
            </w:r>
          </w:p>
        </w:tc>
        <w:tc>
          <w:tcPr>
            <w:tcW w:w="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w w:val="99"/>
              </w:rPr>
              <w:t>LIABILITIES AND STOCKHOLDERS’ EQUITY</w:t>
            </w:r>
          </w:p>
        </w:tc>
        <w:tc>
          <w:tcPr>
            <w:tcW w:w="30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Current portion of long-term debt</w:t>
            </w:r>
          </w:p>
        </w:tc>
        <w:tc>
          <w:tcPr>
            <w:tcW w:w="5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9,992</w:t>
            </w:r>
          </w:p>
        </w:tc>
        <w:tc>
          <w:tcPr>
            <w:tcW w:w="4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113,903</w:t>
            </w:r>
          </w:p>
        </w:tc>
        <w:tc>
          <w:tcPr>
            <w:tcW w:w="4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99,873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364,361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348,003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429,820</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348,027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376,524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6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Short-term lease liabilities</w:t>
            </w: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15,368</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14,374</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819,541</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824,307</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855,797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691,356</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601,016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691,250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63,469</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62,015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71,970</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50,676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70,435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49,080</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41,545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0" w:type="dxa"/>
            <w:vAlign w:val="bottom"/>
            <w:gridSpan w:val="3"/>
          </w:tcPr>
          <w:p>
            <w:pPr>
              <w:ind w:left="120"/>
              <w:spacing w:after="0" w:line="162" w:lineRule="exact"/>
              <w:rPr>
                <w:sz w:val="20"/>
                <w:szCs w:val="20"/>
                <w:color w:val="auto"/>
              </w:rPr>
            </w:pPr>
            <w:r>
              <w:rPr>
                <w:rFonts w:ascii="Arial" w:cs="Arial" w:eastAsia="Arial" w:hAnsi="Arial"/>
                <w:sz w:val="17"/>
                <w:szCs w:val="17"/>
                <w:color w:val="auto"/>
                <w:w w:val="95"/>
              </w:rPr>
              <w:t>Preferred stock, par value $1.00 per share, authorized 1,000,000 voting and 850,000 non-</w:t>
            </w:r>
          </w:p>
        </w:tc>
        <w:tc>
          <w:tcPr>
            <w:tcW w:w="500" w:type="dxa"/>
            <w:vAlign w:val="bottom"/>
          </w:tcPr>
          <w:p>
            <w:pPr>
              <w:spacing w:after="0"/>
              <w:rPr>
                <w:sz w:val="14"/>
                <w:szCs w:val="14"/>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120"/>
              <w:spacing w:after="0"/>
              <w:rPr>
                <w:sz w:val="20"/>
                <w:szCs w:val="20"/>
                <w:color w:val="auto"/>
              </w:rPr>
            </w:pPr>
            <w:r>
              <w:rPr>
                <w:rFonts w:ascii="Arial" w:cs="Arial" w:eastAsia="Arial" w:hAnsi="Arial"/>
                <w:sz w:val="17"/>
                <w:szCs w:val="17"/>
                <w:color w:val="auto"/>
              </w:rPr>
              <w:t>voting shares, none issued and outstanding</w:t>
            </w:r>
          </w:p>
        </w:tc>
        <w:tc>
          <w:tcPr>
            <w:tcW w:w="5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60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7"/>
                <w:szCs w:val="17"/>
                <w:color w:val="auto"/>
                <w:w w:val="99"/>
              </w:rPr>
              <w:t>Common stock, par value $1.00 per share, authorized 175,000,000 shares; issued and</w:t>
            </w: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60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7"/>
                <w:szCs w:val="17"/>
                <w:color w:val="auto"/>
                <w:w w:val="90"/>
              </w:rPr>
              <w:t>outstanding 107,613,431 shares as of January 29, 2021, 106,977,274 shares as of January 31,</w:t>
            </w:r>
          </w:p>
        </w:tc>
        <w:tc>
          <w:tcPr>
            <w:tcW w:w="5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107,613</w:t>
            </w:r>
          </w:p>
        </w:tc>
        <w:tc>
          <w:tcPr>
            <w:tcW w:w="4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106,977</w:t>
            </w:r>
          </w:p>
        </w:tc>
        <w:tc>
          <w:tcPr>
            <w:tcW w:w="4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2020, and 107,582,670 shares as of October 31, 2020</w:t>
            </w:r>
          </w:p>
        </w:tc>
        <w:tc>
          <w:tcPr>
            <w:tcW w:w="5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5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1,104,285</w:t>
            </w:r>
          </w:p>
        </w:tc>
        <w:tc>
          <w:tcPr>
            <w:tcW w:w="4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837,194</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1,041,507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660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(32,176)</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(32,121)</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gridSpan w:val="3"/>
          </w:tcPr>
          <w:p>
            <w:pPr>
              <w:ind w:left="200"/>
              <w:spacing w:after="0"/>
              <w:rPr>
                <w:sz w:val="20"/>
                <w:szCs w:val="20"/>
                <w:color w:val="auto"/>
              </w:rPr>
            </w:pPr>
            <w:r>
              <w:rPr>
                <w:rFonts w:ascii="Arial" w:cs="Arial" w:eastAsia="Arial" w:hAnsi="Arial"/>
                <w:sz w:val="17"/>
                <w:szCs w:val="17"/>
                <w:color w:val="auto"/>
              </w:rPr>
              <w:t>Total stockholders’ equity</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1,179,722</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912,050</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6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5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2,875,138</w:t>
            </w:r>
          </w:p>
        </w:tc>
        <w:tc>
          <w:tcPr>
            <w:tcW w:w="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2,491,609</w:t>
            </w:r>
          </w:p>
        </w:tc>
        <w:tc>
          <w:tcPr>
            <w:tcW w:w="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22"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0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January 31, 2020</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4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111,281</w:t>
            </w:r>
          </w:p>
        </w:tc>
        <w:tc>
          <w:tcPr>
            <w:tcW w:w="52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70,091</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(used in) operating activities: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(1,283)</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(1,751)</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(Contributions to) distributions from finance affiliate, net</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4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19,173</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18,089</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4,894</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4,714</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14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470</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4,516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14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1,232</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1,080</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6"/>
        </w:trPr>
        <w:tc>
          <w:tcPr>
            <w:tcW w:w="730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(46,159)</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(53,044)</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(25,594)</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(88,557)</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(2,794)</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16"/>
        </w:trPr>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30,606</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21,734</w:t>
            </w:r>
          </w:p>
        </w:tc>
      </w:tr>
      <w:tr>
        <w:trPr>
          <w:trHeight w:val="209"/>
        </w:trPr>
        <w:tc>
          <w:tcPr>
            <w:tcW w:w="7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Net cash provided by (used in) operating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95,025</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(23,299)</w:t>
            </w:r>
          </w:p>
        </w:tc>
      </w:tr>
      <w:tr>
        <w:trPr>
          <w:trHeight w:val="196"/>
        </w:trPr>
        <w:tc>
          <w:tcPr>
            <w:tcW w:w="7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(10,504)</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(11,821)</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acquisition, net of cash acquired</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(4,542)</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14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74</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7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1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12,886</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cash used in investing activities</w:t>
            </w:r>
          </w:p>
        </w:tc>
        <w:tc>
          <w:tcPr>
            <w:tcW w:w="1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(11,796)</w:t>
            </w:r>
          </w:p>
        </w:tc>
      </w:tr>
      <w:tr>
        <w:trPr>
          <w:trHeight w:val="196"/>
        </w:trPr>
        <w:tc>
          <w:tcPr>
            <w:tcW w:w="7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Borrowings under debt arrangements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82,025</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Repayments under debt arrangements</w:t>
            </w:r>
          </w:p>
        </w:tc>
        <w:tc>
          <w:tcPr>
            <w:tcW w:w="1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(90,000)</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(68,025)</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7,714</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w:t>
            </w:r>
          </w:p>
        </w:tc>
      </w:tr>
      <w:tr>
        <w:trPr>
          <w:trHeight w:val="216"/>
        </w:trPr>
        <w:tc>
          <w:tcPr>
            <w:tcW w:w="7300" w:type="dxa"/>
            <w:vAlign w:val="bottom"/>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(941)</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(1,361)</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TTC common stock</w:t>
            </w:r>
          </w:p>
        </w:tc>
        <w:tc>
          <w:tcPr>
            <w:tcW w:w="1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(31,351)</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Dividends paid on TTC common stock</w:t>
            </w:r>
          </w:p>
        </w:tc>
        <w:tc>
          <w:tcPr>
            <w:tcW w:w="1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(28,411)</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(26,856)</w:t>
            </w:r>
          </w:p>
        </w:tc>
      </w:tr>
      <w:tr>
        <w:trPr>
          <w:trHeight w:val="210"/>
        </w:trPr>
        <w:tc>
          <w:tcPr>
            <w:tcW w:w="7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Net cash used in financing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(142,989)</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(7,507)</w:t>
            </w:r>
          </w:p>
        </w:tc>
      </w:tr>
      <w:tr>
        <w:trPr>
          <w:trHeight w:val="196"/>
        </w:trPr>
        <w:tc>
          <w:tcPr>
            <w:tcW w:w="7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3,552</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r>
      <w:tr>
        <w:trPr>
          <w:trHeight w:val="196"/>
        </w:trPr>
        <w:tc>
          <w:tcPr>
            <w:tcW w:w="7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(46,498)</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(42,914)</w:t>
            </w:r>
          </w:p>
        </w:tc>
      </w:tr>
      <w:tr>
        <w:trPr>
          <w:trHeight w:val="21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479,892</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151,828</w:t>
            </w:r>
          </w:p>
        </w:tc>
      </w:tr>
      <w:tr>
        <w:trPr>
          <w:trHeight w:val="235"/>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433,394</w:t>
            </w:r>
          </w:p>
        </w:tc>
        <w:tc>
          <w:tcPr>
            <w:tcW w:w="5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108,914</w:t>
            </w:r>
          </w:p>
        </w:tc>
      </w:tr>
      <w:tr>
        <w:trPr>
          <w:trHeight w:val="20"/>
        </w:trPr>
        <w:tc>
          <w:tcPr>
            <w:tcW w:w="7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8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7"/>
                <w:szCs w:val="17"/>
                <w:b w:val="1"/>
                <w:bCs w:val="1"/>
                <w:color w:val="auto"/>
              </w:rPr>
              <w:t>Common</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7"/>
                <w:szCs w:val="17"/>
                <w:b w:val="1"/>
                <w:bCs w:val="1"/>
                <w:color w:val="auto"/>
              </w:rPr>
              <w:t>Retained</w:t>
            </w:r>
          </w:p>
        </w:tc>
        <w:tc>
          <w:tcPr>
            <w:tcW w:w="1740" w:type="dxa"/>
            <w:vAlign w:val="bottom"/>
            <w:tcBorders>
              <w:top w:val="single" w:sz="8" w:color="auto"/>
            </w:tcBorders>
            <w:gridSpan w:val="2"/>
            <w:vMerge w:val="restart"/>
          </w:tcPr>
          <w:p>
            <w:pPr>
              <w:jc w:val="right"/>
              <w:ind w:right="55"/>
              <w:spacing w:after="0"/>
              <w:rPr>
                <w:sz w:val="20"/>
                <w:szCs w:val="20"/>
                <w:color w:val="auto"/>
              </w:rPr>
            </w:pPr>
            <w:r>
              <w:rPr>
                <w:rFonts w:ascii="Arial" w:cs="Arial" w:eastAsia="Arial" w:hAnsi="Arial"/>
                <w:sz w:val="17"/>
                <w:szCs w:val="17"/>
                <w:b w:val="1"/>
                <w:bCs w:val="1"/>
                <w:color w:val="auto"/>
              </w:rPr>
              <w:t>Accumulated Other</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5"/>
              <w:spacing w:after="0" w:line="176" w:lineRule="exact"/>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75"/>
              <w:spacing w:after="0" w:line="162" w:lineRule="exact"/>
              <w:rPr>
                <w:sz w:val="20"/>
                <w:szCs w:val="20"/>
                <w:color w:val="auto"/>
              </w:rPr>
            </w:pPr>
            <w:r>
              <w:rPr>
                <w:rFonts w:ascii="Arial" w:cs="Arial" w:eastAsia="Arial" w:hAnsi="Arial"/>
                <w:sz w:val="17"/>
                <w:szCs w:val="17"/>
                <w:b w:val="1"/>
                <w:bCs w:val="1"/>
                <w:color w:val="auto"/>
                <w:w w:val="87"/>
              </w:rPr>
              <w:t>Stockholders'</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Stock</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Earnings</w:t>
            </w:r>
          </w:p>
        </w:tc>
        <w:tc>
          <w:tcPr>
            <w:tcW w:w="17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w w:val="93"/>
              </w:rPr>
              <w:t>Comprehensive Loss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2020</w:t>
            </w: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107,583</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1,041,507</w:t>
            </w:r>
          </w:p>
        </w:tc>
        <w:tc>
          <w:tcPr>
            <w:tcW w:w="6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7"/>
                <w:szCs w:val="17"/>
                <w:color w:val="auto"/>
              </w:rPr>
              <w:t>Cash dividends paid on common stock - $0.2625 per share</w:t>
            </w:r>
          </w:p>
        </w:tc>
        <w:tc>
          <w:tcPr>
            <w:tcW w:w="54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(28,411)</w:t>
            </w:r>
          </w:p>
        </w:tc>
        <w:tc>
          <w:tcPr>
            <w:tcW w:w="6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(28,411)</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5"/>
              </w:rPr>
              <w:t>Issuance of 351,178 shares for exercised stock options and vested</w:t>
            </w: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5,879</w:t>
            </w:r>
          </w:p>
        </w:tc>
        <w:tc>
          <w:tcPr>
            <w:tcW w:w="6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6,229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5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54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4,516</w:t>
            </w:r>
          </w:p>
        </w:tc>
        <w:tc>
          <w:tcPr>
            <w:tcW w:w="6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4,516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of 22,700 shares to a deferred compensation trust</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1,462</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7"/>
                <w:szCs w:val="17"/>
                <w:color w:val="auto"/>
              </w:rPr>
              <w:t>Purchase of 343,117 shares of common stock</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(31,949)</w:t>
            </w:r>
          </w:p>
        </w:tc>
        <w:tc>
          <w:tcPr>
            <w:tcW w:w="6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(32,292)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2,086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earnings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111,281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111,281</w:t>
            </w:r>
          </w:p>
        </w:tc>
        <w:tc>
          <w:tcPr>
            <w:tcW w:w="0" w:type="dxa"/>
            <w:vAlign w:val="bottom"/>
          </w:tcPr>
          <w:p>
            <w:pPr>
              <w:spacing w:after="0"/>
              <w:rPr>
                <w:sz w:val="1"/>
                <w:szCs w:val="1"/>
                <w:color w:val="auto"/>
              </w:rPr>
            </w:pPr>
          </w:p>
        </w:tc>
      </w:tr>
      <w:tr>
        <w:trPr>
          <w:trHeight w:val="208"/>
        </w:trPr>
        <w:tc>
          <w:tcPr>
            <w:tcW w:w="48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January 29, 2021</w:t>
            </w:r>
          </w:p>
        </w:tc>
        <w:tc>
          <w:tcPr>
            <w:tcW w:w="5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107,613</w:t>
            </w:r>
          </w:p>
        </w:tc>
        <w:tc>
          <w:tcPr>
            <w:tcW w:w="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1,104,285</w:t>
            </w:r>
          </w:p>
        </w:tc>
        <w:tc>
          <w:tcPr>
            <w:tcW w:w="620" w:type="dxa"/>
            <w:vAlign w:val="bottom"/>
            <w:tcBorders>
              <w:bottom w:val="single" w:sz="8" w:color="auto"/>
            </w:tcBorders>
            <w:shd w:val="clear" w:color="auto" w:fill="CCEEFF"/>
          </w:tcPr>
          <w:p>
            <w:pPr>
              <w:jc w:val="right"/>
              <w:ind w:right="37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(32,176)</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1,179,722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2019</w:t>
            </w: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106,742</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784,885</w:t>
            </w:r>
          </w:p>
        </w:tc>
        <w:tc>
          <w:tcPr>
            <w:tcW w:w="6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859,578</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7"/>
                <w:szCs w:val="17"/>
                <w:color w:val="auto"/>
              </w:rPr>
              <w:t>Cash dividends paid on common stock - $0.25 per share</w:t>
            </w:r>
          </w:p>
        </w:tc>
        <w:tc>
          <w:tcPr>
            <w:tcW w:w="54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(26,856)</w:t>
            </w:r>
          </w:p>
        </w:tc>
        <w:tc>
          <w:tcPr>
            <w:tcW w:w="6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(26,856)</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5"/>
              </w:rPr>
              <w:t>Issuance of 351,501 shares for exercised stock options and vested</w:t>
            </w: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253</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3,889</w:t>
            </w:r>
          </w:p>
        </w:tc>
        <w:tc>
          <w:tcPr>
            <w:tcW w:w="6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5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54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3,960</w:t>
            </w:r>
          </w:p>
        </w:tc>
        <w:tc>
          <w:tcPr>
            <w:tcW w:w="6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of stock to a deferred compensation trust</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2,568</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7"/>
                <w:szCs w:val="17"/>
                <w:color w:val="auto"/>
              </w:rPr>
              <w:t>Purchase of 17,740 shares of common stock</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(1,343)</w:t>
            </w:r>
          </w:p>
        </w:tc>
        <w:tc>
          <w:tcPr>
            <w:tcW w:w="6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earnings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70,091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70,091</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31, 2020</w:t>
            </w: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106,977</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837,194</w:t>
            </w:r>
          </w:p>
        </w:tc>
        <w:tc>
          <w:tcPr>
            <w:tcW w:w="6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912,050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2021</w:t>
      </w:r>
    </w:p>
    <w:p>
      <w:pPr>
        <w:spacing w:after="0" w:line="356" w:lineRule="exact"/>
        <w:rPr>
          <w:sz w:val="20"/>
          <w:szCs w:val="20"/>
          <w:color w:val="auto"/>
        </w:rPr>
      </w:pPr>
    </w:p>
    <w:p>
      <w:pPr>
        <w:ind w:left="640" w:hanging="614"/>
        <w:spacing w:after="0"/>
        <w:tabs>
          <w:tab w:leader="none" w:pos="640" w:val="left"/>
        </w:tabs>
        <w:numPr>
          <w:ilvl w:val="0"/>
          <w:numId w:val="3"/>
        </w:numPr>
        <w:rPr>
          <w:rFonts w:ascii="Arial" w:cs="Arial" w:eastAsia="Arial" w:hAnsi="Arial"/>
          <w:sz w:val="43"/>
          <w:szCs w:val="43"/>
          <w:b w:val="1"/>
          <w:bCs w:val="1"/>
          <w:color w:val="auto"/>
        </w:rPr>
      </w:pPr>
      <w:r>
        <w:rPr>
          <w:rFonts w:ascii="Arial" w:cs="Arial" w:eastAsia="Arial" w:hAnsi="Arial"/>
          <w:sz w:val="20"/>
          <w:szCs w:val="20"/>
          <w:b w:val="1"/>
          <w:bCs w:val="1"/>
          <w:color w:val="auto"/>
        </w:rPr>
        <w:t>Basis of Presentation</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 operates and the current COVID-19 pandemic, among other factors, operating results for the three months ended January 29, 2021 cannot be annualized to determine the expected results for the fiscal year ending October 31, 2021.</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2020. The policies described in that report are used for preparing the company's quarterly reports on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2020, the World Health Organization declared the novel coronavirus ("COVID-19" or "the pandemic") outbreak a global pandemic. COVID-19 has negatively impacted public health and portions of the global economy, disrupted global supply chains, and created volatility in financial markets. The continuing implications of COVID-19 on the company remain uncertain and will depend on certain future developments, including the duration, scope, and severity of the pandemic; its impact on the company's employees, customers, and suppliers; the range of government mandated restrictions and other measures; and the success of the deployment of approved COVID-19 vaccines and their effectiveness. This uncertainty could have a material impact on accounting estimates and assumptions utilized to prepare the Condensed Consolidated Financial Statements in future reporting periods, which could result in a material adverse impact on the company's Consolidated Financial Position, Results of Operations,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including those impacted by the COVID-19 pandemic, actual amounts could differ significantly from those estimated at the time the Condensed Consolidated Financial Statements are prepared.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Instruments</w:t>
      </w:r>
      <w:r>
        <w:rPr>
          <w:rFonts w:ascii="Arial" w:cs="Arial" w:eastAsia="Arial" w:hAnsi="Arial"/>
          <w:sz w:val="16"/>
          <w:szCs w:val="16"/>
          <w:color w:val="auto"/>
        </w:rPr>
        <w:t>, which modifies the measurement approach for credit losses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affects trade receivables, off-balance-sheet credit exposures, and any other financial assets not excluded from the scope of this amendment that have the contractual right to receive cash. The amended guidance was adopted in the first quarter of fiscal 2021, under the modified retrospective transition method. The adoption of the amended guidance did not have a material impact on the company's Condensed Consolidated Financial Statements.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modifies the disclosure requirements for fair value measurements by removing, modifying, or adding certain disclosures.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was adopted in the first quarter of fiscal 2021 and did not have a material impact on the company's Condensed Consolidated Financial Statements.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(Topic 715)</w:t>
      </w:r>
      <w:r>
        <w:rPr>
          <w:rFonts w:ascii="Arial" w:cs="Arial" w:eastAsia="Arial" w:hAnsi="Arial"/>
          <w:sz w:val="18"/>
          <w:szCs w:val="18"/>
          <w:color w:val="auto"/>
        </w:rPr>
        <w:t>, which modifies the disclosure requirements for defined benefit pension plans and other post-retirement plans. The amended guidance was adopted in the first quarter of fiscal 2021 and did not have a material impact on the company's Condensed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amended guidance will become effective in the first quarter of fiscal 2022. Early adoption is permitted. The company is currently evaluating the impact of this new standard on its Condensed Consolidated Financial Statements.</w:t>
      </w:r>
    </w:p>
    <w:p>
      <w:pPr>
        <w:spacing w:after="0" w:line="5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 - Equity Securities (Topic 321), Investments - 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which clarified that before applying or upon discontinuing the equity method of accounting for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 equity securities, an entity should consider observable transactions that require it to apply or discontinue the equity method of accounting for the purposes of applying the fair value measurement alternative. The amended guidance will become effective in the first quarter of fiscal 2022. Early adoption is permitted. The company is currently evaluating the impact of this standard on its Condensed Consolidated Financial Statements.</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temporary optional guidance to ease the potential burden of accounting for reference rate reform due to the cessation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London Interbank Offered Rate, commonly referred to as "LIBOR." The temporary guidance provides optional expedients and exceptions for applying U.S. GAAP to contracts, relationships, and transactions affected by reference rate reform if certain criteria are met. The provisions of the temporary optional guidance are only available until December 31, 2022, when the reference rate reform activity is expected to be substantially complete. When adopted, entities may apply the provisions as of the beginning of the reporting period when the election is made. The company is currently evaluating the impact of this standard on its Condensed Consolidated Financial Statements and has yet to elect an adoption date.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614"/>
        <w:spacing w:after="0"/>
        <w:tabs>
          <w:tab w:leader="none" w:pos="640" w:val="left"/>
        </w:tabs>
        <w:numPr>
          <w:ilvl w:val="0"/>
          <w:numId w:val="4"/>
        </w:numPr>
        <w:rPr>
          <w:rFonts w:ascii="Arial" w:cs="Arial" w:eastAsia="Arial" w:hAnsi="Arial"/>
          <w:sz w:val="43"/>
          <w:szCs w:val="43"/>
          <w:b w:val="1"/>
          <w:bCs w:val="1"/>
          <w:color w:val="auto"/>
        </w:rPr>
      </w:pPr>
      <w:r>
        <w:rPr>
          <w:rFonts w:ascii="Arial" w:cs="Arial" w:eastAsia="Arial" w:hAnsi="Arial"/>
          <w:sz w:val="20"/>
          <w:szCs w:val="20"/>
          <w:b w:val="1"/>
          <w:bCs w:val="1"/>
          <w:color w:val="auto"/>
        </w:rPr>
        <w:t>Business Combination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Products, Inc. ("Venture Products")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March 2, 2020, the company completed its acquisition of Venture Products, the manufacturer of Ventrac-branded products. Venture Products designs, manufactures, and markets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 On the closing date of the acquisition, the company paid preliminary merger consideration of $165.9 million, which consisted of a cash payment of $136.4 million and a $29.5 million holdback to satisfy any indemnification or certain other obligations of Venture Products to the company. The preliminary merger consideration was subject to certain customary adjustments, which were finalized during the third quarter of fiscal 2020 and resulted in an aggregate merger consideration of $163.2 million. As a result, $4.5 million of the holdback set aside for such customary adjustments was released accordingly and the remaining holdback of $25.0 million is expected to expire throughout fiscal 2021. The company funded the cash payment with borrowings under its existing unsecured senior revolving credit facility. For additional information regarding the company's unsecured senior revolving credit facility, refer to Note 6, </w:t>
      </w:r>
      <w:r>
        <w:rPr>
          <w:rFonts w:ascii="Arial" w:cs="Arial" w:eastAsia="Arial" w:hAnsi="Arial"/>
          <w:sz w:val="17"/>
          <w:szCs w:val="17"/>
          <w:i w:val="1"/>
          <w:iCs w:val="1"/>
          <w:color w:val="auto"/>
        </w:rPr>
        <w:t>Indebtedness</w:t>
      </w:r>
      <w:r>
        <w:rPr>
          <w:rFonts w:ascii="Arial" w:cs="Arial" w:eastAsia="Arial" w:hAnsi="Arial"/>
          <w:sz w:val="17"/>
          <w:szCs w:val="17"/>
          <w:color w:val="auto"/>
        </w:rPr>
        <w:t>.</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accounted for the acquisition in accordance with the accounting standards codification guidance for business combinations, whereby the purchase price was allocated to the acquired net tangible and intangible assets of Venture Products based on their fair values as of the closing date of the acquisition. Such fair values are based on internal company and independent external third-party valuations. As of January 29, 2021, the company completed its process for measuring the fair values of the acquired assets and liabilities assumed based on information available as of the closing date of the acquisition. The following table summarizes the allocation of the purchase price to the fair values assigned to the Venture Products assets acquired and liabilities assumed: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35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8"/>
              </w:rPr>
              <w:t>March 2, 2020</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w:t>
            </w: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color w:val="auto"/>
              </w:rPr>
              <w:t>Receivables</w:t>
            </w:r>
          </w:p>
        </w:tc>
        <w:tc>
          <w:tcPr>
            <w:tcW w:w="3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6,342</w:t>
            </w:r>
          </w:p>
        </w:tc>
      </w:tr>
      <w:tr>
        <w:trPr>
          <w:trHeight w:val="218"/>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3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w:t>
            </w: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3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18"/>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3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26,976</w:t>
            </w: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color w:val="auto"/>
              </w:rPr>
              <w:t>Goodwill</w:t>
            </w:r>
          </w:p>
        </w:tc>
        <w:tc>
          <w:tcPr>
            <w:tcW w:w="3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61,225</w:t>
            </w:r>
          </w:p>
        </w:tc>
      </w:tr>
      <w:tr>
        <w:trPr>
          <w:trHeight w:val="218"/>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w:t>
            </w:r>
          </w:p>
        </w:tc>
        <w:tc>
          <w:tcPr>
            <w:tcW w:w="3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6240" w:type="dxa"/>
            <w:vAlign w:val="bottom"/>
          </w:tcPr>
          <w:p>
            <w:pPr>
              <w:ind w:left="140"/>
              <w:spacing w:after="0"/>
              <w:rPr>
                <w:sz w:val="20"/>
                <w:szCs w:val="20"/>
                <w:color w:val="auto"/>
              </w:rPr>
            </w:pPr>
            <w:r>
              <w:rPr>
                <w:rFonts w:ascii="Arial" w:cs="Arial" w:eastAsia="Arial" w:hAnsi="Arial"/>
                <w:sz w:val="17"/>
                <w:szCs w:val="17"/>
                <w:color w:val="auto"/>
              </w:rPr>
              <w:t>Finite-lived customer-related</w:t>
            </w:r>
          </w:p>
        </w:tc>
        <w:tc>
          <w:tcPr>
            <w:tcW w:w="3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19,100</w:t>
            </w:r>
          </w:p>
        </w:tc>
      </w:tr>
      <w:tr>
        <w:trPr>
          <w:trHeight w:val="218"/>
        </w:trPr>
        <w:tc>
          <w:tcPr>
            <w:tcW w:w="6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Indefinite-lived trade name</w:t>
            </w:r>
          </w:p>
        </w:tc>
        <w:tc>
          <w:tcPr>
            <w:tcW w:w="3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56,200</w:t>
            </w: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3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(4,075)</w:t>
            </w:r>
          </w:p>
        </w:tc>
      </w:tr>
      <w:tr>
        <w:trPr>
          <w:trHeight w:val="218"/>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3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(5,196)</w:t>
            </w:r>
          </w:p>
        </w:tc>
      </w:tr>
      <w:tr>
        <w:trPr>
          <w:trHeight w:val="214"/>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Deferred income tax liabilities</w:t>
            </w:r>
          </w:p>
        </w:tc>
        <w:tc>
          <w:tcPr>
            <w:tcW w:w="3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(20,586)</w:t>
            </w: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fair value of net assets acquired</w:t>
            </w:r>
          </w:p>
        </w:tc>
        <w:tc>
          <w:tcPr>
            <w:tcW w:w="3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166,701</w:t>
            </w:r>
          </w:p>
        </w:tc>
      </w:tr>
      <w:tr>
        <w:trPr>
          <w:trHeight w:val="214"/>
        </w:trPr>
        <w:tc>
          <w:tcPr>
            <w:tcW w:w="62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cash and cash equivalents acquired</w:t>
            </w:r>
          </w:p>
        </w:tc>
        <w:tc>
          <w:tcPr>
            <w:tcW w:w="3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(3,476)</w:t>
            </w:r>
          </w:p>
        </w:tc>
      </w:tr>
      <w:tr>
        <w:trPr>
          <w:trHeight w:val="235"/>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3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163,225</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Venture Products acquisition was recognized within the company's Professional segment and is non-deductible for tax purposes. During the first quarter of fiscal 2021, the company completed its valuation of income taxes to finalize the purchase price allocation, which resulted in a decrease to the carrying amount of goodwill of $1.0 million from the amounts reporting within the company's Annual Report on Form 10-K for the fiscal year ended October 31, 2020. Such purchase accounting adjustment did not impact the company's Condensed Consolidated Statements of Earnings for the three month period ended January 29, 2021.</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allocation of the purchase price to the net assets acquired resulted in the recognition of $75.3 million of other intangible assets as of the closing date of the acquisition. The fair values of the acquired trade name and customer-related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The fair value of the indefinite-lived trade name was determined using the relief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royalty method, which is based on the hypothetical royalty stream that would be received if the company were to license the trade name and was based on expected future revenues. The fair value of the customer-related intangible asset was determined using the excess earnings method and was based on the expected operating cash flows attributable to the customer-related intangible asset, which was determined by deducting expected economic costs, including operating expenses and contributory asset charges, from the revenue expected to be generated from the customer-related intangible asset. As of the closing date of the acquisition, the weighted-average useful life of the customer-related intangible asset was determined to be 16.0 years.</w:t>
      </w:r>
    </w:p>
    <w:p>
      <w:pPr>
        <w:spacing w:after="0" w:line="90" w:lineRule="exact"/>
        <w:rPr>
          <w:sz w:val="20"/>
          <w:szCs w:val="20"/>
          <w:color w:val="auto"/>
        </w:rPr>
      </w:pPr>
    </w:p>
    <w:p>
      <w:pPr>
        <w:ind w:left="640" w:hanging="614"/>
        <w:spacing w:after="0"/>
        <w:tabs>
          <w:tab w:leader="none" w:pos="640" w:val="left"/>
        </w:tabs>
        <w:numPr>
          <w:ilvl w:val="0"/>
          <w:numId w:val="5"/>
        </w:numPr>
        <w:rPr>
          <w:rFonts w:ascii="Arial" w:cs="Arial" w:eastAsia="Arial" w:hAnsi="Arial"/>
          <w:sz w:val="43"/>
          <w:szCs w:val="43"/>
          <w:b w:val="1"/>
          <w:bCs w:val="1"/>
          <w:color w:val="auto"/>
        </w:rPr>
      </w:pPr>
      <w:r>
        <w:rPr>
          <w:rFonts w:ascii="Arial" w:cs="Arial" w:eastAsia="Arial" w:hAnsi="Arial"/>
          <w:sz w:val="20"/>
          <w:szCs w:val="20"/>
          <w:b w:val="1"/>
          <w:bCs w:val="1"/>
          <w:color w:val="auto"/>
        </w:rPr>
        <w:t>Segment Data</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eleven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during the first quarter of fiscal 2021, the company completed the sale of its Northeastern U.S. distribution company. As a result, for the three month period ended January 29, 2021, the company's Other activities consisted of the company's wholly-owned domestic distribution company, the company's corporate activities, and the elimination of intersegment revenues and expenses. For the three month period ended January 31, 2020, the company's Other activities consisted of the company's wholly-owned domestic distribution companies, the company's corporate activities, and the elimination of intersegment revenues and expenses.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and Other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18"/>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Three Months Ended January 29, 2021</w:t>
            </w:r>
          </w:p>
        </w:tc>
        <w:tc>
          <w:tcPr>
            <w:tcW w:w="1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2"/>
              </w:rPr>
              <w:t>Professional</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Residential</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7"/>
                <w:szCs w:val="17"/>
                <w:b w:val="1"/>
                <w:bCs w:val="1"/>
                <w:color w:val="auto"/>
              </w:rPr>
              <w:t>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8"/>
              </w:rPr>
              <w:t>Total</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650,223</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217,700</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5,063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872,986</w:t>
            </w: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Intersegment gross sales (eliminations)</w:t>
            </w:r>
          </w:p>
        </w:tc>
        <w:tc>
          <w:tcPr>
            <w:tcW w:w="138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6,642</w:t>
            </w:r>
          </w:p>
        </w:tc>
        <w:tc>
          <w:tcPr>
            <w:tcW w:w="30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(6,658)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before income taxes</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116,816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32,108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(13,098)</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135,826</w:t>
            </w:r>
          </w:p>
        </w:tc>
      </w:tr>
      <w:tr>
        <w:trPr>
          <w:trHeight w:val="21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1,952,536</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345,185</w:t>
            </w:r>
          </w:p>
        </w:tc>
        <w:tc>
          <w:tcPr>
            <w:tcW w:w="3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577,417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2,875,138</w:t>
            </w:r>
          </w:p>
        </w:tc>
      </w:tr>
      <w:tr>
        <w:trPr>
          <w:trHeight w:val="184"/>
        </w:trPr>
        <w:tc>
          <w:tcPr>
            <w:tcW w:w="4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05"/>
        </w:trPr>
        <w:tc>
          <w:tcPr>
            <w:tcW w:w="402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8"/>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Three Months Ended January 31, 2020</w:t>
            </w:r>
          </w:p>
        </w:tc>
        <w:tc>
          <w:tcPr>
            <w:tcW w:w="1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2"/>
              </w:rPr>
              <w:t>Professional</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Residential</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7"/>
                <w:szCs w:val="17"/>
                <w:b w:val="1"/>
                <w:bCs w:val="1"/>
                <w:color w:val="auto"/>
              </w:rPr>
              <w:t>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8"/>
              </w:rPr>
              <w:t>Total</w:t>
            </w:r>
          </w:p>
        </w:tc>
      </w:tr>
      <w:tr>
        <w:trPr>
          <w:trHeight w:val="211"/>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594,721</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165,848</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6,914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767,483</w:t>
            </w: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Intersegment gross sales (eliminations)</w:t>
            </w:r>
          </w:p>
        </w:tc>
        <w:tc>
          <w:tcPr>
            <w:tcW w:w="138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8,771</w:t>
            </w:r>
          </w:p>
        </w:tc>
        <w:tc>
          <w:tcPr>
            <w:tcW w:w="30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27</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(8,798)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before income taxes</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102,474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21,566</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86,139</w:t>
            </w:r>
          </w:p>
        </w:tc>
      </w:tr>
      <w:tr>
        <w:trPr>
          <w:trHeight w:val="21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1,853,739</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324,089</w:t>
            </w:r>
          </w:p>
        </w:tc>
        <w:tc>
          <w:tcPr>
            <w:tcW w:w="3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313,781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2,491,609</w:t>
            </w:r>
          </w:p>
        </w:tc>
      </w:tr>
      <w:tr>
        <w:trPr>
          <w:trHeight w:val="373"/>
        </w:trPr>
        <w:tc>
          <w:tcPr>
            <w:tcW w:w="820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the details of operating loss before income taxes for the company's Other activities: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9"/>
        </w:trPr>
        <w:tc>
          <w:tcPr>
            <w:tcW w:w="4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7"/>
                <w:szCs w:val="17"/>
                <w:b w:val="1"/>
                <w:bCs w:val="1"/>
                <w:color w:val="auto"/>
              </w:rPr>
              <w:t>Three Months Ended</w:t>
            </w:r>
          </w:p>
        </w:tc>
      </w:tr>
      <w:tr>
        <w:trPr>
          <w:trHeight w:val="212"/>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7"/>
                <w:szCs w:val="17"/>
                <w:b w:val="1"/>
                <w:bCs w:val="1"/>
                <w:color w:val="auto"/>
              </w:rPr>
              <w:t>January 29, 2021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auto"/>
                <w:w w:val="89"/>
              </w:rPr>
              <w:t>January 31, 2020</w:t>
            </w: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expenses</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(32,442)</w:t>
            </w: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(7,522)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(8,156)</w:t>
            </w:r>
          </w:p>
        </w:tc>
      </w:tr>
      <w:tr>
        <w:trPr>
          <w:trHeight w:val="216"/>
        </w:trPr>
        <w:tc>
          <w:tcPr>
            <w:tcW w:w="66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Earnings from wholly-owned domestic distribution companies 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5,727</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2,697</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operating loss</w:t>
            </w:r>
          </w:p>
        </w:tc>
        <w:tc>
          <w:tcPr>
            <w:tcW w:w="1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(37,901)</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614"/>
        <w:spacing w:after="0"/>
        <w:tabs>
          <w:tab w:leader="none" w:pos="640" w:val="left"/>
        </w:tabs>
        <w:numPr>
          <w:ilvl w:val="0"/>
          <w:numId w:val="6"/>
        </w:numPr>
        <w:rPr>
          <w:rFonts w:ascii="Arial" w:cs="Arial" w:eastAsia="Arial" w:hAnsi="Arial"/>
          <w:sz w:val="43"/>
          <w:szCs w:val="43"/>
          <w:b w:val="1"/>
          <w:bCs w:val="1"/>
          <w:color w:val="auto"/>
        </w:rPr>
      </w:pPr>
      <w:r>
        <w:rPr>
          <w:rFonts w:ascii="Arial" w:cs="Arial" w:eastAsia="Arial" w:hAnsi="Arial"/>
          <w:sz w:val="20"/>
          <w:szCs w:val="20"/>
          <w:b w:val="1"/>
          <w:b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the company's reportable segment net sales by major product type and geographic market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Three Months Ended January 29, 2021</w:t>
            </w:r>
          </w:p>
        </w:tc>
        <w:tc>
          <w:tcPr>
            <w:tcW w:w="1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2"/>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7"/>
                <w:szCs w:val="17"/>
                <w:b w:val="1"/>
                <w:bCs w:val="1"/>
                <w:color w:val="auto"/>
              </w:rPr>
              <w:t>Total</w:t>
            </w: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by product type:</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4020" w:type="dxa"/>
            <w:vAlign w:val="bottom"/>
          </w:tcPr>
          <w:p>
            <w:pPr>
              <w:ind w:left="140"/>
              <w:spacing w:after="0"/>
              <w:rPr>
                <w:sz w:val="20"/>
                <w:szCs w:val="20"/>
                <w:color w:val="auto"/>
              </w:rPr>
            </w:pPr>
            <w:r>
              <w:rPr>
                <w:rFonts w:ascii="Arial" w:cs="Arial" w:eastAsia="Arial" w:hAnsi="Arial"/>
                <w:sz w:val="17"/>
                <w:szCs w:val="17"/>
                <w:color w:val="auto"/>
              </w:rPr>
              <w:t>Equipment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575,775</w:t>
            </w:r>
          </w:p>
        </w:tc>
        <w:tc>
          <w:tcPr>
            <w:tcW w:w="3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205,923</w:t>
            </w:r>
          </w:p>
        </w:tc>
        <w:tc>
          <w:tcPr>
            <w:tcW w:w="1040" w:type="dxa"/>
            <w:vAlign w:val="bottom"/>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3,942</w:t>
            </w:r>
          </w:p>
        </w:tc>
        <w:tc>
          <w:tcPr>
            <w:tcW w:w="40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785,640</w:t>
            </w:r>
          </w:p>
        </w:tc>
      </w:tr>
      <w:tr>
        <w:trPr>
          <w:trHeight w:val="216"/>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Irrigation</w:t>
            </w:r>
          </w:p>
        </w:tc>
        <w:tc>
          <w:tcPr>
            <w:tcW w:w="1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74,448</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11,777</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1,121</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87,346</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650,223</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217,700</w:t>
            </w:r>
          </w:p>
        </w:tc>
        <w:tc>
          <w:tcPr>
            <w:tcW w:w="104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5,063</w:t>
            </w:r>
          </w:p>
        </w:tc>
        <w:tc>
          <w:tcPr>
            <w:tcW w:w="4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872,986</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
        </w:trPr>
        <w:tc>
          <w:tcPr>
            <w:tcW w:w="40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by geographic market:</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402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501,860</w:t>
            </w:r>
          </w:p>
        </w:tc>
        <w:tc>
          <w:tcPr>
            <w:tcW w:w="3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174,382</w:t>
            </w:r>
          </w:p>
        </w:tc>
        <w:tc>
          <w:tcPr>
            <w:tcW w:w="1040" w:type="dxa"/>
            <w:vAlign w:val="bottom"/>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5,063</w:t>
            </w:r>
          </w:p>
        </w:tc>
        <w:tc>
          <w:tcPr>
            <w:tcW w:w="40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681,305</w:t>
            </w:r>
          </w:p>
        </w:tc>
      </w:tr>
      <w:tr>
        <w:trPr>
          <w:trHeight w:val="216"/>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International Countries</w:t>
            </w:r>
          </w:p>
        </w:tc>
        <w:tc>
          <w:tcPr>
            <w:tcW w:w="1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148,363</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43,318</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191,681</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650,223</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217,700</w:t>
            </w:r>
          </w:p>
        </w:tc>
        <w:tc>
          <w:tcPr>
            <w:tcW w:w="104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5,063</w:t>
            </w:r>
          </w:p>
        </w:tc>
        <w:tc>
          <w:tcPr>
            <w:tcW w:w="4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872,986</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Three Months Ended January 31, 2020</w:t>
            </w:r>
          </w:p>
        </w:tc>
        <w:tc>
          <w:tcPr>
            <w:tcW w:w="1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w w:val="92"/>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7"/>
                <w:szCs w:val="17"/>
                <w:b w:val="1"/>
                <w:bCs w:val="1"/>
                <w:color w:val="auto"/>
              </w:rPr>
              <w:t>Total</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by product type:</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4020" w:type="dxa"/>
            <w:vAlign w:val="bottom"/>
          </w:tcPr>
          <w:p>
            <w:pPr>
              <w:ind w:left="140"/>
              <w:spacing w:after="0"/>
              <w:rPr>
                <w:sz w:val="20"/>
                <w:szCs w:val="20"/>
                <w:color w:val="auto"/>
              </w:rPr>
            </w:pPr>
            <w:r>
              <w:rPr>
                <w:rFonts w:ascii="Arial" w:cs="Arial" w:eastAsia="Arial" w:hAnsi="Arial"/>
                <w:sz w:val="17"/>
                <w:szCs w:val="17"/>
                <w:color w:val="auto"/>
              </w:rPr>
              <w:t>Equipment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523,909</w:t>
            </w:r>
          </w:p>
        </w:tc>
        <w:tc>
          <w:tcPr>
            <w:tcW w:w="3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152,458</w:t>
            </w:r>
          </w:p>
        </w:tc>
        <w:tc>
          <w:tcPr>
            <w:tcW w:w="1040" w:type="dxa"/>
            <w:vAlign w:val="bottom"/>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5,525</w:t>
            </w:r>
          </w:p>
        </w:tc>
        <w:tc>
          <w:tcPr>
            <w:tcW w:w="40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681,892</w:t>
            </w:r>
          </w:p>
        </w:tc>
      </w:tr>
      <w:tr>
        <w:trPr>
          <w:trHeight w:val="216"/>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Irrigation</w:t>
            </w:r>
          </w:p>
        </w:tc>
        <w:tc>
          <w:tcPr>
            <w:tcW w:w="1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70,812</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13,390</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1,389</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85,591</w:t>
            </w: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594,721</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165,848</w:t>
            </w:r>
          </w:p>
        </w:tc>
        <w:tc>
          <w:tcPr>
            <w:tcW w:w="104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6,914</w:t>
            </w:r>
          </w:p>
        </w:tc>
        <w:tc>
          <w:tcPr>
            <w:tcW w:w="4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767,483</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4"/>
        </w:trPr>
        <w:tc>
          <w:tcPr>
            <w:tcW w:w="40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by geographic market:</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402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454,396</w:t>
            </w:r>
          </w:p>
        </w:tc>
        <w:tc>
          <w:tcPr>
            <w:tcW w:w="3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130,338</w:t>
            </w:r>
          </w:p>
        </w:tc>
        <w:tc>
          <w:tcPr>
            <w:tcW w:w="1040" w:type="dxa"/>
            <w:vAlign w:val="bottom"/>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6,914</w:t>
            </w:r>
          </w:p>
        </w:tc>
        <w:tc>
          <w:tcPr>
            <w:tcW w:w="40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591,648</w:t>
            </w:r>
          </w:p>
        </w:tc>
      </w:tr>
      <w:tr>
        <w:trPr>
          <w:trHeight w:val="216"/>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International Countries</w:t>
            </w:r>
          </w:p>
        </w:tc>
        <w:tc>
          <w:tcPr>
            <w:tcW w:w="1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140,325</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35,510</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175,835</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594,721</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165,848</w:t>
            </w:r>
          </w:p>
        </w:tc>
        <w:tc>
          <w:tcPr>
            <w:tcW w:w="104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6,914</w:t>
            </w:r>
          </w:p>
        </w:tc>
        <w:tc>
          <w:tcPr>
            <w:tcW w:w="4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767,483</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both January 29, 2021 and October 31, 2020, $21.9 million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January 29, 2021, the company recognized $2.5 million of the October 31, 2020 deferred revenue balance within net sales in the Condensed Consolidated Statements of Earnings. The company expects to recognize approximately $7.5 million of the October 31, 2020 deferred revenue amount within net sales throughout the remainder of fiscal 2021, $6.8 million in fiscal 2022, and $5.1 million thereafter.</w:t>
      </w:r>
    </w:p>
    <w:p>
      <w:pPr>
        <w:spacing w:after="0" w:line="205" w:lineRule="exact"/>
        <w:rPr>
          <w:sz w:val="20"/>
          <w:szCs w:val="20"/>
          <w:color w:val="auto"/>
        </w:rPr>
      </w:pPr>
    </w:p>
    <w:p>
      <w:pPr>
        <w:ind w:left="640" w:hanging="614"/>
        <w:spacing w:after="0"/>
        <w:tabs>
          <w:tab w:leader="none" w:pos="640" w:val="left"/>
        </w:tabs>
        <w:numPr>
          <w:ilvl w:val="0"/>
          <w:numId w:val="7"/>
        </w:numPr>
        <w:rPr>
          <w:rFonts w:ascii="Arial" w:cs="Arial" w:eastAsia="Arial" w:hAnsi="Arial"/>
          <w:sz w:val="43"/>
          <w:szCs w:val="43"/>
          <w:b w:val="1"/>
          <w:bCs w:val="1"/>
          <w:color w:val="auto"/>
        </w:rPr>
      </w:pPr>
      <w:r>
        <w:rPr>
          <w:rFonts w:ascii="Arial" w:cs="Arial" w:eastAsia="Arial" w:hAnsi="Arial"/>
          <w:sz w:val="20"/>
          <w:szCs w:val="20"/>
          <w:b w:val="1"/>
          <w:bCs w:val="1"/>
          <w:color w:val="auto"/>
        </w:rPr>
        <w:t>Goodwill and Other Intangible Assets,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the first three months of fiscal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5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0"/>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9"/>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7"/>
                <w:szCs w:val="17"/>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7"/>
                <w:szCs w:val="17"/>
                <w:b w:val="1"/>
                <w:bCs w:val="1"/>
                <w:color w:val="auto"/>
              </w:rPr>
              <w:t>Total</w:t>
            </w: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October 31, 2020</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412,061</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10,480</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1,534</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424,075</w:t>
            </w:r>
          </w:p>
        </w:tc>
      </w:tr>
      <w:tr>
        <w:trPr>
          <w:trHeight w:val="214"/>
        </w:trPr>
        <w:tc>
          <w:tcPr>
            <w:tcW w:w="3860" w:type="dxa"/>
            <w:vAlign w:val="bottom"/>
          </w:tcPr>
          <w:p>
            <w:pPr>
              <w:ind w:left="20"/>
              <w:spacing w:after="0"/>
              <w:rPr>
                <w:sz w:val="20"/>
                <w:szCs w:val="20"/>
                <w:color w:val="auto"/>
              </w:rPr>
            </w:pPr>
            <w:r>
              <w:rPr>
                <w:rFonts w:ascii="Arial" w:cs="Arial" w:eastAsia="Arial" w:hAnsi="Arial"/>
                <w:sz w:val="17"/>
                <w:szCs w:val="17"/>
                <w:color w:val="auto"/>
              </w:rPr>
              <w:t>Purchase price allocation adjustment</w:t>
            </w:r>
          </w:p>
        </w:tc>
        <w:tc>
          <w:tcPr>
            <w:tcW w:w="15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(1,027)</w:t>
            </w:r>
          </w:p>
        </w:tc>
        <w:tc>
          <w:tcPr>
            <w:tcW w:w="26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(1,027)</w:t>
            </w:r>
          </w:p>
        </w:tc>
      </w:tr>
      <w:tr>
        <w:trPr>
          <w:trHeight w:val="218"/>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divested</w:t>
            </w:r>
          </w:p>
        </w:tc>
        <w:tc>
          <w:tcPr>
            <w:tcW w:w="1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r>
      <w:tr>
        <w:trPr>
          <w:trHeight w:val="214"/>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Translation adjustments</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518</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r>
      <w:tr>
        <w:trPr>
          <w:trHeight w:val="235"/>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29, 2021</w:t>
            </w:r>
          </w:p>
        </w:tc>
        <w:tc>
          <w:tcPr>
            <w:tcW w:w="1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411,552</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10,611</w:t>
            </w:r>
          </w:p>
        </w:tc>
        <w:tc>
          <w:tcPr>
            <w:tcW w:w="3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422,163</w:t>
            </w: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January 29,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tcPr>
          <w:p>
            <w:pPr>
              <w:jc w:val="center"/>
              <w:ind w:left="1357"/>
              <w:spacing w:after="0" w:line="176" w:lineRule="exact"/>
              <w:rPr>
                <w:sz w:val="20"/>
                <w:szCs w:val="20"/>
                <w:color w:val="auto"/>
              </w:rPr>
            </w:pPr>
            <w:r>
              <w:rPr>
                <w:rFonts w:ascii="Arial" w:cs="Arial" w:eastAsia="Arial" w:hAnsi="Arial"/>
                <w:sz w:val="17"/>
                <w:szCs w:val="17"/>
                <w:b w:val="1"/>
                <w:bCs w:val="1"/>
                <w:color w:val="auto"/>
                <w:w w:val="87"/>
              </w:rPr>
              <w:t>Weighted-Average</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7"/>
                <w:szCs w:val="17"/>
                <w:b w:val="1"/>
                <w:bCs w:val="1"/>
                <w:color w:val="auto"/>
                <w:w w:val="90"/>
              </w:rPr>
              <w:t>Gross Carrying</w:t>
            </w: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7"/>
                <w:szCs w:val="17"/>
                <w:b w:val="1"/>
                <w:bCs w:val="1"/>
                <w:color w:val="auto"/>
                <w:w w:val="93"/>
              </w:rPr>
              <w:t>Accumulated</w:t>
            </w: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980" w:type="dxa"/>
            <w:vAlign w:val="bottom"/>
          </w:tcPr>
          <w:p>
            <w:pPr>
              <w:jc w:val="center"/>
              <w:ind w:left="1377"/>
              <w:spacing w:after="0" w:line="162" w:lineRule="exact"/>
              <w:rPr>
                <w:sz w:val="20"/>
                <w:szCs w:val="20"/>
                <w:color w:val="auto"/>
              </w:rPr>
            </w:pPr>
            <w:r>
              <w:rPr>
                <w:rFonts w:ascii="Arial" w:cs="Arial" w:eastAsia="Arial" w:hAnsi="Arial"/>
                <w:sz w:val="17"/>
                <w:szCs w:val="17"/>
                <w:b w:val="1"/>
                <w:bCs w:val="1"/>
                <w:color w:val="auto"/>
                <w:w w:val="89"/>
              </w:rPr>
              <w:t>Useful Life in</w:t>
            </w: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ind w:right="497"/>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vMerge w:val="continue"/>
          </w:tcPr>
          <w:p>
            <w:pPr>
              <w:spacing w:after="0"/>
              <w:rPr>
                <w:sz w:val="18"/>
                <w:szCs w:val="18"/>
                <w:color w:val="auto"/>
              </w:rPr>
            </w:pPr>
          </w:p>
        </w:tc>
        <w:tc>
          <w:tcPr>
            <w:tcW w:w="2980" w:type="dxa"/>
            <w:vAlign w:val="bottom"/>
            <w:tcBorders>
              <w:bottom w:val="single" w:sz="8" w:color="auto"/>
            </w:tcBorders>
          </w:tcPr>
          <w:p>
            <w:pPr>
              <w:jc w:val="center"/>
              <w:ind w:left="1377"/>
              <w:spacing w:after="0"/>
              <w:rPr>
                <w:sz w:val="20"/>
                <w:szCs w:val="20"/>
                <w:color w:val="auto"/>
              </w:rPr>
            </w:pPr>
            <w:r>
              <w:rPr>
                <w:rFonts w:ascii="Arial" w:cs="Arial" w:eastAsia="Arial" w:hAnsi="Arial"/>
                <w:sz w:val="17"/>
                <w:szCs w:val="17"/>
                <w:b w:val="1"/>
                <w:bCs w:val="1"/>
                <w:color w:val="auto"/>
                <w:w w:val="86"/>
              </w:rPr>
              <w:t>Years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6"/>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18,275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(14,123)</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w:t>
            </w: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298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6,908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(6,851)</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Customer-related</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239,816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188,069</w:t>
            </w: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980" w:type="dxa"/>
            <w:vAlign w:val="bottom"/>
          </w:tcPr>
          <w:p>
            <w:pPr>
              <w:jc w:val="right"/>
              <w:spacing w:after="0"/>
              <w:rPr>
                <w:sz w:val="20"/>
                <w:szCs w:val="20"/>
                <w:color w:val="auto"/>
              </w:rPr>
            </w:pPr>
            <w:r>
              <w:rPr>
                <w:rFonts w:ascii="Arial" w:cs="Arial" w:eastAsia="Arial" w:hAnsi="Arial"/>
                <w:sz w:val="17"/>
                <w:szCs w:val="17"/>
                <w:color w:val="auto"/>
              </w:rPr>
              <w:t>7.7</w:t>
            </w:r>
          </w:p>
        </w:tc>
        <w:tc>
          <w:tcPr>
            <w:tcW w:w="1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59,017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(36,230)</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22,787</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7,563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Backlog and other</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4,390</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finite-lived</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335,969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(116,025)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219,944</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Indefinite-lived - trade names</w:t>
            </w:r>
          </w:p>
        </w:tc>
        <w:tc>
          <w:tcPr>
            <w:tcW w:w="2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190,643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190,643</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 net</w:t>
            </w:r>
          </w:p>
        </w:tc>
        <w:tc>
          <w:tcPr>
            <w:tcW w:w="2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526,612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(116,025)</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410,587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January 31, 2020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tcPr>
          <w:p>
            <w:pPr>
              <w:jc w:val="center"/>
              <w:ind w:left="1357"/>
              <w:spacing w:after="0" w:line="176" w:lineRule="exact"/>
              <w:rPr>
                <w:sz w:val="20"/>
                <w:szCs w:val="20"/>
                <w:color w:val="auto"/>
              </w:rPr>
            </w:pPr>
            <w:r>
              <w:rPr>
                <w:rFonts w:ascii="Arial" w:cs="Arial" w:eastAsia="Arial" w:hAnsi="Arial"/>
                <w:sz w:val="17"/>
                <w:szCs w:val="17"/>
                <w:b w:val="1"/>
                <w:bCs w:val="1"/>
                <w:color w:val="auto"/>
                <w:w w:val="87"/>
              </w:rPr>
              <w:t>Weighted-Average</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7"/>
                <w:szCs w:val="17"/>
                <w:b w:val="1"/>
                <w:bCs w:val="1"/>
                <w:color w:val="auto"/>
                <w:w w:val="90"/>
              </w:rPr>
              <w:t>Gross Carrying</w:t>
            </w: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7"/>
                <w:szCs w:val="17"/>
                <w:b w:val="1"/>
                <w:bCs w:val="1"/>
                <w:color w:val="auto"/>
                <w:w w:val="93"/>
              </w:rPr>
              <w:t>Accumulated</w:t>
            </w: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980" w:type="dxa"/>
            <w:vAlign w:val="bottom"/>
          </w:tcPr>
          <w:p>
            <w:pPr>
              <w:jc w:val="center"/>
              <w:ind w:left="1377"/>
              <w:spacing w:after="0" w:line="162" w:lineRule="exact"/>
              <w:rPr>
                <w:sz w:val="20"/>
                <w:szCs w:val="20"/>
                <w:color w:val="auto"/>
              </w:rPr>
            </w:pPr>
            <w:r>
              <w:rPr>
                <w:rFonts w:ascii="Arial" w:cs="Arial" w:eastAsia="Arial" w:hAnsi="Arial"/>
                <w:sz w:val="17"/>
                <w:szCs w:val="17"/>
                <w:b w:val="1"/>
                <w:bCs w:val="1"/>
                <w:color w:val="auto"/>
                <w:w w:val="89"/>
              </w:rPr>
              <w:t>Useful Life in</w:t>
            </w: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ind w:right="497"/>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vMerge w:val="continue"/>
          </w:tcPr>
          <w:p>
            <w:pPr>
              <w:spacing w:after="0"/>
              <w:rPr>
                <w:sz w:val="18"/>
                <w:szCs w:val="18"/>
                <w:color w:val="auto"/>
              </w:rPr>
            </w:pPr>
          </w:p>
        </w:tc>
        <w:tc>
          <w:tcPr>
            <w:tcW w:w="2980" w:type="dxa"/>
            <w:vAlign w:val="bottom"/>
            <w:tcBorders>
              <w:bottom w:val="single" w:sz="8" w:color="auto"/>
            </w:tcBorders>
          </w:tcPr>
          <w:p>
            <w:pPr>
              <w:jc w:val="center"/>
              <w:ind w:left="1377"/>
              <w:spacing w:after="0"/>
              <w:rPr>
                <w:sz w:val="20"/>
                <w:szCs w:val="20"/>
                <w:color w:val="auto"/>
              </w:rPr>
            </w:pPr>
            <w:r>
              <w:rPr>
                <w:rFonts w:ascii="Arial" w:cs="Arial" w:eastAsia="Arial" w:hAnsi="Arial"/>
                <w:sz w:val="17"/>
                <w:szCs w:val="17"/>
                <w:b w:val="1"/>
                <w:bCs w:val="1"/>
                <w:color w:val="auto"/>
                <w:w w:val="86"/>
              </w:rPr>
              <w:t>Years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6"/>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18,238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(13,307)</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4,931</w:t>
            </w: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298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6,875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(6,798)</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Customer-related</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220,364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183,394</w:t>
            </w: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98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51,902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(32,264)</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19,638</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7,485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5,277</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Backlog and other</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4,390</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finite-lived</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309,254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(95,937)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213,317</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Indefinite-lived - trade names</w:t>
            </w:r>
          </w:p>
        </w:tc>
        <w:tc>
          <w:tcPr>
            <w:tcW w:w="2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134,326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134,326</w:t>
            </w:r>
          </w:p>
        </w:tc>
        <w:tc>
          <w:tcPr>
            <w:tcW w:w="0" w:type="dxa"/>
            <w:vAlign w:val="bottom"/>
          </w:tcPr>
          <w:p>
            <w:pPr>
              <w:spacing w:after="0"/>
              <w:rPr>
                <w:sz w:val="1"/>
                <w:szCs w:val="1"/>
                <w:color w:val="auto"/>
              </w:rPr>
            </w:pPr>
          </w:p>
        </w:tc>
      </w:tr>
      <w:tr>
        <w:trPr>
          <w:trHeight w:val="235"/>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 net</w:t>
            </w:r>
          </w:p>
        </w:tc>
        <w:tc>
          <w:tcPr>
            <w:tcW w:w="2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443,580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(95,937)</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347,643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October 31, 2020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tcPr>
          <w:p>
            <w:pPr>
              <w:jc w:val="center"/>
              <w:ind w:left="1357"/>
              <w:spacing w:after="0" w:line="176" w:lineRule="exact"/>
              <w:rPr>
                <w:sz w:val="20"/>
                <w:szCs w:val="20"/>
                <w:color w:val="auto"/>
              </w:rPr>
            </w:pPr>
            <w:r>
              <w:rPr>
                <w:rFonts w:ascii="Arial" w:cs="Arial" w:eastAsia="Arial" w:hAnsi="Arial"/>
                <w:sz w:val="17"/>
                <w:szCs w:val="17"/>
                <w:b w:val="1"/>
                <w:bCs w:val="1"/>
                <w:color w:val="auto"/>
                <w:w w:val="87"/>
              </w:rPr>
              <w:t>Weighted-Average</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7"/>
                <w:szCs w:val="17"/>
                <w:b w:val="1"/>
                <w:bCs w:val="1"/>
                <w:color w:val="auto"/>
                <w:w w:val="90"/>
              </w:rPr>
              <w:t>Gross Carrying</w:t>
            </w: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7"/>
                <w:szCs w:val="17"/>
                <w:b w:val="1"/>
                <w:bCs w:val="1"/>
                <w:color w:val="auto"/>
                <w:w w:val="93"/>
              </w:rPr>
              <w:t>Accumulated</w:t>
            </w: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980" w:type="dxa"/>
            <w:vAlign w:val="bottom"/>
          </w:tcPr>
          <w:p>
            <w:pPr>
              <w:jc w:val="center"/>
              <w:ind w:left="1377"/>
              <w:spacing w:after="0" w:line="162" w:lineRule="exact"/>
              <w:rPr>
                <w:sz w:val="20"/>
                <w:szCs w:val="20"/>
                <w:color w:val="auto"/>
              </w:rPr>
            </w:pPr>
            <w:r>
              <w:rPr>
                <w:rFonts w:ascii="Arial" w:cs="Arial" w:eastAsia="Arial" w:hAnsi="Arial"/>
                <w:sz w:val="17"/>
                <w:szCs w:val="17"/>
                <w:b w:val="1"/>
                <w:bCs w:val="1"/>
                <w:color w:val="auto"/>
                <w:w w:val="89"/>
              </w:rPr>
              <w:t>Useful Life in</w:t>
            </w: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ind w:right="497"/>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vMerge w:val="continue"/>
          </w:tcPr>
          <w:p>
            <w:pPr>
              <w:spacing w:after="0"/>
              <w:rPr>
                <w:sz w:val="18"/>
                <w:szCs w:val="18"/>
                <w:color w:val="auto"/>
              </w:rPr>
            </w:pPr>
          </w:p>
        </w:tc>
        <w:tc>
          <w:tcPr>
            <w:tcW w:w="2980" w:type="dxa"/>
            <w:vAlign w:val="bottom"/>
            <w:tcBorders>
              <w:bottom w:val="single" w:sz="8" w:color="auto"/>
            </w:tcBorders>
          </w:tcPr>
          <w:p>
            <w:pPr>
              <w:jc w:val="center"/>
              <w:ind w:left="1377"/>
              <w:spacing w:after="0"/>
              <w:rPr>
                <w:sz w:val="20"/>
                <w:szCs w:val="20"/>
                <w:color w:val="auto"/>
              </w:rPr>
            </w:pPr>
            <w:r>
              <w:rPr>
                <w:rFonts w:ascii="Arial" w:cs="Arial" w:eastAsia="Arial" w:hAnsi="Arial"/>
                <w:sz w:val="17"/>
                <w:szCs w:val="17"/>
                <w:b w:val="1"/>
                <w:bCs w:val="1"/>
                <w:color w:val="auto"/>
                <w:w w:val="86"/>
              </w:rPr>
              <w:t>Years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6"/>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18,257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(13,919)</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w:t>
            </w: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298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6,892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(6,831)</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Customer-related</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239,634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191,629</w:t>
            </w: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98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51,995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(35,208)</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16,787</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7,530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4,978</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Backlog and other</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4,390</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finite-lived</w:t>
            </w:r>
          </w:p>
        </w:tc>
        <w:tc>
          <w:tcPr>
            <w:tcW w:w="2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328,698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(110,905)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217,793</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Indefinite-lived - trade names</w:t>
            </w:r>
          </w:p>
        </w:tc>
        <w:tc>
          <w:tcPr>
            <w:tcW w:w="2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190,512</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190,512</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 net</w:t>
            </w:r>
          </w:p>
        </w:tc>
        <w:tc>
          <w:tcPr>
            <w:tcW w:w="29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519,210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(110,905)</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408,305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finite-lived intangible assets during the first quarter of fiscal 2021 and fiscal 2020 was $4.9 million and $4.7 million, respectively. Estimated amortization expense for the remainder of fiscal 2021 and succeeding fiscal years is as follows: fiscal 2021 (remainder), $15.7 million; fiscal 2022, $19.3 million; fiscal 2023, $17.6 million; fiscal 2024, $16.5 million; fiscal 2025, $14.9 million; fiscal 2026, $14.2 million; and after fiscal 2026, $121.7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440" w:type="dxa"/>
            <w:vAlign w:val="bottom"/>
          </w:tcPr>
          <w:p>
            <w:pPr>
              <w:ind w:left="20"/>
              <w:spacing w:after="0"/>
              <w:rPr>
                <w:sz w:val="20"/>
                <w:szCs w:val="20"/>
                <w:color w:val="auto"/>
              </w:rPr>
            </w:pPr>
            <w:r>
              <w:rPr>
                <w:rFonts w:ascii="Arial" w:cs="Arial" w:eastAsia="Arial" w:hAnsi="Arial"/>
                <w:sz w:val="43"/>
                <w:szCs w:val="43"/>
                <w:b w:val="1"/>
                <w:bCs w:val="1"/>
                <w:color w:val="auto"/>
              </w:rPr>
              <w:t>6</w:t>
            </w:r>
          </w:p>
        </w:tc>
        <w:tc>
          <w:tcPr>
            <w:tcW w:w="5300" w:type="dxa"/>
            <w:vAlign w:val="bottom"/>
          </w:tcPr>
          <w:p>
            <w:pPr>
              <w:ind w:left="200"/>
              <w:spacing w:after="0"/>
              <w:rPr>
                <w:sz w:val="20"/>
                <w:szCs w:val="20"/>
                <w:color w:val="auto"/>
              </w:rPr>
            </w:pPr>
            <w:r>
              <w:rPr>
                <w:rFonts w:ascii="Arial" w:cs="Arial" w:eastAsia="Arial" w:hAnsi="Arial"/>
                <w:sz w:val="20"/>
                <w:szCs w:val="20"/>
                <w:b w:val="1"/>
                <w:bCs w:val="1"/>
                <w:color w:val="auto"/>
              </w:rPr>
              <w:t>Indebtedness</w:t>
            </w: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9"/>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is a summary of the company's indebtedness:</w:t>
            </w: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5"/>
        </w:trPr>
        <w:tc>
          <w:tcPr>
            <w:tcW w:w="5740" w:type="dxa"/>
            <w:vAlign w:val="bottom"/>
            <w:tcBorders>
              <w:bottom w:val="single" w:sz="8" w:color="auto"/>
            </w:tcBorders>
            <w:gridSpan w:val="2"/>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10"/>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31, 2020</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$200 million term loan</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18"/>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$300 million term loan</w:t>
            </w: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w:t>
            </w:r>
          </w:p>
        </w:tc>
      </w:tr>
      <w:tr>
        <w:trPr>
          <w:trHeight w:val="214"/>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$190 million term loan</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90,000</w:t>
            </w:r>
          </w:p>
        </w:tc>
      </w:tr>
      <w:tr>
        <w:trPr>
          <w:trHeight w:val="218"/>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3.81% series A senior notes</w:t>
            </w: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14"/>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3.91% series B senior notes</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18"/>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7.8% debentures</w:t>
            </w: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14"/>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6.625% senior notes</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123,993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123,931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123,978</w:t>
            </w:r>
          </w:p>
        </w:tc>
      </w:tr>
      <w:tr>
        <w:trPr>
          <w:trHeight w:val="216"/>
        </w:trPr>
        <w:tc>
          <w:tcPr>
            <w:tcW w:w="57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unamortized discounts, debt issuance costs, and deferred charges</w:t>
            </w:r>
          </w:p>
        </w:tc>
        <w:tc>
          <w:tcPr>
            <w:tcW w:w="1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2,645</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w:t>
            </w:r>
          </w:p>
        </w:tc>
      </w:tr>
      <w:tr>
        <w:trPr>
          <w:trHeight w:val="209"/>
        </w:trPr>
        <w:tc>
          <w:tcPr>
            <w:tcW w:w="5740" w:type="dxa"/>
            <w:vAlign w:val="bottom"/>
            <w:gridSpan w:val="2"/>
          </w:tcPr>
          <w:p>
            <w:pPr>
              <w:ind w:left="140"/>
              <w:spacing w:after="0"/>
              <w:rPr>
                <w:sz w:val="20"/>
                <w:szCs w:val="20"/>
                <w:color w:val="auto"/>
              </w:rPr>
            </w:pPr>
            <w:r>
              <w:rPr>
                <w:rFonts w:ascii="Arial" w:cs="Arial" w:eastAsia="Arial" w:hAnsi="Arial"/>
                <w:sz w:val="17"/>
                <w:szCs w:val="17"/>
                <w:color w:val="auto"/>
              </w:rPr>
              <w:t>Total long-term debt</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701,348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714,919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791,123</w:t>
            </w:r>
          </w:p>
        </w:tc>
      </w:tr>
      <w:tr>
        <w:trPr>
          <w:trHeight w:val="216"/>
        </w:trPr>
        <w:tc>
          <w:tcPr>
            <w:tcW w:w="57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w:t>
            </w:r>
          </w:p>
        </w:tc>
        <w:tc>
          <w:tcPr>
            <w:tcW w:w="1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9,992</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113,903</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99,873</w:t>
            </w:r>
          </w:p>
        </w:tc>
      </w:tr>
      <w:tr>
        <w:trPr>
          <w:trHeight w:val="210"/>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Long-term debt, less current portion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691,356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601,016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691,250</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Principal payments required on the company's outstanding indebtedness, based on the maturity dates defined within the company's debt arrangements, for the remainder of fiscal 2021 and succeeding five fiscal years are as follows: fiscal 2021 (remainder), $0.0 million; fiscal 2022, $109.0 million; fiscal 2023, $18.0 million; fiscal 2024, $153.0 million; fiscal 2025, $0.0 million; fiscal 2026, $0.0 million; and after fiscal 2026, $425.0 million.</w:t>
      </w:r>
    </w:p>
    <w:p>
      <w:pPr>
        <w:spacing w:after="0" w:line="78" w:lineRule="exact"/>
        <w:rPr>
          <w:sz w:val="20"/>
          <w:szCs w:val="20"/>
          <w:color w:val="auto"/>
        </w:rPr>
      </w:pPr>
    </w:p>
    <w:p>
      <w:pPr>
        <w:ind w:left="640" w:hanging="614"/>
        <w:spacing w:after="0"/>
        <w:tabs>
          <w:tab w:leader="none" w:pos="640" w:val="left"/>
        </w:tabs>
        <w:numPr>
          <w:ilvl w:val="0"/>
          <w:numId w:val="8"/>
        </w:numPr>
        <w:rPr>
          <w:rFonts w:ascii="Arial" w:cs="Arial" w:eastAsia="Arial" w:hAnsi="Arial"/>
          <w:sz w:val="43"/>
          <w:szCs w:val="43"/>
          <w:b w:val="1"/>
          <w:bCs w:val="1"/>
          <w:color w:val="auto"/>
        </w:rPr>
      </w:pPr>
      <w:r>
        <w:rPr>
          <w:rFonts w:ascii="Arial" w:cs="Arial" w:eastAsia="Arial" w:hAnsi="Arial"/>
          <w:sz w:val="20"/>
          <w:szCs w:val="20"/>
          <w:b w:val="1"/>
          <w:bCs w:val="1"/>
          <w:color w:val="auto"/>
        </w:rPr>
        <w:t>Divestiture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2, 2020, in the first quarter of fiscal 2021, the company completed the sale of its Northeastern U.S. distribution company. The divestiture was not material based on the company's Consolidated Financial Condition and Results of Operations.</w:t>
      </w:r>
    </w:p>
    <w:p>
      <w:pPr>
        <w:spacing w:after="0" w:line="99" w:lineRule="exact"/>
        <w:rPr>
          <w:sz w:val="20"/>
          <w:szCs w:val="20"/>
          <w:color w:val="auto"/>
        </w:rPr>
      </w:pPr>
    </w:p>
    <w:p>
      <w:pPr>
        <w:ind w:left="640" w:hanging="614"/>
        <w:spacing w:after="0"/>
        <w:tabs>
          <w:tab w:leader="none" w:pos="640" w:val="left"/>
        </w:tabs>
        <w:numPr>
          <w:ilvl w:val="0"/>
          <w:numId w:val="9"/>
        </w:numPr>
        <w:rPr>
          <w:rFonts w:ascii="Arial" w:cs="Arial" w:eastAsia="Arial" w:hAnsi="Arial"/>
          <w:sz w:val="43"/>
          <w:szCs w:val="43"/>
          <w:b w:val="1"/>
          <w:bCs w:val="1"/>
          <w:color w:val="auto"/>
        </w:rPr>
      </w:pPr>
      <w:r>
        <w:rPr>
          <w:rFonts w:ascii="Arial" w:cs="Arial" w:eastAsia="Arial" w:hAnsi="Arial"/>
          <w:sz w:val="20"/>
          <w:szCs w:val="20"/>
          <w:b w:val="1"/>
          <w:bCs w:val="1"/>
          <w:color w:val="auto"/>
        </w:rPr>
        <w:t>Inventories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Inventories are valued at the lower of cost or net realizable value, with cost determined by the first-in, first-out ("FIFO") method for a majority of the company's inventories and the last-in, first-out ("LIFO") and average cost methods for all other inventories.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31, 2020</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 and work in process</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226,979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188,235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168,759</w:t>
            </w:r>
          </w:p>
        </w:tc>
      </w:tr>
      <w:tr>
        <w:trPr>
          <w:trHeight w:val="214"/>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Finished goods and service parts</w:t>
            </w:r>
          </w:p>
        </w:tc>
        <w:tc>
          <w:tcPr>
            <w:tcW w:w="2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530,415</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632,796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565,761</w:t>
            </w:r>
          </w:p>
        </w:tc>
      </w:tr>
      <w:tr>
        <w:trPr>
          <w:trHeight w:val="211"/>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FIFO value</w:t>
            </w:r>
          </w:p>
        </w:tc>
        <w:tc>
          <w:tcPr>
            <w:tcW w:w="2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757,394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821,031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734,520</w:t>
            </w:r>
          </w:p>
        </w:tc>
      </w:tr>
      <w:tr>
        <w:trPr>
          <w:trHeight w:val="214"/>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adjustment to LIFO value</w:t>
            </w:r>
          </w:p>
        </w:tc>
        <w:tc>
          <w:tcPr>
            <w:tcW w:w="2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82,087</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82,071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82,087</w:t>
            </w:r>
          </w:p>
        </w:tc>
      </w:tr>
      <w:tr>
        <w:trPr>
          <w:trHeight w:val="235"/>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inventories, net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675,307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738,960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652,433</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614"/>
        <w:spacing w:after="0"/>
        <w:tabs>
          <w:tab w:leader="none" w:pos="640" w:val="left"/>
        </w:tabs>
        <w:numPr>
          <w:ilvl w:val="0"/>
          <w:numId w:val="10"/>
        </w:numPr>
        <w:rPr>
          <w:rFonts w:ascii="Arial" w:cs="Arial" w:eastAsia="Arial" w:hAnsi="Arial"/>
          <w:sz w:val="43"/>
          <w:szCs w:val="43"/>
          <w:b w:val="1"/>
          <w:bCs w:val="1"/>
          <w:color w:val="auto"/>
        </w:rPr>
      </w:pPr>
      <w:r>
        <w:rPr>
          <w:rFonts w:ascii="Arial" w:cs="Arial" w:eastAsia="Arial" w:hAnsi="Arial"/>
          <w:sz w:val="20"/>
          <w:szCs w:val="20"/>
          <w:b w:val="1"/>
          <w:bCs w:val="1"/>
          <w:color w:val="auto"/>
        </w:rPr>
        <w:t>Property and Depreciation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land improvements,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Expenditures for general maintenance and repairs are charged to cost of goods sold or selling, general and administrative expense within the Condensed Consolidated Statements of Earnings depending on the nature and use of the related asset. Interest is capitalized during the construction period for significant capital projects.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31, 2020</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land improvements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56,808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55,602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57,387</w:t>
            </w:r>
          </w:p>
        </w:tc>
      </w:tr>
      <w:tr>
        <w:trPr>
          <w:trHeight w:val="214"/>
        </w:trPr>
        <w:tc>
          <w:tcPr>
            <w:tcW w:w="468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216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299,566</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276,705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301,848</w:t>
            </w:r>
          </w:p>
        </w:tc>
      </w:tr>
      <w:tr>
        <w:trPr>
          <w:trHeight w:val="218"/>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500,410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450,321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499,312</w:t>
            </w:r>
          </w:p>
        </w:tc>
      </w:tr>
      <w:tr>
        <w:trPr>
          <w:trHeight w:val="214"/>
        </w:trPr>
        <w:tc>
          <w:tcPr>
            <w:tcW w:w="4680" w:type="dxa"/>
            <w:vAlign w:val="bottom"/>
          </w:tcPr>
          <w:p>
            <w:pPr>
              <w:ind w:left="20"/>
              <w:spacing w:after="0"/>
              <w:rPr>
                <w:sz w:val="20"/>
                <w:szCs w:val="20"/>
                <w:color w:val="auto"/>
              </w:rPr>
            </w:pPr>
            <w:r>
              <w:rPr>
                <w:rFonts w:ascii="Arial" w:cs="Arial" w:eastAsia="Arial" w:hAnsi="Arial"/>
                <w:sz w:val="17"/>
                <w:szCs w:val="17"/>
                <w:color w:val="auto"/>
              </w:rPr>
              <w:t>Tooling</w:t>
            </w:r>
          </w:p>
        </w:tc>
        <w:tc>
          <w:tcPr>
            <w:tcW w:w="216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231,728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216,541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231,142</w:t>
            </w:r>
          </w:p>
        </w:tc>
      </w:tr>
      <w:tr>
        <w:trPr>
          <w:trHeight w:val="218"/>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hardware and software</w:t>
            </w:r>
          </w:p>
        </w:tc>
        <w:tc>
          <w:tcPr>
            <w:tcW w:w="2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102,357</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94,385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102,312</w:t>
            </w:r>
          </w:p>
        </w:tc>
      </w:tr>
      <w:tr>
        <w:trPr>
          <w:trHeight w:val="21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Construction in process</w:t>
            </w:r>
          </w:p>
        </w:tc>
        <w:tc>
          <w:tcPr>
            <w:tcW w:w="2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58,346</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58,056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48,157</w:t>
            </w:r>
          </w:p>
        </w:tc>
      </w:tr>
      <w:tr>
        <w:trPr>
          <w:trHeight w:val="211"/>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plant, and equipment, gross</w:t>
            </w:r>
          </w:p>
        </w:tc>
        <w:tc>
          <w:tcPr>
            <w:tcW w:w="2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1,249,215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1,151,610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1,240,158</w:t>
            </w:r>
          </w:p>
        </w:tc>
      </w:tr>
      <w:tr>
        <w:trPr>
          <w:trHeight w:val="21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792,068</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720,357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772,239</w:t>
            </w:r>
          </w:p>
        </w:tc>
      </w:tr>
      <w:tr>
        <w:trPr>
          <w:trHeight w:val="234"/>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457,147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467,919</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10 </w:t>
      </w:r>
      <w:r>
        <w:rPr>
          <w:rFonts w:ascii="Arial" w:cs="Arial" w:eastAsia="Arial" w:hAnsi="Arial"/>
          <w:sz w:val="19"/>
          <w:szCs w:val="19"/>
          <w:b w:val="1"/>
          <w:bCs w:val="1"/>
          <w:color w:val="auto"/>
        </w:rPr>
        <w:t>Warranty Guarantees</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 The changes in accrued warranties were as follows:</w:t>
      </w:r>
    </w:p>
    <w:p>
      <w:pPr>
        <w:spacing w:after="0" w:line="105"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34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8"/>
              </w:rPr>
              <w:t>January 29, 2021</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31, 2020</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107,121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96,604</w:t>
            </w:r>
          </w:p>
        </w:tc>
      </w:tr>
      <w:tr>
        <w:trPr>
          <w:trHeight w:val="214"/>
        </w:trPr>
        <w:tc>
          <w:tcPr>
            <w:tcW w:w="4940" w:type="dxa"/>
            <w:vAlign w:val="bottom"/>
          </w:tcPr>
          <w:p>
            <w:pPr>
              <w:ind w:left="20"/>
              <w:spacing w:after="0"/>
              <w:rPr>
                <w:sz w:val="20"/>
                <w:szCs w:val="20"/>
                <w:color w:val="auto"/>
              </w:rPr>
            </w:pPr>
            <w:r>
              <w:rPr>
                <w:rFonts w:ascii="Arial" w:cs="Arial" w:eastAsia="Arial" w:hAnsi="Arial"/>
                <w:sz w:val="17"/>
                <w:szCs w:val="17"/>
                <w:color w:val="auto"/>
              </w:rPr>
              <w:t>Provisions</w:t>
            </w:r>
          </w:p>
        </w:tc>
        <w:tc>
          <w:tcPr>
            <w:tcW w:w="344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16,695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14,031</w:t>
            </w: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Claims</w:t>
            </w:r>
          </w:p>
        </w:tc>
        <w:tc>
          <w:tcPr>
            <w:tcW w:w="3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(14,703)</w:t>
            </w:r>
          </w:p>
        </w:tc>
      </w:tr>
      <w:tr>
        <w:trPr>
          <w:trHeight w:val="21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Changes in estimates</w:t>
            </w:r>
          </w:p>
        </w:tc>
        <w:tc>
          <w:tcPr>
            <w:tcW w:w="3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153</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w:t>
            </w:r>
          </w:p>
        </w:tc>
      </w:tr>
      <w:tr>
        <w:trPr>
          <w:trHeight w:val="234"/>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108,783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96,623</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11 </w:t>
      </w:r>
      <w:r>
        <w:rPr>
          <w:rFonts w:ascii="Arial" w:cs="Arial" w:eastAsia="Arial" w:hAnsi="Arial"/>
          <w:sz w:val="19"/>
          <w:szCs w:val="19"/>
          <w:b w:val="1"/>
          <w:bCs w:val="1"/>
          <w:color w:val="auto"/>
        </w:rPr>
        <w:t>Investment in Finance Affiliate</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TCF Inventory Finance, Inc. ("TCFIF"), a subsidiary of TCF National Bank, are parties to the Red Iron joint venture ("Red Iron"), which was established primarily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three months ended January 29, 2021 and January 31, 2020.</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three months ended January 29, 2021 and January 31, 2020 were $511.3 million and $405.1 million, respectively. As of January 29, 2021, Red Iron’s total assets were $458.5 million and total liabilities were $407.5 million. The total amount of receivables due from Red Iron to the company as of January 29, 2021, January 31, 2020, and October 31, 2020 were $13.1 million, $29.5 million and $12.6 million, respectively.</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At inception,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January 29, 2021, January 31, 2020, and October 31, 2020 was $23.0 million, $25.5 million, and $19.7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12 </w:t>
      </w:r>
      <w:r>
        <w:rPr>
          <w:rFonts w:ascii="Arial" w:cs="Arial" w:eastAsia="Arial" w:hAnsi="Arial"/>
          <w:sz w:val="19"/>
          <w:szCs w:val="19"/>
          <w:b w:val="1"/>
          <w:bCs w:val="1"/>
          <w:color w:val="auto"/>
        </w:rPr>
        <w:t>Stock-Based Compensation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related to stock-based compensation awards were as follows:</w:t>
      </w:r>
    </w:p>
    <w:p>
      <w:pPr>
        <w:spacing w:after="0" w:line="154"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29, 2021</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31, 2020</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 awards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w:t>
            </w: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color w:val="auto"/>
              </w:rPr>
              <w:t>Performance share awards</w:t>
            </w:r>
          </w:p>
        </w:tc>
        <w:tc>
          <w:tcPr>
            <w:tcW w:w="2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218"/>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 awards</w:t>
            </w: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r>
      <w:tr>
        <w:trPr>
          <w:trHeight w:val="214"/>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Unrestricted common stock awards</w:t>
            </w:r>
          </w:p>
        </w:tc>
        <w:tc>
          <w:tcPr>
            <w:tcW w:w="2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w:t>
            </w:r>
          </w:p>
        </w:tc>
      </w:tr>
      <w:tr>
        <w:trPr>
          <w:trHeight w:val="235"/>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compensation cost for stock-based compensation awards</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3,960</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Compensation cost equal to the grant date fair value is generally recognized for these awards over the vesting period. Compensation cost recognized for other employees not considered executive officers and non-employee members of the company's Board is net of estimated forfeitures, which are determined at the time of grant based on historical forfeiture experience.</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members of the company's Board are expected to exercise their stock options, which is primarily based on historical exercise experience. The company groups executive officers and non-employee members of the company's Board for valuation purposes based on similar historical exercise behavior. Expected stock price volatility is based on the daily movement of the company’s common stock over the most recent historical period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weighted-average valuation assumptions for options granted in the first three months of the following fiscal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Borders>
              <w:top w:val="single" w:sz="8" w:color="auto"/>
              <w:bottom w:val="single" w:sz="8" w:color="auto"/>
            </w:tcBorders>
          </w:tcPr>
          <w:p>
            <w:pPr>
              <w:spacing w:after="0"/>
              <w:rPr>
                <w:sz w:val="19"/>
                <w:szCs w:val="19"/>
                <w:color w:val="auto"/>
              </w:rPr>
            </w:pPr>
          </w:p>
        </w:tc>
        <w:tc>
          <w:tcPr>
            <w:tcW w:w="3680" w:type="dxa"/>
            <w:vAlign w:val="bottom"/>
            <w:tcBorders>
              <w:top w:val="single" w:sz="8" w:color="auto"/>
              <w:bottom w:val="single" w:sz="8" w:color="auto"/>
            </w:tcBorders>
          </w:tcPr>
          <w:p>
            <w:pPr>
              <w:ind w:left="2520"/>
              <w:spacing w:after="0"/>
              <w:rPr>
                <w:sz w:val="20"/>
                <w:szCs w:val="20"/>
                <w:color w:val="auto"/>
              </w:rPr>
            </w:pPr>
            <w:r>
              <w:rPr>
                <w:rFonts w:ascii="Arial" w:cs="Arial" w:eastAsia="Arial" w:hAnsi="Arial"/>
                <w:sz w:val="17"/>
                <w:szCs w:val="17"/>
                <w:b w:val="1"/>
                <w:bCs w:val="1"/>
                <w:color w:val="auto"/>
              </w:rPr>
              <w:t>Fiscal 2021</w:t>
            </w:r>
          </w:p>
        </w:tc>
        <w:tc>
          <w:tcPr>
            <w:tcW w:w="14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b w:val="1"/>
                <w:bCs w:val="1"/>
                <w:color w:val="auto"/>
              </w:rPr>
              <w:t>Fiscal 2020</w:t>
            </w: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 in years</w:t>
            </w:r>
          </w:p>
        </w:tc>
        <w:tc>
          <w:tcPr>
            <w:tcW w:w="3680" w:type="dxa"/>
            <w:vAlign w:val="bottom"/>
            <w:shd w:val="clear" w:color="auto" w:fill="CCEEFF"/>
          </w:tcPr>
          <w:p>
            <w:pPr>
              <w:jc w:val="center"/>
              <w:ind w:left="2057"/>
              <w:spacing w:after="0"/>
              <w:rPr>
                <w:sz w:val="20"/>
                <w:szCs w:val="20"/>
                <w:color w:val="auto"/>
              </w:rPr>
            </w:pPr>
            <w:r>
              <w:rPr>
                <w:rFonts w:ascii="Arial" w:cs="Arial" w:eastAsia="Arial" w:hAnsi="Arial"/>
                <w:sz w:val="17"/>
                <w:szCs w:val="17"/>
                <w:color w:val="auto"/>
                <w:w w:val="90"/>
              </w:rPr>
              <w:t>6.21</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6.31</w:t>
            </w:r>
          </w:p>
        </w:tc>
      </w:tr>
      <w:tr>
        <w:trPr>
          <w:trHeight w:val="214"/>
        </w:trPr>
        <w:tc>
          <w:tcPr>
            <w:tcW w:w="6080" w:type="dxa"/>
            <w:vAlign w:val="bottom"/>
          </w:tcPr>
          <w:p>
            <w:pPr>
              <w:ind w:left="20"/>
              <w:spacing w:after="0"/>
              <w:rPr>
                <w:sz w:val="20"/>
                <w:szCs w:val="20"/>
                <w:color w:val="auto"/>
              </w:rPr>
            </w:pPr>
            <w:r>
              <w:rPr>
                <w:rFonts w:ascii="Arial" w:cs="Arial" w:eastAsia="Arial" w:hAnsi="Arial"/>
                <w:sz w:val="17"/>
                <w:szCs w:val="17"/>
                <w:color w:val="auto"/>
              </w:rPr>
              <w:t>Expected stock price volatility</w:t>
            </w:r>
          </w:p>
        </w:tc>
        <w:tc>
          <w:tcPr>
            <w:tcW w:w="3680" w:type="dxa"/>
            <w:vAlign w:val="bottom"/>
          </w:tcPr>
          <w:p>
            <w:pPr>
              <w:jc w:val="center"/>
              <w:ind w:left="2037"/>
              <w:spacing w:after="0"/>
              <w:rPr>
                <w:sz w:val="20"/>
                <w:szCs w:val="20"/>
                <w:color w:val="auto"/>
              </w:rPr>
            </w:pPr>
            <w:r>
              <w:rPr>
                <w:rFonts w:ascii="Arial" w:cs="Arial" w:eastAsia="Arial" w:hAnsi="Arial"/>
                <w:sz w:val="17"/>
                <w:szCs w:val="17"/>
                <w:color w:val="auto"/>
                <w:w w:val="90"/>
              </w:rPr>
              <w:t>23.26%</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19.38%</w:t>
            </w:r>
          </w:p>
        </w:tc>
      </w:tr>
      <w:tr>
        <w:trPr>
          <w:trHeight w:val="218"/>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3680" w:type="dxa"/>
            <w:vAlign w:val="bottom"/>
            <w:shd w:val="clear" w:color="auto" w:fill="CCEEFF"/>
          </w:tcPr>
          <w:p>
            <w:pPr>
              <w:jc w:val="center"/>
              <w:ind w:left="2057"/>
              <w:spacing w:after="0"/>
              <w:rPr>
                <w:sz w:val="20"/>
                <w:szCs w:val="20"/>
                <w:color w:val="auto"/>
              </w:rPr>
            </w:pPr>
            <w:r>
              <w:rPr>
                <w:rFonts w:ascii="Arial" w:cs="Arial" w:eastAsia="Arial" w:hAnsi="Arial"/>
                <w:sz w:val="17"/>
                <w:szCs w:val="17"/>
                <w:color w:val="auto"/>
                <w:w w:val="87"/>
              </w:rPr>
              <w:t>0.55%</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1.79%</w:t>
            </w:r>
          </w:p>
        </w:tc>
      </w:tr>
      <w:tr>
        <w:trPr>
          <w:trHeight w:val="214"/>
        </w:trPr>
        <w:tc>
          <w:tcPr>
            <w:tcW w:w="608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3680" w:type="dxa"/>
            <w:vAlign w:val="bottom"/>
          </w:tcPr>
          <w:p>
            <w:pPr>
              <w:jc w:val="center"/>
              <w:ind w:left="2057"/>
              <w:spacing w:after="0"/>
              <w:rPr>
                <w:sz w:val="20"/>
                <w:szCs w:val="20"/>
                <w:color w:val="auto"/>
              </w:rPr>
            </w:pPr>
            <w:r>
              <w:rPr>
                <w:rFonts w:ascii="Arial" w:cs="Arial" w:eastAsia="Arial" w:hAnsi="Arial"/>
                <w:sz w:val="17"/>
                <w:szCs w:val="17"/>
                <w:color w:val="auto"/>
                <w:w w:val="87"/>
              </w:rPr>
              <w:t>0.86%</w:t>
            </w: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0.98%</w:t>
            </w:r>
          </w:p>
        </w:tc>
      </w:tr>
      <w:tr>
        <w:trPr>
          <w:trHeight w:val="216"/>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Per share weighted-average fair value at date of grant</w:t>
            </w:r>
          </w:p>
        </w:tc>
        <w:tc>
          <w:tcPr>
            <w:tcW w:w="3680" w:type="dxa"/>
            <w:vAlign w:val="bottom"/>
            <w:tcBorders>
              <w:bottom w:val="single" w:sz="8" w:color="auto"/>
            </w:tcBorders>
            <w:shd w:val="clear" w:color="auto" w:fill="CCEEFF"/>
          </w:tcPr>
          <w:p>
            <w:pPr>
              <w:jc w:val="center"/>
              <w:ind w:left="2057"/>
              <w:spacing w:after="0"/>
              <w:rPr>
                <w:sz w:val="20"/>
                <w:szCs w:val="20"/>
                <w:color w:val="auto"/>
              </w:rPr>
            </w:pPr>
            <w:r>
              <w:rPr>
                <w:rFonts w:ascii="Arial" w:cs="Arial" w:eastAsia="Arial" w:hAnsi="Arial"/>
                <w:sz w:val="17"/>
                <w:szCs w:val="17"/>
                <w:color w:val="auto"/>
                <w:w w:val="88"/>
              </w:rPr>
              <w:t>$19.38</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$15.37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2021 and 2020 was $90.59 and $77.33,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three months of fiscal 2021 and 2020 was $91.51 and $77.08,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Common Stock Awards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three months of fiscal 2021 and 2020, 8,070 and 8,920 shares, respectively, of fully vested unrestricted common stock awards were granted to certain members of the company's Board as a component of their compensation for their service on the Board and were recorded within selling, general and administrative expense in the Condensed Consolidated Statements of Earnings.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9"/>
          <w:szCs w:val="19"/>
          <w:b w:val="1"/>
          <w:bCs w:val="1"/>
          <w:color w:val="auto"/>
        </w:rPr>
        <w:t>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accumulated other comprehensive loss ("AOCL"), net of tax, within the Condensed Consolidated Statements of Stockholders' Equity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9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8"/>
              </w:rPr>
              <w:t>January 31,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14,112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31,749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24,508</w:t>
            </w:r>
          </w:p>
        </w:tc>
      </w:tr>
      <w:tr>
        <w:trPr>
          <w:trHeight w:val="214"/>
        </w:trPr>
        <w:tc>
          <w:tcPr>
            <w:tcW w:w="4860" w:type="dxa"/>
            <w:vAlign w:val="bottom"/>
          </w:tcPr>
          <w:p>
            <w:pPr>
              <w:ind w:left="20"/>
              <w:spacing w:after="0"/>
              <w:rPr>
                <w:sz w:val="20"/>
                <w:szCs w:val="20"/>
                <w:color w:val="auto"/>
              </w:rPr>
            </w:pPr>
            <w:r>
              <w:rPr>
                <w:rFonts w:ascii="Arial" w:cs="Arial" w:eastAsia="Arial" w:hAnsi="Arial"/>
                <w:sz w:val="17"/>
                <w:szCs w:val="17"/>
                <w:color w:val="auto"/>
              </w:rPr>
              <w:t>Pension benefits</w:t>
            </w:r>
          </w:p>
        </w:tc>
        <w:tc>
          <w:tcPr>
            <w:tcW w:w="198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5,106</w:t>
            </w:r>
          </w:p>
        </w:tc>
        <w:tc>
          <w:tcPr>
            <w:tcW w:w="18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4,861</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5,106</w:t>
            </w:r>
          </w:p>
        </w:tc>
      </w:tr>
      <w:tr>
        <w:trPr>
          <w:trHeight w:val="216"/>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flow derivative instruments</w:t>
            </w:r>
          </w:p>
        </w:tc>
        <w:tc>
          <w:tcPr>
            <w:tcW w:w="19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12,958</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4,648</w:t>
            </w:r>
          </w:p>
        </w:tc>
      </w:tr>
      <w:tr>
        <w:trPr>
          <w:trHeight w:val="21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accumulated other comprehensive loss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32,176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32,121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34,262</w:t>
            </w:r>
          </w:p>
        </w:tc>
      </w:tr>
      <w:tr>
        <w:trPr>
          <w:trHeight w:val="22"/>
        </w:trPr>
        <w:tc>
          <w:tcPr>
            <w:tcW w:w="48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net of tax, for the three months of fiscal 2021 and 2020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197"/>
              <w:spacing w:after="0" w:line="176" w:lineRule="exact"/>
              <w:rPr>
                <w:sz w:val="20"/>
                <w:szCs w:val="20"/>
                <w:color w:val="auto"/>
              </w:rPr>
            </w:pPr>
            <w:r>
              <w:rPr>
                <w:rFonts w:ascii="Arial" w:cs="Arial" w:eastAsia="Arial" w:hAnsi="Arial"/>
                <w:sz w:val="17"/>
                <w:szCs w:val="17"/>
                <w:b w:val="1"/>
                <w:bCs w:val="1"/>
                <w:color w:val="auto"/>
                <w:w w:val="86"/>
              </w:rPr>
              <w:t>Foreign</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center"/>
              <w:ind w:right="157"/>
              <w:spacing w:after="0"/>
              <w:rPr>
                <w:sz w:val="20"/>
                <w:szCs w:val="20"/>
                <w:color w:val="auto"/>
              </w:rPr>
            </w:pPr>
            <w:r>
              <w:rPr>
                <w:rFonts w:ascii="Arial" w:cs="Arial" w:eastAsia="Arial" w:hAnsi="Arial"/>
                <w:sz w:val="17"/>
                <w:szCs w:val="17"/>
                <w:b w:val="1"/>
                <w:bCs w:val="1"/>
                <w:color w:val="auto"/>
                <w:w w:val="89"/>
              </w:rPr>
              <w:t>Cash Flow</w:t>
            </w: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center"/>
              <w:ind w:right="137"/>
              <w:spacing w:after="0" w:line="162" w:lineRule="exact"/>
              <w:rPr>
                <w:sz w:val="20"/>
                <w:szCs w:val="20"/>
                <w:color w:val="auto"/>
              </w:rPr>
            </w:pPr>
            <w:r>
              <w:rPr>
                <w:rFonts w:ascii="Arial" w:cs="Arial" w:eastAsia="Arial" w:hAnsi="Arial"/>
                <w:sz w:val="17"/>
                <w:szCs w:val="17"/>
                <w:b w:val="1"/>
                <w:bCs w:val="1"/>
                <w:color w:val="auto"/>
                <w:w w:val="91"/>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800" w:type="dxa"/>
            <w:vAlign w:val="bottom"/>
          </w:tcPr>
          <w:p>
            <w:pPr>
              <w:spacing w:after="0"/>
              <w:rPr>
                <w:sz w:val="14"/>
                <w:szCs w:val="14"/>
                <w:color w:val="auto"/>
              </w:rPr>
            </w:pPr>
          </w:p>
        </w:tc>
        <w:tc>
          <w:tcPr>
            <w:tcW w:w="1300" w:type="dxa"/>
            <w:vAlign w:val="bottom"/>
          </w:tcPr>
          <w:p>
            <w:pPr>
              <w:jc w:val="center"/>
              <w:ind w:right="157"/>
              <w:spacing w:after="0" w:line="162" w:lineRule="exact"/>
              <w:rPr>
                <w:sz w:val="20"/>
                <w:szCs w:val="20"/>
                <w:color w:val="auto"/>
              </w:rPr>
            </w:pPr>
            <w:r>
              <w:rPr>
                <w:rFonts w:ascii="Arial" w:cs="Arial" w:eastAsia="Arial" w:hAnsi="Arial"/>
                <w:sz w:val="17"/>
                <w:szCs w:val="17"/>
                <w:b w:val="1"/>
                <w:bCs w:val="1"/>
                <w:color w:val="auto"/>
                <w:w w:val="8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77"/>
              <w:spacing w:after="0" w:line="162" w:lineRule="exact"/>
              <w:rPr>
                <w:sz w:val="20"/>
                <w:szCs w:val="20"/>
                <w:color w:val="auto"/>
              </w:rPr>
            </w:pPr>
            <w:r>
              <w:rPr>
                <w:rFonts w:ascii="Arial" w:cs="Arial" w:eastAsia="Arial" w:hAnsi="Arial"/>
                <w:sz w:val="17"/>
                <w:szCs w:val="17"/>
                <w:b w:val="1"/>
                <w:bCs w:val="1"/>
                <w:color w:val="auto"/>
                <w:w w:val="91"/>
              </w:rPr>
              <w:t>Derivative</w:t>
            </w:r>
          </w:p>
        </w:tc>
        <w:tc>
          <w:tcPr>
            <w:tcW w:w="380" w:type="dxa"/>
            <w:vAlign w:val="bottom"/>
          </w:tcPr>
          <w:p>
            <w:pPr>
              <w:spacing w:after="0"/>
              <w:rPr>
                <w:sz w:val="14"/>
                <w:szCs w:val="14"/>
                <w:color w:val="auto"/>
              </w:rPr>
            </w:pPr>
          </w:p>
        </w:tc>
        <w:tc>
          <w:tcPr>
            <w:tcW w:w="1100" w:type="dxa"/>
            <w:vAlign w:val="bottom"/>
            <w:vMerge w:val="restart"/>
          </w:tcPr>
          <w:p>
            <w:pPr>
              <w:jc w:val="right"/>
              <w:ind w:right="43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7"/>
                <w:szCs w:val="17"/>
                <w:b w:val="1"/>
                <w:bCs w:val="1"/>
                <w:color w:val="auto"/>
                <w:w w:val="87"/>
              </w:rPr>
              <w:t>Adjustments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Benefits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7"/>
                <w:szCs w:val="17"/>
                <w:b w:val="1"/>
                <w:bCs w:val="1"/>
                <w:color w:val="auto"/>
                <w:w w:val="90"/>
              </w:rPr>
              <w:t>Instruments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October 31, 2020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24,508</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5,106</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4,648</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0" w:type="dxa"/>
            <w:vAlign w:val="bottom"/>
          </w:tcPr>
          <w:p>
            <w:pPr>
              <w:spacing w:after="0"/>
              <w:rPr>
                <w:sz w:val="1"/>
                <w:szCs w:val="1"/>
                <w:color w:val="auto"/>
              </w:rPr>
            </w:pPr>
          </w:p>
        </w:tc>
      </w:tr>
      <w:tr>
        <w:trPr>
          <w:trHeight w:val="214"/>
        </w:trPr>
        <w:tc>
          <w:tcPr>
            <w:tcW w:w="460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(10,396)</w:t>
            </w:r>
          </w:p>
        </w:tc>
        <w:tc>
          <w:tcPr>
            <w:tcW w:w="32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6,312</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(4,084)</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Amounts reclassified from AOCL</w:t>
            </w:r>
          </w:p>
        </w:tc>
        <w:tc>
          <w:tcPr>
            <w:tcW w:w="8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1,998</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 period other comprehensive (income) loss</w:t>
            </w: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(10,396)</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8,310</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29,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14,112</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5,106</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12,958</w:t>
            </w:r>
          </w:p>
        </w:tc>
        <w:tc>
          <w:tcPr>
            <w:tcW w:w="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32,176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jc w:val="center"/>
              <w:ind w:right="197"/>
              <w:spacing w:after="0" w:line="155" w:lineRule="exact"/>
              <w:rPr>
                <w:sz w:val="20"/>
                <w:szCs w:val="20"/>
                <w:color w:val="auto"/>
              </w:rPr>
            </w:pPr>
            <w:r>
              <w:rPr>
                <w:rFonts w:ascii="Arial" w:cs="Arial" w:eastAsia="Arial" w:hAnsi="Arial"/>
                <w:sz w:val="17"/>
                <w:szCs w:val="17"/>
                <w:b w:val="1"/>
                <w:bCs w:val="1"/>
                <w:color w:val="auto"/>
                <w:w w:val="86"/>
              </w:rPr>
              <w:t>Foreign</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center"/>
              <w:ind w:right="157"/>
              <w:spacing w:after="0"/>
              <w:rPr>
                <w:sz w:val="20"/>
                <w:szCs w:val="20"/>
                <w:color w:val="auto"/>
              </w:rPr>
            </w:pPr>
            <w:r>
              <w:rPr>
                <w:rFonts w:ascii="Arial" w:cs="Arial" w:eastAsia="Arial" w:hAnsi="Arial"/>
                <w:sz w:val="17"/>
                <w:szCs w:val="17"/>
                <w:b w:val="1"/>
                <w:bCs w:val="1"/>
                <w:color w:val="auto"/>
                <w:w w:val="89"/>
              </w:rPr>
              <w:t>Cash Flow</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center"/>
              <w:ind w:right="137"/>
              <w:spacing w:after="0" w:line="162" w:lineRule="exact"/>
              <w:rPr>
                <w:sz w:val="20"/>
                <w:szCs w:val="20"/>
                <w:color w:val="auto"/>
              </w:rPr>
            </w:pPr>
            <w:r>
              <w:rPr>
                <w:rFonts w:ascii="Arial" w:cs="Arial" w:eastAsia="Arial" w:hAnsi="Arial"/>
                <w:sz w:val="17"/>
                <w:szCs w:val="17"/>
                <w:b w:val="1"/>
                <w:bCs w:val="1"/>
                <w:color w:val="auto"/>
                <w:w w:val="91"/>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800" w:type="dxa"/>
            <w:vAlign w:val="bottom"/>
          </w:tcPr>
          <w:p>
            <w:pPr>
              <w:spacing w:after="0"/>
              <w:rPr>
                <w:sz w:val="14"/>
                <w:szCs w:val="14"/>
                <w:color w:val="auto"/>
              </w:rPr>
            </w:pPr>
          </w:p>
        </w:tc>
        <w:tc>
          <w:tcPr>
            <w:tcW w:w="1300" w:type="dxa"/>
            <w:vAlign w:val="bottom"/>
          </w:tcPr>
          <w:p>
            <w:pPr>
              <w:jc w:val="center"/>
              <w:ind w:right="157"/>
              <w:spacing w:after="0" w:line="162" w:lineRule="exact"/>
              <w:rPr>
                <w:sz w:val="20"/>
                <w:szCs w:val="20"/>
                <w:color w:val="auto"/>
              </w:rPr>
            </w:pPr>
            <w:r>
              <w:rPr>
                <w:rFonts w:ascii="Arial" w:cs="Arial" w:eastAsia="Arial" w:hAnsi="Arial"/>
                <w:sz w:val="17"/>
                <w:szCs w:val="17"/>
                <w:b w:val="1"/>
                <w:bCs w:val="1"/>
                <w:color w:val="auto"/>
                <w:w w:val="8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77"/>
              <w:spacing w:after="0" w:line="162" w:lineRule="exact"/>
              <w:rPr>
                <w:sz w:val="20"/>
                <w:szCs w:val="20"/>
                <w:color w:val="auto"/>
              </w:rPr>
            </w:pPr>
            <w:r>
              <w:rPr>
                <w:rFonts w:ascii="Arial" w:cs="Arial" w:eastAsia="Arial" w:hAnsi="Arial"/>
                <w:sz w:val="17"/>
                <w:szCs w:val="17"/>
                <w:b w:val="1"/>
                <w:bCs w:val="1"/>
                <w:color w:val="auto"/>
                <w:w w:val="91"/>
              </w:rPr>
              <w:t>Derivative</w:t>
            </w:r>
          </w:p>
        </w:tc>
        <w:tc>
          <w:tcPr>
            <w:tcW w:w="380" w:type="dxa"/>
            <w:vAlign w:val="bottom"/>
          </w:tcPr>
          <w:p>
            <w:pPr>
              <w:spacing w:after="0"/>
              <w:rPr>
                <w:sz w:val="14"/>
                <w:szCs w:val="14"/>
                <w:color w:val="auto"/>
              </w:rPr>
            </w:pPr>
          </w:p>
        </w:tc>
        <w:tc>
          <w:tcPr>
            <w:tcW w:w="1100" w:type="dxa"/>
            <w:vAlign w:val="bottom"/>
            <w:vMerge w:val="restart"/>
          </w:tcPr>
          <w:p>
            <w:pPr>
              <w:jc w:val="right"/>
              <w:ind w:right="43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7"/>
                <w:szCs w:val="17"/>
                <w:b w:val="1"/>
                <w:bCs w:val="1"/>
                <w:color w:val="auto"/>
                <w:w w:val="87"/>
              </w:rPr>
              <w:t>Adjustments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Benefits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7"/>
                <w:szCs w:val="17"/>
                <w:b w:val="1"/>
                <w:bCs w:val="1"/>
                <w:color w:val="auto"/>
                <w:w w:val="90"/>
              </w:rPr>
              <w:t>Instruments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October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31,025</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4,861</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(3,837)</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32,049</w:t>
            </w:r>
          </w:p>
        </w:tc>
        <w:tc>
          <w:tcPr>
            <w:tcW w:w="0" w:type="dxa"/>
            <w:vAlign w:val="bottom"/>
          </w:tcPr>
          <w:p>
            <w:pPr>
              <w:spacing w:after="0"/>
              <w:rPr>
                <w:sz w:val="1"/>
                <w:szCs w:val="1"/>
                <w:color w:val="auto"/>
              </w:rPr>
            </w:pPr>
          </w:p>
        </w:tc>
      </w:tr>
      <w:tr>
        <w:trPr>
          <w:trHeight w:val="214"/>
        </w:trPr>
        <w:tc>
          <w:tcPr>
            <w:tcW w:w="4600" w:type="dxa"/>
            <w:vAlign w:val="bottom"/>
          </w:tcPr>
          <w:p>
            <w:pPr>
              <w:ind w:left="20"/>
              <w:spacing w:after="0"/>
              <w:rPr>
                <w:sz w:val="20"/>
                <w:szCs w:val="20"/>
                <w:color w:val="auto"/>
              </w:rPr>
            </w:pPr>
            <w:r>
              <w:rPr>
                <w:rFonts w:ascii="Arial" w:cs="Arial" w:eastAsia="Arial" w:hAnsi="Arial"/>
                <w:sz w:val="17"/>
                <w:szCs w:val="17"/>
                <w:color w:val="auto"/>
              </w:rPr>
              <w:t>Other comprehensive loss before reclassifications</w:t>
            </w:r>
          </w:p>
        </w:tc>
        <w:tc>
          <w:tcPr>
            <w:tcW w:w="80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724</w:t>
            </w:r>
          </w:p>
        </w:tc>
        <w:tc>
          <w:tcPr>
            <w:tcW w:w="32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885</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1,609</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Amounts reclassified from AOCL</w:t>
            </w:r>
          </w:p>
        </w:tc>
        <w:tc>
          <w:tcPr>
            <w:tcW w:w="8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 period other comprehensive (income) loss</w:t>
            </w: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724</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31,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31,749</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4,861</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in net earnings for derivative instruments refer to Note 17,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9"/>
          <w:szCs w:val="19"/>
          <w:b w:val="1"/>
          <w:bCs w:val="1"/>
          <w:color w:val="auto"/>
        </w:rPr>
        <w:t>Per Share Data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were as follows:</w:t>
      </w:r>
    </w:p>
    <w:p>
      <w:pPr>
        <w:spacing w:after="0" w:line="154"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bottom w:val="single" w:sz="8" w:color="auto"/>
            </w:tcBorders>
          </w:tcPr>
          <w:p>
            <w:pPr>
              <w:spacing w:after="0"/>
              <w:rPr>
                <w:sz w:val="18"/>
                <w:szCs w:val="18"/>
                <w:color w:val="auto"/>
              </w:rPr>
            </w:pPr>
          </w:p>
        </w:tc>
        <w:tc>
          <w:tcPr>
            <w:tcW w:w="67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(Shares in thousands)</w:t>
            </w:r>
          </w:p>
        </w:tc>
        <w:tc>
          <w:tcPr>
            <w:tcW w:w="30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January 29, 2021</w:t>
            </w:r>
          </w:p>
        </w:tc>
        <w:tc>
          <w:tcPr>
            <w:tcW w:w="14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98"/>
              </w:rPr>
              <w:t>January 31, 2020</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7"/>
                <w:szCs w:val="17"/>
                <w:i w:val="1"/>
                <w:iCs w:val="1"/>
                <w:color w:val="auto"/>
                <w:w w:val="86"/>
              </w:rPr>
              <w:t>Basic</w:t>
            </w:r>
          </w:p>
        </w:tc>
        <w:tc>
          <w:tcPr>
            <w:tcW w:w="6320" w:type="dxa"/>
            <w:vAlign w:val="bottom"/>
            <w:tcBorders>
              <w:bottom w:val="single" w:sz="8" w:color="CCEEFF"/>
            </w:tcBorders>
            <w:gridSpan w:val="2"/>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7"/>
                <w:szCs w:val="17"/>
                <w:color w:val="auto"/>
              </w:rPr>
              <w:t>Weighted-average number of shares of common stock</w:t>
            </w:r>
          </w:p>
        </w:tc>
        <w:tc>
          <w:tcPr>
            <w:tcW w:w="3060" w:type="dxa"/>
            <w:vAlign w:val="bottom"/>
          </w:tcPr>
          <w:p>
            <w:pPr>
              <w:jc w:val="right"/>
              <w:ind w:right="57"/>
              <w:spacing w:after="0"/>
              <w:rPr>
                <w:sz w:val="20"/>
                <w:szCs w:val="20"/>
                <w:color w:val="auto"/>
              </w:rPr>
            </w:pPr>
            <w:r>
              <w:rPr>
                <w:rFonts w:ascii="Arial" w:cs="Arial" w:eastAsia="Arial" w:hAnsi="Arial"/>
                <w:sz w:val="17"/>
                <w:szCs w:val="17"/>
                <w:color w:val="auto"/>
              </w:rPr>
              <w:t>108,103</w:t>
            </w:r>
          </w:p>
        </w:tc>
        <w:tc>
          <w:tcPr>
            <w:tcW w:w="1460" w:type="dxa"/>
            <w:vAlign w:val="bottom"/>
          </w:tcPr>
          <w:p>
            <w:pPr>
              <w:jc w:val="right"/>
              <w:spacing w:after="0"/>
              <w:rPr>
                <w:sz w:val="20"/>
                <w:szCs w:val="20"/>
                <w:color w:val="auto"/>
              </w:rPr>
            </w:pPr>
            <w:r>
              <w:rPr>
                <w:rFonts w:ascii="Arial" w:cs="Arial" w:eastAsia="Arial" w:hAnsi="Arial"/>
                <w:sz w:val="17"/>
                <w:szCs w:val="17"/>
                <w:color w:val="auto"/>
              </w:rPr>
              <w:t>107,380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6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Assumed issuance of contingent shares</w:t>
            </w:r>
          </w:p>
        </w:tc>
        <w:tc>
          <w:tcPr>
            <w:tcW w:w="3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3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108,122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107,423</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175"/>
        </w:trPr>
        <w:tc>
          <w:tcPr>
            <w:tcW w:w="20" w:type="dxa"/>
            <w:vAlign w:val="bottom"/>
            <w:shd w:val="clear" w:color="auto" w:fill="CCEEFF"/>
          </w:tcPr>
          <w:p>
            <w:pPr>
              <w:spacing w:after="0"/>
              <w:rPr>
                <w:sz w:val="15"/>
                <w:szCs w:val="15"/>
                <w:color w:val="auto"/>
              </w:rPr>
            </w:pPr>
          </w:p>
        </w:tc>
        <w:tc>
          <w:tcPr>
            <w:tcW w:w="670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i w:val="1"/>
                <w:iCs w:val="1"/>
                <w:color w:val="auto"/>
              </w:rPr>
              <w:t>Diluted</w:t>
            </w:r>
          </w:p>
        </w:tc>
        <w:tc>
          <w:tcPr>
            <w:tcW w:w="30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3060" w:type="dxa"/>
            <w:vAlign w:val="bottom"/>
          </w:tcPr>
          <w:p>
            <w:pPr>
              <w:jc w:val="right"/>
              <w:ind w:right="57"/>
              <w:spacing w:after="0"/>
              <w:rPr>
                <w:sz w:val="20"/>
                <w:szCs w:val="20"/>
                <w:color w:val="auto"/>
              </w:rPr>
            </w:pPr>
            <w:r>
              <w:rPr>
                <w:rFonts w:ascii="Arial" w:cs="Arial" w:eastAsia="Arial" w:hAnsi="Arial"/>
                <w:sz w:val="17"/>
                <w:szCs w:val="17"/>
                <w:color w:val="auto"/>
              </w:rPr>
              <w:t>108,122</w:t>
            </w:r>
          </w:p>
        </w:tc>
        <w:tc>
          <w:tcPr>
            <w:tcW w:w="1460" w:type="dxa"/>
            <w:vAlign w:val="bottom"/>
          </w:tcPr>
          <w:p>
            <w:pPr>
              <w:jc w:val="right"/>
              <w:spacing w:after="0"/>
              <w:rPr>
                <w:sz w:val="20"/>
                <w:szCs w:val="20"/>
                <w:color w:val="auto"/>
              </w:rPr>
            </w:pPr>
            <w:r>
              <w:rPr>
                <w:rFonts w:ascii="Arial" w:cs="Arial" w:eastAsia="Arial" w:hAnsi="Arial"/>
                <w:sz w:val="17"/>
                <w:szCs w:val="17"/>
                <w:color w:val="auto"/>
              </w:rPr>
              <w:t>107,423</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6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3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1,072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1,232</w:t>
            </w:r>
          </w:p>
        </w:tc>
      </w:tr>
      <w:tr>
        <w:trPr>
          <w:trHeight w:val="210"/>
        </w:trPr>
        <w:tc>
          <w:tcPr>
            <w:tcW w:w="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3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109,194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108,655</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Incremental shares from options and restricted stock units are computed by the treasury stock method. Options to purchase 268,778 and 262,205 shares of common stock during the first three months of fiscal 2021 and 2020, respectively, were excluded from the computation of diluted net earnings per share because they were anti-dilutive.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15 </w:t>
      </w:r>
      <w:r>
        <w:rPr>
          <w:rFonts w:ascii="Arial" w:cs="Arial" w:eastAsia="Arial" w:hAnsi="Arial"/>
          <w:sz w:val="19"/>
          <w:szCs w:val="19"/>
          <w:b w:val="1"/>
          <w:bCs w:val="1"/>
          <w:color w:val="auto"/>
        </w:rPr>
        <w:t>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Patent and Trademark Office and foreign patent offices. The company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 Settlement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w:t>
      </w:r>
    </w:p>
    <w:p>
      <w:pPr>
        <w:spacing w:after="0" w:line="2" w:lineRule="exact"/>
        <w:rPr>
          <w:sz w:val="20"/>
          <w:szCs w:val="20"/>
          <w:color w:val="auto"/>
        </w:rPr>
      </w:pPr>
    </w:p>
    <w:p>
      <w:pPr>
        <w:jc w:val="both"/>
        <w:ind w:firstLine="8"/>
        <w:spacing w:after="0" w:line="251"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receipt of the Settlement Amount, Exmark agreed to release a supersedeas appeal bond that had been obtained by BGG to support payment of the damages award to Exmark in the Infringement Action. On November 20, 2020, BGG filed a motion to withdraw the Rehearing Petition and on December 16, 2020, the bankruptcy court approved the Settlement Agreement. During January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16 </w:t>
      </w:r>
      <w:r>
        <w:rPr>
          <w:rFonts w:ascii="Arial" w:cs="Arial" w:eastAsia="Arial" w:hAnsi="Arial"/>
          <w:sz w:val="19"/>
          <w:szCs w:val="19"/>
          <w:b w:val="1"/>
          <w:bCs w:val="1"/>
          <w:color w:val="auto"/>
        </w:rPr>
        <w:t>Leases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expense incurred on the company’s operating, short-term, and variable leases:</w:t>
      </w:r>
    </w:p>
    <w:p>
      <w:pPr>
        <w:spacing w:after="0" w:line="154"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3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29, 2021</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31, 2020</w:t>
            </w: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expense</w:t>
            </w:r>
          </w:p>
        </w:tc>
        <w:tc>
          <w:tcPr>
            <w:tcW w:w="3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4,834</w:t>
            </w:r>
          </w:p>
        </w:tc>
      </w:tr>
      <w:tr>
        <w:trPr>
          <w:trHeight w:val="214"/>
        </w:trPr>
        <w:tc>
          <w:tcPr>
            <w:tcW w:w="5000" w:type="dxa"/>
            <w:vAlign w:val="bottom"/>
          </w:tcPr>
          <w:p>
            <w:pPr>
              <w:ind w:left="20"/>
              <w:spacing w:after="0"/>
              <w:rPr>
                <w:sz w:val="20"/>
                <w:szCs w:val="20"/>
                <w:color w:val="auto"/>
              </w:rPr>
            </w:pPr>
            <w:r>
              <w:rPr>
                <w:rFonts w:ascii="Arial" w:cs="Arial" w:eastAsia="Arial" w:hAnsi="Arial"/>
                <w:sz w:val="17"/>
                <w:szCs w:val="17"/>
                <w:color w:val="auto"/>
              </w:rPr>
              <w:t>Short-term lease expense</w:t>
            </w:r>
          </w:p>
        </w:tc>
        <w:tc>
          <w:tcPr>
            <w:tcW w:w="3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682</w:t>
            </w:r>
          </w:p>
        </w:tc>
      </w:tr>
      <w:tr>
        <w:trPr>
          <w:trHeight w:val="216"/>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Variable lease expense</w:t>
            </w:r>
          </w:p>
        </w:tc>
        <w:tc>
          <w:tcPr>
            <w:tcW w:w="3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expense</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5,553</w:t>
            </w:r>
          </w:p>
        </w:tc>
      </w:tr>
      <w:tr>
        <w:trPr>
          <w:trHeight w:val="22"/>
        </w:trPr>
        <w:tc>
          <w:tcPr>
            <w:tcW w:w="50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the company's operating leases:</w:t>
      </w:r>
    </w:p>
    <w:p>
      <w:pPr>
        <w:spacing w:after="0" w:line="154"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5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29, 2021</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31, 2020</w:t>
            </w: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cash flows for amounts included in the measurement of lease liabilities</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r>
      <w:tr>
        <w:trPr>
          <w:trHeight w:val="214"/>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lease information related to the company's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5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January 29, 2021</w:t>
            </w:r>
          </w:p>
        </w:tc>
        <w:tc>
          <w:tcPr>
            <w:tcW w:w="16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6"/>
              </w:rPr>
              <w:t>January 31, 2020</w:t>
            </w:r>
          </w:p>
        </w:tc>
        <w:tc>
          <w:tcPr>
            <w:tcW w:w="15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6"/>
              </w:rPr>
              <w:t>October 31, 2020</w:t>
            </w: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of operating leases in years</w:t>
            </w:r>
          </w:p>
        </w:tc>
        <w:tc>
          <w:tcPr>
            <w:tcW w:w="25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6.9</w:t>
            </w:r>
          </w:p>
        </w:tc>
        <w:tc>
          <w:tcPr>
            <w:tcW w:w="16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4"/>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discount rate of operating leases</w:t>
            </w:r>
          </w:p>
        </w:tc>
        <w:tc>
          <w:tcPr>
            <w:tcW w:w="25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2.78 %</w:t>
            </w:r>
          </w:p>
        </w:tc>
        <w:tc>
          <w:tcPr>
            <w:tcW w:w="16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2.81 %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January 29,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3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29, 2021</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w:t>
            </w:r>
          </w:p>
        </w:tc>
        <w:tc>
          <w:tcPr>
            <w:tcW w:w="3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18,801</w:t>
            </w:r>
          </w:p>
        </w:tc>
      </w:tr>
      <w:tr>
        <w:trPr>
          <w:trHeight w:val="214"/>
        </w:trPr>
        <w:tc>
          <w:tcPr>
            <w:tcW w:w="6520" w:type="dxa"/>
            <w:vAlign w:val="bottom"/>
          </w:tcPr>
          <w:p>
            <w:pPr>
              <w:ind w:left="20"/>
              <w:spacing w:after="0"/>
              <w:rPr>
                <w:sz w:val="20"/>
                <w:szCs w:val="20"/>
                <w:color w:val="auto"/>
              </w:rPr>
            </w:pPr>
            <w:r>
              <w:rPr>
                <w:rFonts w:ascii="Arial" w:cs="Arial" w:eastAsia="Arial" w:hAnsi="Arial"/>
                <w:sz w:val="17"/>
                <w:szCs w:val="17"/>
                <w:color w:val="auto"/>
              </w:rPr>
              <w:t>2022</w:t>
            </w:r>
          </w:p>
        </w:tc>
        <w:tc>
          <w:tcPr>
            <w:tcW w:w="3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15,910</w:t>
            </w:r>
          </w:p>
        </w:tc>
      </w:tr>
      <w:tr>
        <w:trPr>
          <w:trHeight w:val="21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12,515</w:t>
            </w:r>
          </w:p>
        </w:tc>
      </w:tr>
      <w:tr>
        <w:trPr>
          <w:trHeight w:val="214"/>
        </w:trPr>
        <w:tc>
          <w:tcPr>
            <w:tcW w:w="6520" w:type="dxa"/>
            <w:vAlign w:val="bottom"/>
          </w:tcPr>
          <w:p>
            <w:pPr>
              <w:ind w:left="20"/>
              <w:spacing w:after="0"/>
              <w:rPr>
                <w:sz w:val="20"/>
                <w:szCs w:val="20"/>
                <w:color w:val="auto"/>
              </w:rPr>
            </w:pPr>
            <w:r>
              <w:rPr>
                <w:rFonts w:ascii="Arial" w:cs="Arial" w:eastAsia="Arial" w:hAnsi="Arial"/>
                <w:sz w:val="17"/>
                <w:szCs w:val="17"/>
                <w:color w:val="auto"/>
              </w:rPr>
              <w:t>2024</w:t>
            </w:r>
          </w:p>
        </w:tc>
        <w:tc>
          <w:tcPr>
            <w:tcW w:w="3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11,044</w:t>
            </w:r>
          </w:p>
        </w:tc>
      </w:tr>
      <w:tr>
        <w:trPr>
          <w:trHeight w:val="218"/>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9,987</w:t>
            </w:r>
          </w:p>
        </w:tc>
      </w:tr>
      <w:tr>
        <w:trPr>
          <w:trHeight w:val="21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3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23,613</w:t>
            </w:r>
          </w:p>
        </w:tc>
      </w:tr>
      <w:tr>
        <w:trPr>
          <w:trHeight w:val="211"/>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operating lease payments</w:t>
            </w:r>
          </w:p>
        </w:tc>
        <w:tc>
          <w:tcPr>
            <w:tcW w:w="3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91,870</w:t>
            </w:r>
          </w:p>
        </w:tc>
      </w:tr>
      <w:tr>
        <w:trPr>
          <w:trHeight w:val="214"/>
        </w:trPr>
        <w:tc>
          <w:tcPr>
            <w:tcW w:w="65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imputed interest</w:t>
            </w:r>
          </w:p>
        </w:tc>
        <w:tc>
          <w:tcPr>
            <w:tcW w:w="3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13,033</w:t>
            </w:r>
          </w:p>
        </w:tc>
      </w:tr>
      <w:tr>
        <w:trPr>
          <w:trHeight w:val="235"/>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Present value of operating lease liabilities</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78,837</w:t>
            </w:r>
          </w:p>
        </w:tc>
      </w:tr>
      <w:tr>
        <w:trPr>
          <w:trHeight w:val="20"/>
        </w:trPr>
        <w:tc>
          <w:tcPr>
            <w:tcW w:w="652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17 </w:t>
      </w:r>
      <w:r>
        <w:rPr>
          <w:rFonts w:ascii="Arial" w:cs="Arial" w:eastAsia="Arial" w:hAnsi="Arial"/>
          <w:sz w:val="19"/>
          <w:szCs w:val="19"/>
          <w:b w:val="1"/>
          <w:bCs w:val="1"/>
          <w:color w:val="auto"/>
        </w:rPr>
        <w:t>Derivative Instruments and Hedging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64" w:lineRule="exact"/>
        <w:rPr>
          <w:sz w:val="20"/>
          <w:szCs w:val="20"/>
          <w:color w:val="auto"/>
        </w:rPr>
      </w:pPr>
    </w:p>
    <w:p>
      <w:pPr>
        <w:ind w:right="240"/>
        <w:spacing w:after="0" w:line="375" w:lineRule="auto"/>
        <w:rPr>
          <w:sz w:val="20"/>
          <w:szCs w:val="20"/>
          <w:color w:val="auto"/>
        </w:rPr>
      </w:pPr>
      <w:r>
        <w:rPr>
          <w:rFonts w:ascii="Arial" w:cs="Arial" w:eastAsia="Arial" w:hAnsi="Arial"/>
          <w:sz w:val="18"/>
          <w:szCs w:val="18"/>
          <w:color w:val="auto"/>
        </w:rPr>
        <w:t xml:space="preserve">As of January 29, 2021, the notional amount outstanding of forward currency contracts designated as cash flow hedging instruments was $259.9 million. </w:t>
      </w:r>
      <w:r>
        <w:rPr>
          <w:rFonts w:ascii="Arial" w:cs="Arial" w:eastAsia="Arial" w:hAnsi="Arial"/>
          <w:sz w:val="18"/>
          <w:szCs w:val="18"/>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31, 2020</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500" w:type="dxa"/>
            <w:vAlign w:val="bottom"/>
          </w:tcPr>
          <w:p>
            <w:pPr>
              <w:ind w:left="14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5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500" w:type="dxa"/>
            <w:vAlign w:val="bottom"/>
          </w:tcPr>
          <w:p>
            <w:pPr>
              <w:ind w:left="360"/>
              <w:spacing w:after="0"/>
              <w:rPr>
                <w:sz w:val="20"/>
                <w:szCs w:val="20"/>
                <w:color w:val="auto"/>
              </w:rPr>
            </w:pPr>
            <w:r>
              <w:rPr>
                <w:rFonts w:ascii="Arial" w:cs="Arial" w:eastAsia="Arial" w:hAnsi="Arial"/>
                <w:sz w:val="17"/>
                <w:szCs w:val="17"/>
                <w:color w:val="auto"/>
              </w:rPr>
              <w:t>Forward currency contracts</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1,294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9,244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802</w:t>
            </w:r>
          </w:p>
        </w:tc>
      </w:tr>
      <w:tr>
        <w:trPr>
          <w:trHeight w:val="218"/>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i w:val="1"/>
                <w:iCs w:val="1"/>
                <w:color w:val="auto"/>
              </w:rPr>
              <w:t>Derivatives not designated as cash flow hedging instruments:</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50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Forward currency contracts</w:t>
            </w:r>
          </w:p>
        </w:tc>
        <w:tc>
          <w:tcPr>
            <w:tcW w:w="1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178</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3,432</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1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w:t>
            </w:r>
          </w:p>
        </w:tc>
      </w:tr>
      <w:tr>
        <w:trPr>
          <w:trHeight w:val="22"/>
        </w:trPr>
        <w:tc>
          <w:tcPr>
            <w:tcW w:w="5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4"/>
        </w:trPr>
        <w:tc>
          <w:tcPr>
            <w:tcW w:w="5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500" w:type="dxa"/>
            <w:vAlign w:val="bottom"/>
          </w:tcPr>
          <w:p>
            <w:pPr>
              <w:ind w:left="14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5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liabilities</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500" w:type="dxa"/>
            <w:vAlign w:val="bottom"/>
          </w:tcPr>
          <w:p>
            <w:pPr>
              <w:ind w:left="360"/>
              <w:spacing w:after="0"/>
              <w:rPr>
                <w:sz w:val="20"/>
                <w:szCs w:val="20"/>
                <w:color w:val="auto"/>
              </w:rPr>
            </w:pPr>
            <w:r>
              <w:rPr>
                <w:rFonts w:ascii="Arial" w:cs="Arial" w:eastAsia="Arial" w:hAnsi="Arial"/>
                <w:sz w:val="17"/>
                <w:szCs w:val="17"/>
                <w:color w:val="auto"/>
              </w:rPr>
              <w:t>Forward currency contracts</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14,763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2,687</w:t>
            </w:r>
          </w:p>
        </w:tc>
      </w:tr>
      <w:tr>
        <w:trPr>
          <w:trHeight w:val="218"/>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i w:val="1"/>
                <w:iCs w:val="1"/>
                <w:color w:val="auto"/>
              </w:rPr>
              <w:t>Derivatives not designated as cash flow hedging instruments:</w:t>
            </w: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50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Forward currency contracts</w:t>
            </w:r>
          </w:p>
        </w:tc>
        <w:tc>
          <w:tcPr>
            <w:tcW w:w="1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2,200</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1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liabilities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16,963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w:t>
            </w:r>
          </w:p>
        </w:tc>
      </w:tr>
      <w:tr>
        <w:trPr>
          <w:trHeight w:val="22"/>
        </w:trPr>
        <w:tc>
          <w:tcPr>
            <w:tcW w:w="5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transactions. The company records the fair value of its derivative instruments at the net amount on its Condensed Consolidated Balance Sheets.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effects of the master netting arrangements on the fair value of the company’s derivative instruments that are recorded on the Condensed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6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8"/>
              </w:rPr>
              <w:t>January 29, 2021</w:t>
            </w: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8"/>
              </w:rPr>
              <w:t>January 31,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7"/>
                <w:szCs w:val="17"/>
                <w:i w:val="1"/>
                <w:iCs w:val="1"/>
                <w:color w:val="auto"/>
              </w:rPr>
              <w:t>Forward currency contracts:</w:t>
            </w: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6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amounts of recognized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1,472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12,841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r>
      <w:tr>
        <w:trPr>
          <w:trHeight w:val="214"/>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Gross liabilities offset in the Condensed Consolidated Balance Sheets</w:t>
            </w: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r>
      <w:tr>
        <w:trPr>
          <w:trHeight w:val="234"/>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9"/>
              </w:rPr>
              <w:t>Net amounts of assets presented in the Condensed Consolidated Balance Sheets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12,676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6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7"/>
                <w:szCs w:val="17"/>
                <w:i w:val="1"/>
                <w:iCs w:val="1"/>
                <w:color w:val="auto"/>
              </w:rPr>
              <w:t>Forward currency contracts:</w:t>
            </w: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6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amounts of recognized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(3,233)</w:t>
            </w:r>
          </w:p>
        </w:tc>
      </w:tr>
      <w:tr>
        <w:trPr>
          <w:trHeight w:val="214"/>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Gross assets offset in the Condensed Consolidated Balance Sheets</w:t>
            </w: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7</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r>
      <w:tr>
        <w:trPr>
          <w:trHeight w:val="234"/>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7"/>
              </w:rPr>
              <w:t>Net amounts of liabilities presented in the Condensed Consolidated Balance Sheets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(2,484)</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present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January 29, 2021 and January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58"/>
        </w:trPr>
        <w:tc>
          <w:tcPr>
            <w:tcW w:w="4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60" w:type="dxa"/>
            <w:vAlign w:val="bottom"/>
            <w:gridSpan w:val="3"/>
          </w:tcPr>
          <w:p>
            <w:pPr>
              <w:jc w:val="right"/>
              <w:ind w:right="97"/>
              <w:spacing w:after="0" w:line="158" w:lineRule="exact"/>
              <w:rPr>
                <w:sz w:val="20"/>
                <w:szCs w:val="20"/>
                <w:color w:val="auto"/>
              </w:rPr>
            </w:pPr>
            <w:r>
              <w:rPr>
                <w:rFonts w:ascii="Arial" w:cs="Arial" w:eastAsia="Arial" w:hAnsi="Arial"/>
                <w:sz w:val="17"/>
                <w:szCs w:val="17"/>
                <w:b w:val="1"/>
                <w:bCs w:val="1"/>
                <w:color w:val="auto"/>
                <w:w w:val="90"/>
              </w:rPr>
              <w:t>Gain (Loss) Reclassified from AOCL</w:t>
            </w:r>
          </w:p>
        </w:tc>
        <w:tc>
          <w:tcPr>
            <w:tcW w:w="180" w:type="dxa"/>
            <w:vAlign w:val="bottom"/>
          </w:tcPr>
          <w:p>
            <w:pPr>
              <w:spacing w:after="0"/>
              <w:rPr>
                <w:sz w:val="13"/>
                <w:szCs w:val="13"/>
                <w:color w:val="auto"/>
              </w:rPr>
            </w:pPr>
          </w:p>
        </w:tc>
        <w:tc>
          <w:tcPr>
            <w:tcW w:w="2860" w:type="dxa"/>
            <w:vAlign w:val="bottom"/>
            <w:gridSpan w:val="3"/>
          </w:tcPr>
          <w:p>
            <w:pPr>
              <w:jc w:val="right"/>
              <w:ind w:right="177"/>
              <w:spacing w:after="0" w:line="158" w:lineRule="exact"/>
              <w:rPr>
                <w:sz w:val="20"/>
                <w:szCs w:val="20"/>
                <w:color w:val="auto"/>
              </w:rPr>
            </w:pPr>
            <w:r>
              <w:rPr>
                <w:rFonts w:ascii="Arial" w:cs="Arial" w:eastAsia="Arial" w:hAnsi="Arial"/>
                <w:sz w:val="17"/>
                <w:szCs w:val="17"/>
                <w:b w:val="1"/>
                <w:bCs w:val="1"/>
                <w:color w:val="auto"/>
                <w:w w:val="94"/>
              </w:rPr>
              <w:t>Gain (Loss) Recognized in OCI on</w:t>
            </w:r>
          </w:p>
        </w:tc>
      </w:tr>
      <w:tr>
        <w:trPr>
          <w:trHeight w:val="216"/>
        </w:trPr>
        <w:tc>
          <w:tcPr>
            <w:tcW w:w="4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7"/>
                <w:szCs w:val="17"/>
                <w:b w:val="1"/>
                <w:bCs w:val="1"/>
                <w:color w:val="auto"/>
              </w:rPr>
              <w:t>into Earnings</w:t>
            </w: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997"/>
              <w:spacing w:after="0"/>
              <w:rPr>
                <w:sz w:val="20"/>
                <w:szCs w:val="20"/>
                <w:color w:val="auto"/>
              </w:rPr>
            </w:pPr>
            <w:r>
              <w:rPr>
                <w:rFonts w:ascii="Arial" w:cs="Arial" w:eastAsia="Arial" w:hAnsi="Arial"/>
                <w:sz w:val="17"/>
                <w:szCs w:val="17"/>
                <w:b w:val="1"/>
                <w:bCs w:val="1"/>
                <w:color w:val="auto"/>
              </w:rPr>
              <w:t>Derivatives</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6"/>
              </w:rPr>
              <w:t>January 29, 2021</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31, 2020</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8"/>
              </w:rPr>
              <w:t>January 29, 2021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31, 2020</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4700" w:type="dxa"/>
            <w:vAlign w:val="bottom"/>
          </w:tcPr>
          <w:p>
            <w:pPr>
              <w:ind w:left="140"/>
              <w:spacing w:after="0"/>
              <w:rPr>
                <w:sz w:val="20"/>
                <w:szCs w:val="20"/>
                <w:color w:val="auto"/>
              </w:rPr>
            </w:pPr>
            <w:r>
              <w:rPr>
                <w:rFonts w:ascii="Arial" w:cs="Arial" w:eastAsia="Arial" w:hAnsi="Arial"/>
                <w:sz w:val="17"/>
                <w:szCs w:val="17"/>
                <w:color w:val="auto"/>
              </w:rPr>
              <w:t>Forward currency contracts:</w:t>
            </w: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1,205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r>
      <w:tr>
        <w:trPr>
          <w:trHeight w:val="21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Cost of sales</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99</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332</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34"/>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9"/>
              </w:rPr>
              <w:t>Total derivatives designated as cash flow hedging instruments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immaterial gains within other income, net on the Condensed Consolidated Statements of Earnings during the first quarter of fiscal 2021 and fiscal 2020 due to the discontinuance of cash flow hedge accounting on certain forward currency contracts designated as cash flow hedging instruments. As of January 29, 2021, the company expects to reclassify approximately $11.6 million of losses from AOCL to earnings during the next twelve months.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gridSpan w:val="7"/>
          </w:tcPr>
          <w:p>
            <w:pPr>
              <w:jc w:val="right"/>
              <w:ind w:right="697"/>
              <w:spacing w:after="0"/>
              <w:rPr>
                <w:sz w:val="20"/>
                <w:szCs w:val="20"/>
                <w:color w:val="auto"/>
              </w:rPr>
            </w:pPr>
            <w:r>
              <w:rPr>
                <w:rFonts w:ascii="Arial" w:cs="Arial" w:eastAsia="Arial" w:hAnsi="Arial"/>
                <w:sz w:val="17"/>
                <w:szCs w:val="17"/>
                <w:b w:val="1"/>
                <w:bCs w:val="1"/>
                <w:color w:val="auto"/>
                <w:w w:val="96"/>
              </w:rPr>
              <w:t>Gain (Loss) Recognized in Earnings on Cash Flow Hedging Instruments</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997"/>
              <w:spacing w:after="0"/>
              <w:rPr>
                <w:sz w:val="20"/>
                <w:szCs w:val="20"/>
                <w:color w:val="auto"/>
              </w:rPr>
            </w:pPr>
            <w:r>
              <w:rPr>
                <w:rFonts w:ascii="Arial" w:cs="Arial" w:eastAsia="Arial" w:hAnsi="Arial"/>
                <w:sz w:val="17"/>
                <w:szCs w:val="17"/>
                <w:b w:val="1"/>
                <w:bCs w:val="1"/>
                <w:color w:val="auto"/>
              </w:rPr>
              <w:t>January 29, 2021</w:t>
            </w:r>
          </w:p>
        </w:tc>
        <w:tc>
          <w:tcPr>
            <w:tcW w:w="3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right"/>
              <w:ind w:right="957"/>
              <w:spacing w:after="0"/>
              <w:rPr>
                <w:sz w:val="20"/>
                <w:szCs w:val="20"/>
                <w:color w:val="auto"/>
              </w:rPr>
            </w:pPr>
            <w:r>
              <w:rPr>
                <w:rFonts w:ascii="Arial" w:cs="Arial" w:eastAsia="Arial" w:hAnsi="Arial"/>
                <w:sz w:val="17"/>
                <w:szCs w:val="17"/>
                <w:b w:val="1"/>
                <w:bCs w:val="1"/>
                <w:color w:val="auto"/>
              </w:rPr>
              <w:t>January 31, 2020</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Net Sales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92"/>
              </w:rPr>
              <w:t>Cost of Sales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Net Sales</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w w:val="92"/>
              </w:rPr>
              <w:t>Cost of Sales</w:t>
            </w: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Condensed Consolidated Statements of Earnings income</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8"/>
              </w:rPr>
              <w:t>(expense) amounts in which the effects of cash flow hedging</w:t>
            </w:r>
          </w:p>
        </w:tc>
        <w:tc>
          <w:tcPr>
            <w:tcW w:w="28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872,986</w:t>
            </w:r>
          </w:p>
        </w:tc>
        <w:tc>
          <w:tcPr>
            <w:tcW w:w="2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(557,950)</w:t>
            </w:r>
          </w:p>
        </w:tc>
        <w:tc>
          <w:tcPr>
            <w:tcW w:w="34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767,483</w:t>
            </w:r>
          </w:p>
        </w:tc>
        <w:tc>
          <w:tcPr>
            <w:tcW w:w="3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(479,395)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instruments are recorded</w:t>
            </w:r>
          </w:p>
        </w:tc>
        <w:tc>
          <w:tcPr>
            <w:tcW w:w="28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0"/>
              <w:spacing w:after="0" w:line="162" w:lineRule="exact"/>
              <w:rPr>
                <w:sz w:val="20"/>
                <w:szCs w:val="20"/>
                <w:color w:val="auto"/>
              </w:rPr>
            </w:pPr>
            <w:r>
              <w:rPr>
                <w:rFonts w:ascii="Arial" w:cs="Arial" w:eastAsia="Arial" w:hAnsi="Arial"/>
                <w:sz w:val="17"/>
                <w:szCs w:val="17"/>
                <w:i w:val="1"/>
                <w:iCs w:val="1"/>
                <w:color w:val="auto"/>
              </w:rPr>
              <w:t>Gain (loss) on derivatives designated as cash flow hedging</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i w:val="1"/>
                <w:iCs w:val="1"/>
                <w:color w:val="auto"/>
              </w:rPr>
              <w:t>instruments: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currency contracts: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20"/>
              <w:spacing w:after="0"/>
              <w:rPr>
                <w:sz w:val="20"/>
                <w:szCs w:val="20"/>
                <w:color w:val="auto"/>
              </w:rPr>
            </w:pPr>
            <w:r>
              <w:rPr>
                <w:rFonts w:ascii="Arial" w:cs="Arial" w:eastAsia="Arial" w:hAnsi="Arial"/>
                <w:sz w:val="17"/>
                <w:szCs w:val="17"/>
                <w:color w:val="auto"/>
                <w:w w:val="96"/>
              </w:rPr>
              <w:t>Amount of gain (loss) reclassified from AOCL into earnings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(2,097)</w:t>
            </w:r>
          </w:p>
        </w:tc>
        <w:tc>
          <w:tcPr>
            <w:tcW w:w="28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99</w:t>
            </w:r>
          </w:p>
        </w:tc>
        <w:tc>
          <w:tcPr>
            <w:tcW w:w="34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1,205</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164"/>
        </w:trPr>
        <w:tc>
          <w:tcPr>
            <w:tcW w:w="4520" w:type="dxa"/>
            <w:vAlign w:val="bottom"/>
            <w:shd w:val="clear" w:color="auto" w:fill="CCEEFF"/>
          </w:tcPr>
          <w:p>
            <w:pPr>
              <w:ind w:left="220"/>
              <w:spacing w:after="0" w:line="164" w:lineRule="exact"/>
              <w:rPr>
                <w:sz w:val="20"/>
                <w:szCs w:val="20"/>
                <w:color w:val="auto"/>
              </w:rPr>
            </w:pPr>
            <w:r>
              <w:rPr>
                <w:rFonts w:ascii="Arial" w:cs="Arial" w:eastAsia="Arial" w:hAnsi="Arial"/>
                <w:sz w:val="17"/>
                <w:szCs w:val="17"/>
                <w:color w:val="auto"/>
              </w:rPr>
              <w:t>Gain on components excluded from effectiveness testing</w:t>
            </w:r>
          </w:p>
        </w:tc>
        <w:tc>
          <w:tcPr>
            <w:tcW w:w="28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162</w:t>
            </w:r>
          </w:p>
        </w:tc>
        <w:tc>
          <w:tcPr>
            <w:tcW w:w="2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2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185</w:t>
            </w:r>
          </w:p>
        </w:tc>
        <w:tc>
          <w:tcPr>
            <w:tcW w:w="34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660</w:t>
            </w:r>
          </w:p>
        </w:tc>
        <w:tc>
          <w:tcPr>
            <w:tcW w:w="30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recognized in earnings based on changes in fair value</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99"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5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8"/>
              </w:rPr>
              <w:t>January 29, 2021</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8"/>
              </w:rPr>
              <w:t>January 31, 2020</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Gain (loss) on derivatives not designated as cash flow hedging instruments</w:t>
            </w:r>
          </w:p>
        </w:tc>
        <w:tc>
          <w:tcPr>
            <w:tcW w:w="1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6820" w:type="dxa"/>
            <w:vAlign w:val="bottom"/>
          </w:tcPr>
          <w:p>
            <w:pPr>
              <w:ind w:left="140"/>
              <w:spacing w:after="0"/>
              <w:rPr>
                <w:sz w:val="20"/>
                <w:szCs w:val="20"/>
                <w:color w:val="auto"/>
              </w:rPr>
            </w:pPr>
            <w:r>
              <w:rPr>
                <w:rFonts w:ascii="Arial" w:cs="Arial" w:eastAsia="Arial" w:hAnsi="Arial"/>
                <w:sz w:val="17"/>
                <w:szCs w:val="17"/>
                <w:color w:val="auto"/>
              </w:rPr>
              <w:t>Forward currency contracts:</w:t>
            </w: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income, net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gain (loss) on derivatives not designated as cash flow hedging instruments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r>
      <w:tr>
        <w:trPr>
          <w:trHeight w:val="22"/>
        </w:trPr>
        <w:tc>
          <w:tcPr>
            <w:tcW w:w="6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18 </w:t>
      </w:r>
      <w:r>
        <w:rPr>
          <w:rFonts w:ascii="Arial" w:cs="Arial" w:eastAsia="Arial" w:hAnsi="Arial"/>
          <w:sz w:val="19"/>
          <w:szCs w:val="19"/>
          <w:b w:val="1"/>
          <w:bCs w:val="1"/>
          <w:color w:val="auto"/>
        </w:rPr>
        <w:t>Fair Value Measurements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right="1900" w:firstLine="648"/>
        <w:spacing w:after="0" w:line="377"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Recurring Fair Value Measurements</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 The following tables present, by level within the fair value hierarchy, the company's financial assets and liabilities that are measured at fair value on a recurring basis as of January 29, 2021, January 31, 2020, and October 31, 2020, according to the valuation technique utilized to determine their fair values: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4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7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21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7"/>
              <w:spacing w:after="0"/>
              <w:rPr>
                <w:sz w:val="20"/>
                <w:szCs w:val="20"/>
                <w:color w:val="auto"/>
              </w:rPr>
            </w:pPr>
            <w:r>
              <w:rPr>
                <w:rFonts w:ascii="Arial" w:cs="Arial" w:eastAsia="Arial" w:hAnsi="Arial"/>
                <w:sz w:val="17"/>
                <w:szCs w:val="17"/>
                <w:b w:val="1"/>
                <w:bCs w:val="1"/>
                <w:color w:val="auto"/>
              </w:rPr>
              <w:t>Fair Value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1</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3</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Forward currency contracts</w:t>
            </w: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1,472</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235"/>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1,472</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3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Forward currency contracts</w:t>
            </w: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16,963</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16,963</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234"/>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16,963</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16,963</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4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7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21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January 31, 2020</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7"/>
              <w:spacing w:after="0"/>
              <w:rPr>
                <w:sz w:val="20"/>
                <w:szCs w:val="20"/>
                <w:color w:val="auto"/>
              </w:rPr>
            </w:pPr>
            <w:r>
              <w:rPr>
                <w:rFonts w:ascii="Arial" w:cs="Arial" w:eastAsia="Arial" w:hAnsi="Arial"/>
                <w:sz w:val="17"/>
                <w:szCs w:val="17"/>
                <w:b w:val="1"/>
                <w:bCs w:val="1"/>
                <w:color w:val="auto"/>
              </w:rPr>
              <w:t>Fair Value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1</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3</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Forward currency contracts</w:t>
            </w: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12,676</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12,676</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235"/>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12,676</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12,676</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4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7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21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October 31, 2020</w:t>
            </w: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7"/>
              <w:spacing w:after="0"/>
              <w:rPr>
                <w:sz w:val="20"/>
                <w:szCs w:val="20"/>
                <w:color w:val="auto"/>
              </w:rPr>
            </w:pPr>
            <w:r>
              <w:rPr>
                <w:rFonts w:ascii="Arial" w:cs="Arial" w:eastAsia="Arial" w:hAnsi="Arial"/>
                <w:sz w:val="17"/>
                <w:szCs w:val="17"/>
                <w:b w:val="1"/>
                <w:bCs w:val="1"/>
                <w:color w:val="auto"/>
              </w:rPr>
              <w:t>Fair Value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1</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3</w:t>
            </w: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Forward currency contracts</w:t>
            </w: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933</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234"/>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933</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3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Forward currency contracts</w:t>
            </w:r>
          </w:p>
        </w:tc>
        <w:tc>
          <w:tcPr>
            <w:tcW w:w="14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2,484</w:t>
            </w: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w:t>
            </w:r>
          </w:p>
        </w:tc>
        <w:tc>
          <w:tcPr>
            <w:tcW w:w="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r>
      <w:tr>
        <w:trPr>
          <w:trHeight w:val="235"/>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2,484</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2,484</w:t>
            </w:r>
          </w:p>
        </w:tc>
        <w:tc>
          <w:tcPr>
            <w:tcW w:w="4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when applicable. For additional information on the company's business combination and the related non-recurring fair value measurement of the assets acquired and liabilities assumed, refer to Note 2,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January 29, 2021, January 31, 2020 and October 31, 2020, the company's long-term debt included $424.0 million, $423.9 million and $424.0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January 29, 2021, the estimated gross fair value of long-term debt with fixed interest rates was $524.3 million compared to its gross carrying amount of $424.0 million. As of January 31, 2020, the estimated gross fair value of long-term debt with fixed interest rates was $513.7 million compared to its gross carrying amount of $423.9 million. As of October 31, 2020, the estimated gross fair value of long-term debt with fixed interest rates was $508.2 million compared to its gross carrying amount of $424.0 million.</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19 </w:t>
      </w:r>
      <w:r>
        <w:rPr>
          <w:rFonts w:ascii="Arial" w:cs="Arial" w:eastAsia="Arial" w:hAnsi="Arial"/>
          <w:sz w:val="19"/>
          <w:szCs w:val="19"/>
          <w:b w:val="1"/>
          <w:bCs w:val="1"/>
          <w:color w:val="auto"/>
        </w:rPr>
        <w:t>Subsequent Events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2020.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Throughout this MD&amp;A, we have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this report that are calculated and presented in accordance with U.S. GAAP. We use these non-GAAP financial measures in making operating decisions because we believe they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or benefits; acquisitions and dispositions; legal judgments, settlements, or other matters; and tax positions.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Reconciliations of non-GAAP financial measures to the most directly comparable reported U.S. GAAP financial measures are included in the section titled "Non-GAAP Financial Measures" within this MD&amp;A. These non-GAAP financial measures, however, should not be considered superior to, as a substitute for, or as an alternative to, and should be considered in conjunction with, the most directly comparable U.S. GAAP financial measures and metrics. Further, these non-GAAP financial measures may differ from similar measures used by other companies.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Unless the context indicates otherwise, the terms "company," "TTC," "we," "our," or "us" refer to The Toro Company and its consolidated subsidiaries. Our purpose is to help our customers enrich the beauty, productivity, and sustainability of the land. Our sustainability platform, "Sustainability Endures," directly ties sustainability to our mission to deliver superior innovation and customer care and also provides transparency on our continued efforts to address sustainability-focused matters, including environmental, social, and governance priorities.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classify our operations into two reportable business segments: Professional and Residential. Our remaining activities are presented as "Other" due to their insignificance. As further described in Note 7, </w:t>
      </w:r>
      <w:r>
        <w:rPr>
          <w:rFonts w:ascii="Arial" w:cs="Arial" w:eastAsia="Arial" w:hAnsi="Arial"/>
          <w:sz w:val="18"/>
          <w:szCs w:val="18"/>
          <w:i w:val="1"/>
          <w:iCs w:val="1"/>
          <w:color w:val="auto"/>
        </w:rPr>
        <w:t>Divestiture</w:t>
      </w:r>
      <w:r>
        <w:rPr>
          <w:rFonts w:ascii="Arial" w:cs="Arial" w:eastAsia="Arial" w:hAnsi="Arial"/>
          <w:sz w:val="18"/>
          <w:szCs w:val="18"/>
          <w:color w:val="auto"/>
        </w:rPr>
        <w:t>, in the Notes to Condensed Consolidated Financial Statements included in Part I. Item 1 of this Quarterly Report on Form 10-Q, during the first quarter of fiscal 2021, the company completed the sale of its Northeastern U.S. distribution company. As a result, for the three month period ended January 29, 2021, the company's Other activities consisted of the company's remaining wholly-owned domestic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distribution company, the company's corporate activities, and the elimination of intersegment revenues and expenses. For the three month period ended January 31, 2020, the company's Other activities consisted of the company's wholly-owned domestic distribution companies, the company's corporate activities, and the elimination of intersegment revenues and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Venture Products, Inc. ("Venture Products")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March 2, 2020, during the second quarter of fiscal 2020, we completed our acquisition of Venture Products, the manufacturer of Ventrac-branded products. Venture Products designs, manufactures, and markets articulating turf, landscape, and snow and ice management equipment for grounds, landscape contractor, golf, municipal, and rural acreage customers and provides innovative product offerings that broadened and strengthened our Professional segment and expanded our dealer network. The total acquisition consideration was $163.2 million, of which $25.0 million is expected to be paid throughout fiscal 2021 to the former Venture Products shareholders, subject to any indemnification claims. We funded the acquisition consideration with borrowings under our existing unsecured senior revolving credit facility. Subsequent to the closing date, results of operations for Venture Products have been included within our Professional reportable segment within our Condensed Consolidated Financial Statements and had, and will continue to have, an incremental impact to our Professional reportable segment net sales and segment earnings for the first twelve months post acquisition. For additional information regarding the acquisition and our unsecured senior revolving credit facility utilized to fund the acquisition consideration, refer to Note 2,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and Note 6, </w:t>
      </w:r>
      <w:r>
        <w:rPr>
          <w:rFonts w:ascii="Arial" w:cs="Arial" w:eastAsia="Arial" w:hAnsi="Arial"/>
          <w:sz w:val="17"/>
          <w:szCs w:val="17"/>
          <w:i w:val="1"/>
          <w:iCs w:val="1"/>
          <w:color w:val="auto"/>
        </w:rPr>
        <w:t>Indebtedness</w:t>
      </w:r>
      <w:r>
        <w:rPr>
          <w:rFonts w:ascii="Arial" w:cs="Arial" w:eastAsia="Arial" w:hAnsi="Arial"/>
          <w:sz w:val="17"/>
          <w:szCs w:val="17"/>
          <w:color w:val="auto"/>
        </w:rPr>
        <w:t>, respectively, in the Notes to Condensed Consolidated Financial Statements included in Part I. Item 1 of this Quarterly Report on Form 10-Q.</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the World Health Organization declared the novel coronavirus ("COVID-19," "the pandemic," or "the virus") outbreak a global pandemic. COVID-19 has negatively impacted public health and portions of the global economy, disrupted global supply chains, and created volatility in financial markets. The global impact of the pandemic has had a material impact on parts of our business, as well as our customers and suppliers, and caused many challenges for our business and manufacturing operations. During the first quarter of fiscal 2021, several jurisdictions around the world continued or again implemented increased restrictions in an effort to curb the ongoing spread of the virus. The ultimate longevity and future severity of such restrictions, the success of the deployment and effectiveness of approved COVID-19 vaccines, and the ultimate impact on our business, operations, and Results of Operations, Financial Position, and Cash Flows as a result of COVID-19 is unknown at this time.</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main focus from the beginning of the pandemic has been, and will continue to be, the health, safety, and well-being of our employees, customers, suppliers and communities around the world. In support of continuing our global manufacturing and business operations, we have adopted, and continue to adhere to, rigorous and meaningful safety measures recommended by the U.S. Centers for Disease Control and Prevention, World Health Organization, and federal, state, local, and foreign authorities in an effort to protect our employees, customers, suppliers, and communities. These important safety measures enacted at our facilities and other sites include, but are not limited to, implementing social distancing protocols such as the reconfiguration of manufacturing processes and other workspaces, instituting work from home arrangements for those employees who do not need to be physically present at our facilities and sites to perform their job responsibilities, suspending non-essential travel, extensively and frequently disinfecting our facilities and workspaces, suspending non-essential visitors, and providing or accommodating the wearing of face coverings and other sanitary measures to those employees who must be physically present at our facilities and sites to perform their job responsibilities and where face coverings are required by local government mandates. We also implemented an employee campaign in support of COVID-19 vaccine efforts around the world. This employee campaign is designed to provide information about, and support and encourage our employees to receive, a COVID-19 vaccination when available. We expect to continue our safety measures until we determine that COVID-19 is adequately contained for purposes of our global manufacturing and business operations and we may take further actions as government authorities require or recommend or as we determine to be in the best interests of our employees, customers, suppliers, and communities.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vigilant safety measures, we have also maintained our focus on our responsibility to meet the needs of our customers as we supply products that are critical to maintaining essential global infrastructure, agricultural food production, and the enablement of safe areas for outdoor spaces. Government mandated shutdowns or curtailments generally exclude certain essential businesses and services, including businesses that manufacture and sell products that are considered essential to daily lives or otherwise operate in essential or critical sectors. Our operations have been and continue to be considered essential under applicable government mandated orders relating to COVID-19 allowing us to continue our global manufacturing and business operations since the beginning of the pandemic and through the date of the filing of this Quarterly Report on Form 10-Q. While our facilities have remained operational during the first quarter of fiscal 2021, we experienced various degrees of manufacturing cost pressures and inefficiencies. Such manufacturing cost pressures and inefficiencies had an adverse impact on our gross margins for the three month period ended January 29, 2021 and may continue to adversely impact our gross margins going forward. As of the date of the filing of this Quarterly Report on Form 10-Q, we have not experienced significant impacts to our global manufacturing operations due to disruptions in our global supply chain as a result of COVID-19 or otherwise. Although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regularly monitor the adequacy of supply and financial health of the companies in our supply chain, financial hardship and/or government mandated restrictions on our suppliers caused by COVID-19, insufficient demand planning, and/or the inability of companies throughout our supply chain to deliver on supply commitments, requirements, and/or demands as a result of COVID-19 or otherwise, could cause a disruption in our ability to procure the commodities, components, and parts required to manufacture our products. Ongoing communications continue with our suppliers in an attempt to identify and mitigate such risks and to proactively manage inventory levels of commodities, components, and parts to align with anticipated demand for our products and other government actions. We currently expect our global manufacturing facilities to remain operational through the remainder of fiscal 2021; however, we currently expect a greater level of supply chain disruptions during the second quarter of fiscal 2021 due to our inability to source adequate amounts of component parts inventory.</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first quarter of fiscal 2021, our Professional and Residential reportable segments were less impacted by COVID-19 than was experienced throughout most of fiscal 2020. During the first quarter of fiscal 2021, the adverse demand trends we experienced within our Professional segment during much of fiscal 2020 as a result of COVID-19 continued to stabilize. Most notably, our landscape contractor business continued to build upon the momentum generated during the fourth quarter of fiscal 2020 as our channel partners worked to replenish their field inventory levels and we continued to experience strong retail demand. Additionally, our golf and grounds business largely returned to normalized sales levels within the United States as budgetary constraints began to moderate. Our Residential segment continued to build on the momentum generated during fiscal 2020 and experienced strong retail demand during the first quarter of fiscal 2021 for snow thrower products and Flex-Force battery-powered products as we experienced favorable weather conditions. While the continued strong retail demand experienced in our Residential segment is a positive event, the shift to a greater percentage of Residential segment net sales as a percentage of consolidated net sales adversely impacted our gross margins for the three month period ended January 29, 2021 and could continue to adversely impact our gross margins for the remainder of fiscal 2021. Further, as a result of strong business performance, during the first quarter of fiscal 2021, some of the cost reduction measures enacted in fiscal 2020 ceased. Our balance sheet and liquidity profile remained strong as of January 29, 2021 and we expect to continue to our historical practice of prudently managing our expenses and adjusting production levels as needed to align with anticipated sales volumes throughout fiscal 2021.</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uncertainty still exists concerning the duration of COVID-19. We will continue to monitor the situation and the guidance from global government authorities, as well as federal, state, local and foreign public health authorities, and may take additional meaningful actions based on their requirements and recommendations to attempt to protect the health and well-being of our employees, customers, suppliers, and communities. In these circumstances, there may be developments outside our control requiring us to adjust our operating plans and implement appropriate cost reduction measures and such developments could rapidly occur. If the adverse impacts from COVID-19 continue for an extended period of time or worsen, our business and related Results of Operations, Financial Position, or Cash Flows could be adversely impacted. Any sustained adverse impacts to our business and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and property, plant and equipment. Such a charge could be material to our future Results of Operations, Financial Position, or Cash Flows. For additional information regarding risks associated with COVID-19, refer to the section titled "Forward-Looking Information" located at the end of Part I, Item 2 of this Quarterly Report on Form 10-Q and also refer to Part I, Item 1A, "Risk Factors", within our Annual Report on From 10-K for the fiscal year ended October 31,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Worldwide consolidated net sales for the first quarter of fiscal 2021 were $873.0 million, up 13.7 percent compared to $767.5 million in the first quarter of fiscal 2020.</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segment net sales for the first quarter of fiscal 2021 were $650.2 million, an increase of 9.3 percent compared to $594.7 million in the first quarter of the prior fiscal year. This increase was primarily driven by increased shipments of landscape contractor zero-turn riding mowers and incremental net sales as a result of our acquisition of Venture Products, partially offset by fewer shipments of underground construction equipment and golf and grounds equipment.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Residential segment net sales for the first quarter of fiscal 2021 were $217.7 million, an increase of 31.3 percent compared to $165.8 million in the first quarter of the prior fiscal year. This increase was mainly driven by strong demand for snow products, Flex-Force battery-powered products, and walk power mowers.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earnings for the first quarter of fiscal 2021 were $111.3 million, or $1.02 per diluted share, compared to $70.1 million, or $0.65 per diluted share, for the first quarter of fiscal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net earnings for the first quarter of fiscal 2021 were $93.2 million, or $0.85 per diluted share, compared to $69.7 million, or $0.64 per diluted share, for the first quarter of fiscal 2020. Reconciliations of non-GAAP financial measures to the most directly comparable reported U.S. GAAP financial measures are included in the section titled "Non-GAAP Financial Measures" within this MD&amp;A.</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increased our cash dividend for the first quarter of fiscal 2021 by 5.0 percent to $0.2625 per share compared to $0.25 per share paid in the first quarter of fiscal 2020 and we resumed repurchases of shares of our common stock under our Board authorized repurchase plan during the first quarter of fiscal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Field inventory levels were lower as of the end of the first quarter of fiscal 2021 compared to the first quarter of fiscal 2020 across the majority of our businesses as a result of continued strong retail demand, most notably within our Professional segment landscape contractor and golf and grounds businesses.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Worldwide consolidated net sales for the first quarter of fiscal 2021 were $873.0 million, up 13.7 percent compared to $767.5 million in the first quarter of fiscal 2020. This increase was primarily driven by increased shipments of Professional segment landscape contractor zero-turn riding mowers due to continued strong retail demand and low field inventory levels at the end of fiscal 2020, strong retail demand for Residential segment snow products as a result of favorable winter conditions in key regions, and incremental Professional segment net sales as a result of our acquisition of Venture Products. The net sales increase was partially offset by fewer sales of underground construction equipment as a result of decreased retail demand in the oil and gas industry and timing of international shipments of golf and grounds equipment.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international markets increased by 9.0 percent for the first quarter of fiscal 2021. Changes in foreign currency exchange rates resulted in an increase in our net sales of approximately $2.5 million for the first quarter of fiscal 2021. The international net sales increase for the quarter comparison was mainly driven by strong demand for both Professional and Residential segment zero-turn riding products, increased sales of underground construction equipment, and incremental net sales as a result of our acquisition of Venture Products, partially offset by the timing of shipments of golf and grounds equipment.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consolidated net sales:</w:t>
      </w:r>
    </w:p>
    <w:p>
      <w:pPr>
        <w:spacing w:after="0" w:line="154" w:lineRule="exact"/>
        <w:rPr>
          <w:sz w:val="20"/>
          <w:szCs w:val="20"/>
          <w:color w:val="auto"/>
        </w:rPr>
      </w:pPr>
    </w:p>
    <w:p>
      <w:pPr>
        <w:ind w:left="89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top w:val="single" w:sz="8" w:color="auto"/>
              <w:bottom w:val="single" w:sz="8" w:color="auto"/>
            </w:tcBorders>
          </w:tcPr>
          <w:p>
            <w:pPr>
              <w:spacing w:after="0"/>
              <w:rPr>
                <w:sz w:val="18"/>
                <w:szCs w:val="18"/>
                <w:color w:val="auto"/>
              </w:rPr>
            </w:pPr>
          </w:p>
        </w:tc>
        <w:tc>
          <w:tcPr>
            <w:tcW w:w="41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January 29, 2021</w:t>
            </w:r>
          </w:p>
        </w:tc>
        <w:tc>
          <w:tcPr>
            <w:tcW w:w="15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8"/>
              </w:rPr>
              <w:t>January 31, 2020</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1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100.0 %</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41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(63.9)</w:t>
            </w:r>
          </w:p>
        </w:tc>
        <w:tc>
          <w:tcPr>
            <w:tcW w:w="15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(62.5)</w:t>
            </w:r>
          </w:p>
        </w:tc>
      </w:tr>
      <w:tr>
        <w:trPr>
          <w:trHeight w:val="211"/>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41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36.1</w:t>
            </w:r>
          </w:p>
        </w:tc>
        <w:tc>
          <w:tcPr>
            <w:tcW w:w="15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37.5</w:t>
            </w:r>
          </w:p>
        </w:tc>
      </w:tr>
      <w:tr>
        <w:trPr>
          <w:trHeight w:val="21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41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(19.9)</w:t>
            </w:r>
          </w:p>
        </w:tc>
        <w:tc>
          <w:tcPr>
            <w:tcW w:w="15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(25.6)</w:t>
            </w:r>
          </w:p>
        </w:tc>
      </w:tr>
      <w:tr>
        <w:trPr>
          <w:trHeight w:val="211"/>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earnings</w:t>
            </w:r>
          </w:p>
        </w:tc>
        <w:tc>
          <w:tcPr>
            <w:tcW w:w="41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16.2</w:t>
            </w:r>
          </w:p>
        </w:tc>
        <w:tc>
          <w:tcPr>
            <w:tcW w:w="15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11.9</w:t>
            </w:r>
          </w:p>
        </w:tc>
      </w:tr>
      <w:tr>
        <w:trPr>
          <w:trHeight w:val="214"/>
        </w:trPr>
        <w:tc>
          <w:tcPr>
            <w:tcW w:w="55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4160" w:type="dxa"/>
            <w:vAlign w:val="bottom"/>
          </w:tcPr>
          <w:p>
            <w:pPr>
              <w:jc w:val="right"/>
              <w:ind w:right="197"/>
              <w:spacing w:after="0"/>
              <w:rPr>
                <w:sz w:val="20"/>
                <w:szCs w:val="20"/>
                <w:color w:val="auto"/>
              </w:rPr>
            </w:pPr>
            <w:r>
              <w:rPr>
                <w:rFonts w:ascii="Arial" w:cs="Arial" w:eastAsia="Arial" w:hAnsi="Arial"/>
                <w:sz w:val="17"/>
                <w:szCs w:val="17"/>
                <w:color w:val="auto"/>
              </w:rPr>
              <w:t>(0.9)</w:t>
            </w:r>
          </w:p>
        </w:tc>
        <w:tc>
          <w:tcPr>
            <w:tcW w:w="1520" w:type="dxa"/>
            <w:vAlign w:val="bottom"/>
          </w:tcPr>
          <w:p>
            <w:pPr>
              <w:jc w:val="right"/>
              <w:ind w:right="77"/>
              <w:spacing w:after="0"/>
              <w:rPr>
                <w:sz w:val="20"/>
                <w:szCs w:val="20"/>
                <w:color w:val="auto"/>
              </w:rPr>
            </w:pPr>
            <w:r>
              <w:rPr>
                <w:rFonts w:ascii="Arial" w:cs="Arial" w:eastAsia="Arial" w:hAnsi="Arial"/>
                <w:sz w:val="17"/>
                <w:szCs w:val="17"/>
                <w:color w:val="auto"/>
              </w:rPr>
              <w:t>(1.1)</w:t>
            </w: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416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rPr>
              <w:t>0.3</w:t>
            </w:r>
          </w:p>
        </w:tc>
        <w:tc>
          <w:tcPr>
            <w:tcW w:w="15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0.4</w:t>
            </w:r>
          </w:p>
        </w:tc>
      </w:tr>
      <w:tr>
        <w:trPr>
          <w:trHeight w:val="210"/>
        </w:trPr>
        <w:tc>
          <w:tcPr>
            <w:tcW w:w="5560" w:type="dxa"/>
            <w:vAlign w:val="bottom"/>
          </w:tcPr>
          <w:p>
            <w:pPr>
              <w:ind w:left="140"/>
              <w:spacing w:after="0"/>
              <w:rPr>
                <w:sz w:val="20"/>
                <w:szCs w:val="20"/>
                <w:color w:val="auto"/>
              </w:rPr>
            </w:pPr>
            <w:r>
              <w:rPr>
                <w:rFonts w:ascii="Arial" w:cs="Arial" w:eastAsia="Arial" w:hAnsi="Arial"/>
                <w:sz w:val="17"/>
                <w:szCs w:val="17"/>
                <w:color w:val="auto"/>
              </w:rPr>
              <w:t>Earnings before income taxes</w:t>
            </w:r>
          </w:p>
        </w:tc>
        <w:tc>
          <w:tcPr>
            <w:tcW w:w="4160" w:type="dxa"/>
            <w:vAlign w:val="bottom"/>
          </w:tcPr>
          <w:p>
            <w:pPr>
              <w:jc w:val="right"/>
              <w:ind w:right="257"/>
              <w:spacing w:after="0"/>
              <w:rPr>
                <w:sz w:val="20"/>
                <w:szCs w:val="20"/>
                <w:color w:val="auto"/>
              </w:rPr>
            </w:pPr>
            <w:r>
              <w:rPr>
                <w:rFonts w:ascii="Arial" w:cs="Arial" w:eastAsia="Arial" w:hAnsi="Arial"/>
                <w:sz w:val="17"/>
                <w:szCs w:val="17"/>
                <w:color w:val="auto"/>
              </w:rPr>
              <w:t>15.6</w:t>
            </w:r>
          </w:p>
        </w:tc>
        <w:tc>
          <w:tcPr>
            <w:tcW w:w="1520" w:type="dxa"/>
            <w:vAlign w:val="bottom"/>
          </w:tcPr>
          <w:p>
            <w:pPr>
              <w:jc w:val="right"/>
              <w:ind w:right="117"/>
              <w:spacing w:after="0"/>
              <w:rPr>
                <w:sz w:val="20"/>
                <w:szCs w:val="20"/>
                <w:color w:val="auto"/>
              </w:rPr>
            </w:pPr>
            <w:r>
              <w:rPr>
                <w:rFonts w:ascii="Arial" w:cs="Arial" w:eastAsia="Arial" w:hAnsi="Arial"/>
                <w:sz w:val="17"/>
                <w:szCs w:val="17"/>
                <w:color w:val="auto"/>
              </w:rPr>
              <w:t>11.2</w:t>
            </w: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41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(2.9)</w:t>
            </w:r>
          </w:p>
        </w:tc>
        <w:tc>
          <w:tcPr>
            <w:tcW w:w="15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(2.1)</w:t>
            </w:r>
          </w:p>
        </w:tc>
      </w:tr>
      <w:tr>
        <w:trPr>
          <w:trHeight w:val="210"/>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41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12.7 %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9.1 %</w:t>
            </w: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for the first quarter of fiscal 2021 was $315.0 million, up 9.4 percent compared to $288.1 million in the first quarter of fiscal 2020. Gross margin was 36.1 percent for the first quarter of fiscal 2021 compared to 37.5 percent for the first quarter of fiscal 2020, a decrease of 140 basis points. Non-GAAP gross profit for the first quarter of fiscal 2021 was $315.0 million, up 9.2 percent compared to $288.6 million in the first quarter of fiscal 2020. Non-GAAP gross margin was 36.1 percent for the first quarter of fiscal 2021 compared to 37.6 percent for the first quarter of fiscal 2020, a decrease of 150 basis points. The decrease in gross margin and non-GAAP gross margin for the first quarter comparison was primarily due to manufacturing cost pressures and unfavorable product mix, partially offset by the favorable impact of strategic productivity and synergy initiatives and net price realization.</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gross profit and non-GAAP gross margin exclude the impact of acquisition-related costs related to our acquisition of The Charles Machine Works, Inc. ("CMW"), including charges incurred for the take-down of the inventory fair value step-up amounts resulting from purchase accounting adjustments. Reconciliations of non-GAAP financial measures to the most directly comparable reported U.S. GAAP financial measures are included in the section titled "Non-GAAP Financial Measures" within this MD&amp;A.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 decreased $23.4 million, or 11.9 percent, for the first quarter of fiscal 2021. As a percentage of net sales, SG&amp;A expense decreased 570 basis points for the first quarter of fiscal 2021. The decrease in SG&amp;A expense as a percentage of net sales for the first quarter comparison was primarily the result of leveraging expense over higher sales volumes, which further benefited from a favorable net legal settlement with Briggs &amp; Stratton Corporation (“BGG”) and decreased indirect marketing expenses as a result of reduced meeting, travel, and entertainment costs due to COVID-19 safety measures and restrictions.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$0.6 million for the first quarter of fiscal 2021 compared to the first quarter of fiscal 2020. This decrease was driven by the reduction in LIBOR, partially offset by higher average outstanding borrowings under our debt arrangements.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first quarter of fiscal 2021 decreased $1.3 million compared to the first quarter of fiscal 2020. This decrease was primarily due to lower income from our Red Iron joint venture as a result of lower field inventory levels and increased inventory turnover at our channel partners due to strong retail demand during the first quarter of fiscal 2021 as compared to the first quarter of fiscal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for the first quarter of fiscal 2021 was 18.1 percent compared to 18.6 percent in the first quarter of fiscal 2020. This decrease was the result of a higher level of favorable discrete tax benefits realized during the first quarter of fiscal 2021 as compared to the first quarter of fiscal 2020, including the excess tax deduction for share-based compensation.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non-GAAP effective tax rate for the first quarter of fiscal 2021 was 21.5 percent, compared to a non-GAAP effective tax rate of 21.0 percent in the first quarter of fiscal 2020. The increase was the result of the geographic mix of earnings before income taxes. The non-GAAP effective tax rate excludes the impact of discrete tax benefits recorded as excess tax deductions for share-based compensation. Reconciliations of non-GAAP financial measures to the most directly comparable reported U.S. GAAP financial measures are included in the section titled "Non-GAAP Financial Measures."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earnings for the first quarter of fiscal 2021 were $111.3 million, or $1.02 per diluted share, compared to $70.1 million, or $0.65 per diluted share, for the first quarter of fiscal 2020. This increase was primarily driven by higher sales volumes, a favorable net legal settlement with BGG, and the favorable impact of strategic productivity and synergy initiatives, partially offset by manufacturing cost pressures and unfavorable product mix.</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earnings for the first quarter of fiscal 2021 were $93.2 million, or $0.85 per diluted share, compared to $69.7 million, or $0.64 per diluted share, for the first quarter of fiscal 2020, an increase of 32.8 percent per diluted share. This increase in non-GAAP net earnings was primarily driven by higher sales volumes and the favorable impact of strategic productivity and synergy initiatives, partially offset by manufacturing cost pressures and unfavorable product mix. Non-GAAP net earnings and non-GAAP net earnings per diluted share exclude the impact of the favorable net legal settlement with BGG, the impact of discrete tax benefits recorded as excess tax deductions for share-based compensation, and acquisition-related costs related to our acquisitions of Venture Products and CMW. Reconciliations of non-GAAP financial measures to the most directly comparable reported U.S. GAAP financial measures are included in the section titled "Non-GAAP Financial Measures" within this MD&amp;A.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operate in two reportable business segments: Professional and Residential. Segment earnings for our Professional and Residential segments are defined as earnings from operations plus other income, net. Our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during the first quarter of fiscal 2021, we completed the sale of our Northeastern U.S. distribution company. As a result, for the three month period ended January 29, 2021, operating loss for our Other activities included earnings (loss) from our wholly-owned domestic distribution company, Red Iron join venture, corporate activities, other income, and interest expense. For the three month period ended January 31, 2020, operating loss for our Other activities included earnings (loss) from our wholly-owned domestic distribution companies, Red Iron joint venture, corporate activities, other income, and interest expense. Corporate activities include general corporate expenditures (finance, human resources, legal, information services, public relations, and similar activities) and other unallocated corporate assets and liabilities, such as corporate facilities and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net sales for our reportable business segments and Other activities: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center"/>
              <w:ind w:right="217"/>
              <w:spacing w:after="0"/>
              <w:rPr>
                <w:sz w:val="20"/>
                <w:szCs w:val="20"/>
                <w:color w:val="auto"/>
              </w:rPr>
            </w:pPr>
            <w:r>
              <w:rPr>
                <w:rFonts w:ascii="Arial" w:cs="Arial" w:eastAsia="Arial" w:hAnsi="Arial"/>
                <w:sz w:val="17"/>
                <w:szCs w:val="17"/>
                <w:b w:val="1"/>
                <w:bCs w:val="1"/>
                <w:color w:val="auto"/>
                <w:w w:val="90"/>
              </w:rPr>
              <w:t>Three Months Ended</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800" w:type="dxa"/>
            <w:vAlign w:val="bottom"/>
            <w:gridSpan w:val="2"/>
            <w:vMerge w:val="restart"/>
          </w:tcPr>
          <w:p>
            <w:pPr>
              <w:jc w:val="right"/>
              <w:ind w:right="17"/>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w w:val="98"/>
              </w:rPr>
              <w:t>January 31, 2020</w:t>
            </w:r>
          </w:p>
        </w:tc>
        <w:tc>
          <w:tcPr>
            <w:tcW w:w="240" w:type="dxa"/>
            <w:vAlign w:val="bottom"/>
          </w:tcPr>
          <w:p>
            <w:pPr>
              <w:spacing w:after="0"/>
              <w:rPr>
                <w:sz w:val="13"/>
                <w:szCs w:val="13"/>
                <w:color w:val="auto"/>
              </w:rPr>
            </w:pPr>
          </w:p>
        </w:tc>
        <w:tc>
          <w:tcPr>
            <w:tcW w:w="1320" w:type="dxa"/>
            <w:vAlign w:val="bottom"/>
          </w:tcPr>
          <w:p>
            <w:pPr>
              <w:jc w:val="right"/>
              <w:ind w:right="477"/>
              <w:spacing w:after="0" w:line="158" w:lineRule="exact"/>
              <w:rPr>
                <w:sz w:val="20"/>
                <w:szCs w:val="20"/>
                <w:color w:val="auto"/>
              </w:rPr>
            </w:pPr>
            <w:r>
              <w:rPr>
                <w:rFonts w:ascii="Arial" w:cs="Arial" w:eastAsia="Arial" w:hAnsi="Arial"/>
                <w:sz w:val="17"/>
                <w:szCs w:val="17"/>
                <w:b w:val="1"/>
                <w:bCs w:val="1"/>
                <w:color w:val="auto"/>
              </w:rPr>
              <w:t>Dollar</w:t>
            </w:r>
          </w:p>
        </w:tc>
        <w:tc>
          <w:tcPr>
            <w:tcW w:w="1580" w:type="dxa"/>
            <w:vAlign w:val="bottom"/>
            <w:vMerge w:val="restart"/>
          </w:tcPr>
          <w:p>
            <w:pPr>
              <w:jc w:val="right"/>
              <w:ind w:right="17"/>
              <w:spacing w:after="0"/>
              <w:rPr>
                <w:sz w:val="20"/>
                <w:szCs w:val="20"/>
                <w:color w:val="auto"/>
              </w:rPr>
            </w:pPr>
            <w:r>
              <w:rPr>
                <w:rFonts w:ascii="Arial" w:cs="Arial" w:eastAsia="Arial" w:hAnsi="Arial"/>
                <w:sz w:val="17"/>
                <w:szCs w:val="17"/>
                <w:b w:val="1"/>
                <w:bCs w:val="1"/>
                <w:color w:val="auto"/>
                <w:w w:val="91"/>
              </w:rPr>
              <w:t>Percentage Change</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vMerge w:val="continue"/>
          </w:tcPr>
          <w:p>
            <w:pPr>
              <w:spacing w:after="0"/>
              <w:rPr>
                <w:sz w:val="18"/>
                <w:szCs w:val="18"/>
                <w:color w:val="auto"/>
              </w:rPr>
            </w:pPr>
          </w:p>
        </w:tc>
        <w:tc>
          <w:tcPr>
            <w:tcW w:w="2800" w:type="dxa"/>
            <w:vAlign w:val="bottom"/>
            <w:tcBorders>
              <w:bottom w:val="single" w:sz="8" w:color="auto"/>
            </w:tcBorders>
            <w:gridSpan w:val="2"/>
            <w:vMerge w:val="continue"/>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90"/>
              </w:rPr>
              <w:t>Value Change</w:t>
            </w: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8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650,223</w:t>
            </w:r>
          </w:p>
        </w:tc>
        <w:tc>
          <w:tcPr>
            <w:tcW w:w="5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594,721</w:t>
            </w:r>
          </w:p>
        </w:tc>
        <w:tc>
          <w:tcPr>
            <w:tcW w:w="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55,502</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8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217,700</w:t>
            </w:r>
          </w:p>
        </w:tc>
        <w:tc>
          <w:tcPr>
            <w:tcW w:w="50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165,848</w:t>
            </w:r>
          </w:p>
        </w:tc>
        <w:tc>
          <w:tcPr>
            <w:tcW w:w="24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51,852</w:t>
            </w:r>
          </w:p>
        </w:tc>
        <w:tc>
          <w:tcPr>
            <w:tcW w:w="1580" w:type="dxa"/>
            <w:vAlign w:val="bottom"/>
          </w:tcPr>
          <w:p>
            <w:pPr>
              <w:jc w:val="right"/>
              <w:ind w:right="117"/>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5,063</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6,914</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(1,851)</w:t>
            </w: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8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872,986</w:t>
            </w:r>
          </w:p>
        </w:tc>
        <w:tc>
          <w:tcPr>
            <w:tcW w:w="5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767,483</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105,503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*Includes international net sales of:</w:t>
            </w:r>
          </w:p>
        </w:tc>
        <w:tc>
          <w:tcPr>
            <w:tcW w:w="18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191,681</w:t>
            </w:r>
          </w:p>
        </w:tc>
        <w:tc>
          <w:tcPr>
            <w:tcW w:w="5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175,835</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15,846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segment earnings for our reportable business segments and operating (loss) for our Other activities: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7"/>
                <w:szCs w:val="17"/>
                <w:b w:val="1"/>
                <w:bCs w:val="1"/>
                <w:color w:val="auto"/>
                <w:w w:val="90"/>
              </w:rPr>
              <w:t>Three Months Ended</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318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January 29, 2021</w:t>
            </w:r>
          </w:p>
        </w:tc>
        <w:tc>
          <w:tcPr>
            <w:tcW w:w="148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w w:val="96"/>
              </w:rPr>
              <w:t>January 31, 2020</w:t>
            </w:r>
          </w:p>
        </w:tc>
        <w:tc>
          <w:tcPr>
            <w:tcW w:w="220" w:type="dxa"/>
            <w:vAlign w:val="bottom"/>
          </w:tcPr>
          <w:p>
            <w:pPr>
              <w:spacing w:after="0"/>
              <w:rPr>
                <w:sz w:val="13"/>
                <w:szCs w:val="13"/>
                <w:color w:val="auto"/>
              </w:rPr>
            </w:pPr>
          </w:p>
        </w:tc>
        <w:tc>
          <w:tcPr>
            <w:tcW w:w="1300" w:type="dxa"/>
            <w:vAlign w:val="bottom"/>
          </w:tcPr>
          <w:p>
            <w:pPr>
              <w:jc w:val="right"/>
              <w:ind w:right="457"/>
              <w:spacing w:after="0" w:line="158" w:lineRule="exact"/>
              <w:rPr>
                <w:sz w:val="20"/>
                <w:szCs w:val="20"/>
                <w:color w:val="auto"/>
              </w:rPr>
            </w:pPr>
            <w:r>
              <w:rPr>
                <w:rFonts w:ascii="Arial" w:cs="Arial" w:eastAsia="Arial" w:hAnsi="Arial"/>
                <w:sz w:val="17"/>
                <w:szCs w:val="17"/>
                <w:b w:val="1"/>
                <w:bCs w:val="1"/>
                <w:color w:val="auto"/>
              </w:rPr>
              <w:t>Dollar</w:t>
            </w:r>
          </w:p>
        </w:tc>
        <w:tc>
          <w:tcPr>
            <w:tcW w:w="1600" w:type="dxa"/>
            <w:vAlign w:val="bottom"/>
            <w:vMerge w:val="restart"/>
          </w:tcPr>
          <w:p>
            <w:pPr>
              <w:ind w:left="140"/>
              <w:spacing w:after="0"/>
              <w:rPr>
                <w:sz w:val="20"/>
                <w:szCs w:val="20"/>
                <w:color w:val="auto"/>
              </w:rPr>
            </w:pPr>
            <w:r>
              <w:rPr>
                <w:rFonts w:ascii="Arial" w:cs="Arial" w:eastAsia="Arial" w:hAnsi="Arial"/>
                <w:sz w:val="17"/>
                <w:szCs w:val="17"/>
                <w:b w:val="1"/>
                <w:bCs w:val="1"/>
                <w:color w:val="auto"/>
                <w:w w:val="90"/>
              </w:rPr>
              <w:t>Percentage Change</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vMerge w:val="continue"/>
          </w:tcPr>
          <w:p>
            <w:pPr>
              <w:spacing w:after="0"/>
              <w:rPr>
                <w:sz w:val="18"/>
                <w:szCs w:val="18"/>
                <w:color w:val="auto"/>
              </w:rPr>
            </w:pPr>
          </w:p>
        </w:tc>
        <w:tc>
          <w:tcPr>
            <w:tcW w:w="3180" w:type="dxa"/>
            <w:vAlign w:val="bottom"/>
            <w:tcBorders>
              <w:bottom w:val="single" w:sz="8" w:color="auto"/>
            </w:tcBorders>
            <w:gridSpan w:val="2"/>
            <w:vMerge w:val="continue"/>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0"/>
              </w:rPr>
              <w:t>Value Change</w:t>
            </w: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220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116,816</w:t>
            </w:r>
          </w:p>
        </w:tc>
        <w:tc>
          <w:tcPr>
            <w:tcW w:w="48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102,474</w:t>
            </w: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14,342</w:t>
            </w:r>
          </w:p>
        </w:tc>
        <w:tc>
          <w:tcPr>
            <w:tcW w:w="1600" w:type="dxa"/>
            <w:vAlign w:val="bottom"/>
            <w:shd w:val="clear" w:color="auto" w:fill="CCEEFF"/>
          </w:tcPr>
          <w:p>
            <w:pPr>
              <w:ind w:left="1100"/>
              <w:spacing w:after="0"/>
              <w:rPr>
                <w:sz w:val="20"/>
                <w:szCs w:val="20"/>
                <w:color w:val="auto"/>
              </w:rPr>
            </w:pPr>
            <w:r>
              <w:rPr>
                <w:rFonts w:ascii="Arial" w:cs="Arial" w:eastAsia="Arial" w:hAnsi="Arial"/>
                <w:sz w:val="17"/>
                <w:szCs w:val="17"/>
                <w:color w:val="auto"/>
                <w:w w:val="90"/>
              </w:rPr>
              <w:t>14.0 %</w:t>
            </w: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220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32,108</w:t>
            </w:r>
          </w:p>
        </w:tc>
        <w:tc>
          <w:tcPr>
            <w:tcW w:w="4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21,566</w:t>
            </w:r>
          </w:p>
        </w:tc>
        <w:tc>
          <w:tcPr>
            <w:tcW w:w="22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10,542</w:t>
            </w:r>
          </w:p>
        </w:tc>
        <w:tc>
          <w:tcPr>
            <w:tcW w:w="1600" w:type="dxa"/>
            <w:vAlign w:val="bottom"/>
          </w:tcPr>
          <w:p>
            <w:pPr>
              <w:ind w:left="110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(13,098)</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(37,901)</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24,803</w:t>
            </w:r>
          </w:p>
        </w:tc>
        <w:tc>
          <w:tcPr>
            <w:tcW w:w="16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22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135,826</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86,139</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49,687</w:t>
            </w:r>
          </w:p>
        </w:tc>
        <w:tc>
          <w:tcPr>
            <w:tcW w:w="160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w w:val="90"/>
              </w:rPr>
              <w:t>57.7 %</w:t>
            </w:r>
          </w:p>
        </w:tc>
        <w:tc>
          <w:tcPr>
            <w:tcW w:w="0" w:type="dxa"/>
            <w:vAlign w:val="bottom"/>
          </w:tcPr>
          <w:p>
            <w:pPr>
              <w:spacing w:after="0"/>
              <w:rPr>
                <w:sz w:val="1"/>
                <w:szCs w:val="1"/>
                <w:color w:val="auto"/>
              </w:rPr>
            </w:pP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Worldwide net sales for our Professional segment for the first quarter of fiscal 2021 increased 9.3 percent compared to the first quarter of fiscal 2020. This increase was primarily driven by increased shipments of landscape contractor zero-turn riding mowers due to continued strong retail demand and low field inventory levels at the end of fiscal 2020, as well as incremental net sales as a result of our acquisition of Venture Products. The net sales increase was partially offset by fewer sales of underground construction equipment as a result of decreased retail demand in the oil and gas industry and timing of international shipments of golf and grounds equipment.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segment earnings for the first quarter of fiscal 2021 increased 14.0 percent compared to the first quarter of fiscal 2020, and when expressed as a percentage of net sales, increased to 18.0 percent from 17.2 percent. As a percentage of net sales, the Professional segment earnings increase was primarily driven by reduced SG&amp;A expense as a percentage of net sales due to leveraging expense over higher sales volumes, as well as the favorable impact of strategic productivity and synergy initiatives and net price realization, partially offset by manufacturing cost pressures and unfavorable product mix.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Worldwide net sales for our Residential segment for the first quarter of fiscal 2021 increased 31.3 percent compared to the first quarter of fiscal 2020. This increase was mainly driven by strong retail demand for snow products as a result of favorable winter conditions in key regions, increased sales of Flex-Force battery-powered products primarily due to successful new product introductions; and increased shipments of walk power mowers ahead of our key selling season driven by continued strong channel and retail demand.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Residential segment earnings for the first quarter of fiscal 2021 increased 48.9 percent compared to the first quarter of fiscal 2020, and when expressed as a percentage of net sales, increased to 14.7 percent from 13.0 percent. As a percentage of net sales, the Residential segment net earnings increase for the first quarter was driven by reduced SG&amp;A expense as a percentage of net sales due to leveraging expense over higher sales volumes, as well as the favorable impact of strategic productivity and synergy initiatives and net price realization, partially offset by manufacturing cost pressures and unfavorable product mix.</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 Sales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quarter of fiscal 2021, net sales for our Other activities included sales from our wholly-owned domestic distribution company less sales from the Professional and Residential segments to the distribution company. For the first quarter of fiscal 2020, net sales for our Other activities included sales from our wholly-owned domestic distribution companies less sales from the Professional and Residential segments to the distribution companies. Net sales for our Other activities in the first quarter of fiscal 2021 decreased by $1.9 million compared to the first quarter of fiscal 2020 due to the sale of our Northeastern U.S. distribution company during the first quarter of fiscal 2021, which was partially offset by increased sales for our remaining wholly-owned domestic distribution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operating loss for our Other activities for the first quarter of fiscal 2021 decreased $24.8 million compared to the first quarter of fiscal 2020. This operating loss decrease was primarily driven by a favorable net legal settlement with BGG, reduced expenses incurred as a result of the sale of our Northeastern U.S. distribution company during the first quarter of fiscal 2021, and reduced interest expense on our outstanding borrowings as a result of the reduction in LIBOR. For additional information regarding the favorable net legal settlement with BGG, refer to Note 15, </w:t>
      </w:r>
      <w:r>
        <w:rPr>
          <w:rFonts w:ascii="Arial" w:cs="Arial" w:eastAsia="Arial" w:hAnsi="Arial"/>
          <w:sz w:val="17"/>
          <w:szCs w:val="17"/>
          <w:i w:val="1"/>
          <w:iCs w:val="1"/>
          <w:color w:val="auto"/>
        </w:rPr>
        <w:t>Contingencies</w:t>
      </w:r>
      <w:r>
        <w:rPr>
          <w:rFonts w:ascii="Arial" w:cs="Arial" w:eastAsia="Arial" w:hAnsi="Arial"/>
          <w:sz w:val="17"/>
          <w:szCs w:val="17"/>
          <w:color w:val="auto"/>
        </w:rPr>
        <w:t>, within the Notes to Condensed Consolidated Financial Statements included within Part I of this Quarterly Report on Form 10-Q.</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working capital strategy continues to place emphasis on improving asset utilization with a focus on reducing the amount of working capital in the supply chain, adjusting production plans, and maintaining or improving order replenishment and service levels to end-users. Accounts receivable as of the end of the first quarter of fiscal 2021 decreased $14.3 million, or 4.5 percent, compared to the end of the first quarter of fiscal 2020, primarily due to lower receivables within our international distribution network due to decreased sales in key regions during the fourth quarter of fiscal 2020, as well as a lower receivable from our Red Iron joint venture as a result of lower sales financed under the joint venture near quarter-end within our Professional segment. The decrease was partially offset by higher receivables from the mass retail channel of our Residential segment due to increased sales during the first quarter of fiscal 2021. Inventory levels were down $63.7 million, or 8.6 percent, as of the end of the first quarter of fiscal 2021 compared to the end of the first quarter of fiscal 2020, primarily due to lower finished goods inventories in certain of our Professional segment businesses as a result of increased demand for our products. Accounts payable increased $16.4 million, or 4.7 percent, as of the end of the first quarter of fiscal 2021 compared to the end of the first quarter of fiscal 2020, mainly due to increased purchases of component parts inventories, as well as incremental payables as a result of our acquisition of Venture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first three months of fiscal 2021 was $95.0 million compared to cash used in operating activities for the first three months of fiscal 2020 of $23.3 million. This increase was primarily due to less cash utilized for inventory purchases as a result of strong demand for our products, which exceeded our procurement of commodities, components, parts, and accessories, as well as higher net earnings that were partially driven by a favorable legal settlement with BGG.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decreased $9.7 million during the first three months of fiscal 2021 compared to the first three months of fiscal 2020. This decrease was primarily due to cash proceeds from the sale of a Northeastern U.S. distribution company, partially offset by cash used for an immaterial asset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financing activities for the first three months of fiscal 2021 increased $135.5 million compared to the first three months of fiscal 2020. This increase was mainly due to lower borrowings under our debt arrangements, higher repayments of outstanding indebtedness, and the resumption of repurchases of shares of our common stock under our Board authorized repurchase program in the first three months of fiscal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fund cash requirements for working capital needs, capital expenditures, acquisitions, investments, debt repayments, interest payments, quarterly cash dividend payments, and common stock repurchases, all as applicable, through cash provided by operating activities, availability under our existing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We currently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January 29, 2021, we had available liquidity of approximately $1,030.9 million, consisting of cash and cash equivalents of approximately $433.4 million, of which approximately $108.9 million was held by our foreign subsidiaries, and availability under our revolving credit facility of $597.5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indebtedness: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8"/>
              </w:rPr>
              <w:t>January 31, 2020</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October 31, 2020</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$200 million term loan</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18"/>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$300 million term loan</w:t>
            </w: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180,000</w:t>
            </w: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$190 million term loan</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90,000</w:t>
            </w:r>
          </w:p>
        </w:tc>
      </w:tr>
      <w:tr>
        <w:trPr>
          <w:trHeight w:val="218"/>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3.81% series A senior notes</w:t>
            </w: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3.91% series B senior notes</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18"/>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7.8% debentures</w:t>
            </w: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6.625% senior notes</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123,993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123,931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123,978</w:t>
            </w:r>
          </w:p>
        </w:tc>
      </w:tr>
      <w:tr>
        <w:trPr>
          <w:trHeight w:val="216"/>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unamortized discounts, debt issuance costs, and deferred charges</w:t>
            </w:r>
          </w:p>
        </w:tc>
        <w:tc>
          <w:tcPr>
            <w:tcW w:w="1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2,645</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w:t>
            </w:r>
          </w:p>
        </w:tc>
      </w:tr>
      <w:tr>
        <w:trPr>
          <w:trHeight w:val="210"/>
        </w:trPr>
        <w:tc>
          <w:tcPr>
            <w:tcW w:w="5740" w:type="dxa"/>
            <w:vAlign w:val="bottom"/>
          </w:tcPr>
          <w:p>
            <w:pPr>
              <w:ind w:left="140"/>
              <w:spacing w:after="0"/>
              <w:rPr>
                <w:sz w:val="20"/>
                <w:szCs w:val="20"/>
                <w:color w:val="auto"/>
              </w:rPr>
            </w:pPr>
            <w:r>
              <w:rPr>
                <w:rFonts w:ascii="Arial" w:cs="Arial" w:eastAsia="Arial" w:hAnsi="Arial"/>
                <w:sz w:val="17"/>
                <w:szCs w:val="17"/>
                <w:color w:val="auto"/>
              </w:rPr>
              <w:t>Total long-term debt</w:t>
            </w:r>
          </w:p>
        </w:tc>
        <w:tc>
          <w:tcPr>
            <w:tcW w:w="110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701,348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714,919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791,123</w:t>
            </w:r>
          </w:p>
        </w:tc>
      </w:tr>
      <w:tr>
        <w:trPr>
          <w:trHeight w:val="216"/>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w:t>
            </w:r>
          </w:p>
        </w:tc>
        <w:tc>
          <w:tcPr>
            <w:tcW w:w="1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9,992</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113,903</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99,873</w:t>
            </w:r>
          </w:p>
        </w:tc>
      </w:tr>
      <w:tr>
        <w:trPr>
          <w:trHeight w:val="21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Long-term debt, less current portion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691,356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601,016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691,250</w:t>
            </w:r>
          </w:p>
        </w:tc>
      </w:tr>
      <w:tr>
        <w:trPr>
          <w:trHeight w:val="22"/>
        </w:trPr>
        <w:tc>
          <w:tcPr>
            <w:tcW w:w="5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long-term debt, our domestic and non-U.S. operations maintain credit lines for import letters of credit during the normal course of business, as required by some vendor contracts. Collectively, these import letters of credit had a maximum availability of $14.2 million and $13.1 million as of January 29, 2021 and January 31, 2020, respectively. We had $3.9 million and $3.5 million outstanding on such import letters of credit as of January 29, 2021 and January 31,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Seasonal cash requirements are financed with cash flow from operations, cash on hand, and borrowings under our $600.0 million revolving credit facility that expires in June 2023, as applicable. The revolving credit facility includes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our debt rating. Swingline loans under the revolving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our debt rating. Interest is payable quarterly in arrears. Our debt rating for long-term unsecured senior, non-credit enhanced debt was unchanged during the first quarter of fiscal 2021 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For the three month period ended January 29, 2021, no interest expense was incurred on our revolving credit facility as we did not have outstanding borrowings during such period. For the three month period ended January 31, 2020, we incurred interest expense of approximately $0.1 million on the outstanding borrowings under our revolving credit facility.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January 29, 2021, we were not limited in the amount for payments of cash dividends and common stock repurchases. We were in compliance with all covenants related to the credit agreement for our revolving credit facility as of January 29, 2021, and we expect to be in compliance with all covenants during the remainder of fiscal 2021.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29, 2021, we had no borrowings outstanding under the revolving credit facility and $2.5 million outstanding under the sublimit for standby letters of credit, resulting in $597.5 million of unutilized availability under our revolving credit facility. As of January 31, 2020, we had $14.0 million of borrowings outstanding under the revolving credit facility and $1.9 million outstanding under the sublimit for standby letters of credit, resulting in $584.1 million of unutilized availability under our revolving credit facility. As of October 31, 2020, we had no borrowings outstanding under the revolving credit facility and $2.5 million outstanding under the sublimit for standby letters of credit, resulting in $597.5 million of unutilized availability under our revolving credit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$500.0 Million Term Loan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we entered into a term loan credit agreement with a syndicate of financial institutions for the purpose of partially funding the purchase price of the acquisition of CMW and the related fees and expenses incurred in connection with such acquisition. The term loan credit agreement provided for a $200.0 million three-year unsecured senior term loan facility maturing on April 1, 2022 and a $300.0 million five-year unsecured senior term loan facility maturing on April 1, 2024 (collectively, the "$500.0 million term loan"). The funds under the $500.0 million term loan were received on the CMW closing date.</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no scheduled principal amortization payments prior to maturity on the $200.0 million three-year unsecured senior term loan facility. For the $300.0 million five-year unsecured senior term loan facility, we are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five-year unsecured senior term loan facility. The term loan facilities may be prepaid and terminated at our election at any time without penalty or premium. Amounts repaid or prepaid may not be reborrowed. As of January 29, 2021, January 31, 2020, and October 31, 2020, we had prepaid $100.0 million and $120.0 million of the outstanding principal balances of the $200.0 million three-year unsecured senior term loan facility and $300.0 million five-year unsecured senior term loan facility, respectively. Thus, as of January 29, 2021, there was $100.0 million and $180.0 million outstanding under the $200.0 million three-year unsecured senior term loan facility and the $300.0 million five-year unsecured senior term loan facility, respectively. As of January 29, 2021, we have reclassified $10.0 million of the outstanding principal balance of the $300.0 million five-year unsecured senior term loan facility, net of the related proportionate share of deferred debt issuance costs, to current portion of long-term debt within the Condensed Consolidated Balance Sheets as this is the amount we intend to repay utilizing anticipated cash flows from operations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Outstanding borrowings under the $500.0 million term loan bear interest at a variable rate generally based on LIBOR or an alternative variable rate, based on the highest of the Bank of America prime rate, the federal funds rate, or a rate generally based on LIBOR, in each case subject to an additional basis point spread as defined in the $500.0 million term loan. Interest is payable quarterly in arrears. For the three month periods ended January 29, 2021 and January 31, 2020, we incurred interest expense of $0.9 million and $1.9 million, respectively, on the outstanding borrowings under the $500.0 million term loan.</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$500.0 million term loan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$500.0 million term loan,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January 29, 2021, we were in compliance with all covenants related to our $500.0 million term loan and were not limited in the amount for payments of cash dividends and common stock repurchases. We expect to be in compliance with all covenants related to our $500.0 million term loan during the remainder of fiscal 2021. If we were out of compliance with any covenant required by the $500.0 million term loan credit agreement following the applicable cure period, our term loan facilities, long-term senior notes, debentures, and any amounts outstanding under the revolving credit facility could become due and payable if we were unable to obtain a covenant waiver or refinance our borrowings under our $500.0 million term loan credit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$190.0 Million Term Loan Credit Agreement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30, 2020, we entered into a $190.0 million term loan credit agreement ("$190.0 million term loan") with certain financial institutions for the purpose of refinancing certain of our outstanding borrowings incurred in connection with the acquisition of Venture Products on March 2, 2020, as well as a precautionary measure to increase our liquidity and preserve financial flexibility in light of the uncertainty in the global financial and commercial markets as a result of COVID-19. The $190.0 million term loan provided for a $190.0 million three-year unsecured senior term loan facility maturing on June 19, 2023. The $190.0 million term loan may be prepaid and terminated at our election at any time without penalty or premium. Amounts repaid or prepaid may not be reborrowed. During the three month period ended January 29, 2021, we repaid the remaining $90.0 million outstanding principal balance of the $190.0 million term loan and recognized expense of $0.1 million associated with the accelerated amortization of the remaining unamortized debt issuance costs. As a result of the repayment there were no outstanding borrowings under the $190.0 million term loan as of January 29, 2021.</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borrowings under the $190.0 million term loan bear interest at a variable rate based on LIBOR or an alternative variable rate with a minimum rate of 0.75 percent, subject to an additional basis point spread as defined in the term loan credit agreement. Interest is payable quarterly in arrears. For the three month period ended January 29, 2021, we incurred interest expense of approximately $0.3 million on the outstanding borrowings under the $190.0 million term loan.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3.81% Series A and 3.91% Series B Senior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2019, we entered into a private placement note purchase agreement with certain purchasers ("holders") pursuant to which we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our unsecured senior obligations.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 principal is due on the Senior Notes prior to their stated due dates. 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We incurred interest expense of approximately $1.9 million on the Senior Notes for the three month periods ended January 29, 2021 and January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private placement note purchase agreement contains customary representations and warranties,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January 29, 2021, we were not limited in the amount for payments of cash dividends and common stock repurchases. We were in compliance with all covenants related to the private placement note purchase agreement as of January 29, 2021 and we expect to be in compliance with all covenants during the remainder of fiscal 2021. If we were out of compliance with any covenant required by this private placement note purchase agreement following the applicable cure period, our term loan facilities, long-term senior notes, debentures, and any amounts outstanding under the revolving credit facility would become due and payable if we were unable to obtain a covenant waiver or refinance our borrowings under our private placement note purchase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7.8% Debentures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1997, we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we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we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 Interest on the debentures is payable semiannually on the 15th day of June and December in each year. We incurred interest expense of $2.0 million for the three month periods ended January 29, 2021 and January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6.625% Senior Notes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26, 2007, we issued $125.0 million in aggregate principal amount of 6.625 percent senior notes due May 1, 2037 and priced at 98.513 percent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our unsecured senior obligations and rank equally with our other unsecured and unsubordinated indebtedness. The indentures under which the senior notes were issued contain customary covenants and event of default provisions. We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we would be required to make an offer to purchase the senior notes at a price equal to 101 percent of the principal amount of the senior notes plus accrued and unpaid interest to the date of repurchase. Interest on the senior notes is payable semiannually on the 1st day of May and November in each year. We incurred interest expense of $2.1 million for the three month periods ended January 29, 2021 and January 31,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approved a cash dividend of $0.2625 per share for the first quarter of fiscal 2021 that was paid on January 13, 2021. This was an increase of 5.0 percent over our cash dividend of $0.25 per share for the first quarter of fiscal 2020. We currently expect to continue paying our quarterly cash dividend to shareholders for the remainder of fiscal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three months of fiscal 2021, we repurchased 332,878 shares of our common stock in the open market under our Board authorized repurchase program, thereby reducing our total shares outstanding. As of January 29, 2021, 6,709,378 shares remained available for repurchase under our Board authorized repurchase program. We currently expect to continue repurchasing shares of our common stock throughout the remainder of fiscal 2021, depending on our cash balance, debt repayments, market conditions, our anticipated working capital needs, and/or other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customer financing arrangements, including both wholesale financing and end-user financing arrangements, are described in further detail within our most recently filed Annual Report on Form 10-K. There have been no material changes to our end-user customer financing arrangements during the first three months of fiscal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a joint venture with TCF Inventory Finance, Inc. ("TCFIF"), established as Red Iron, a subsidiary of TCF National Bank, the primary purpose of which is to provide inventory financing to certain distributors and dealers of certain of our products in the U.S. that enables them to carry representative inventories of certain of our products. The net amount of receivables financed for dealers and distributors under this arrangement for the three month period ended January 29, 2021 and January 31, 2020 was $511.3 million and $405.1 million, respectively.</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These third-party financial institutions financed $92.6 million and $87.1 million of receivables for such dealers and distributors during the three month periods ended January 29, 2021 and January 31, 2020, respectively. As of January 29, 2021 and January 31, 2020, $147.6 million and $161.1 million of receivables financed by these third-party financing companies, excluding Red Iron, respectively, were outstanding.</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January 29, 2021 and January 31, 2020, we were contingently liable to repurchase up to a maximum amount of $111.2 million and $128.2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during the three month period ended January 29, 2021 and January 31, 2020.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There have been no material changes to such contractual obligations during the first three months of fiscal 2021, with the exception of the repayment of the $190.0 million term loan during the first quarter of fiscal 2021 described in further detail in the section titled "Liquidity and Capital Resources" within this MD&amp;A.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off-balance sheet arrangements with Red Iron and other third-party financial institutions in which inventory receivables for certain dealers and distributors are financed by Red Iron or other third-party financial institutions. Additionally, we use standby letters of credit under our revolving credit facility, import letters of credit, and surety bonds in the ordinary course of business to ensure the performance of contractual obligations, as required under certain contracts. Our off-balance sheet arrangements are described in further detail within our most recently filed Annual Report on Form 10-K. There have been no material changes to such off-balance sheet arrangements during the first three months of fiscal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U.S. GAAP, as information supplemental and in addition to the most directly comparable financial measures presented in this Quarterly Report on Form 10-Q that are calculated and presented in accordance with U.S. GAAP. We use these non-GAAP financial measures in making operating decisions because we believe they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financial measures calculated and reported in accordance with U.S. GAAP to the most directly comparable non-GAAP financial measures for the three month periods ended January 29, 2021 and January 31, 2020:</w:t>
      </w:r>
    </w:p>
    <w:p>
      <w:pPr>
        <w:spacing w:after="0" w:line="95" w:lineRule="exact"/>
        <w:rPr>
          <w:sz w:val="20"/>
          <w:szCs w:val="20"/>
          <w:color w:val="auto"/>
        </w:rPr>
      </w:pPr>
    </w:p>
    <w:p>
      <w:pPr>
        <w:ind w:left="888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 except per share data)</w:t>
            </w:r>
          </w:p>
        </w:tc>
        <w:tc>
          <w:tcPr>
            <w:tcW w:w="25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2"/>
              </w:rPr>
              <w:t>January 29, 2021</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92"/>
              </w:rPr>
              <w:t>January 31, 2020</w:t>
            </w: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315,036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288,088</w:t>
            </w:r>
          </w:p>
        </w:tc>
      </w:tr>
      <w:tr>
        <w:trPr>
          <w:trHeight w:val="216"/>
        </w:trPr>
        <w:tc>
          <w:tcPr>
            <w:tcW w:w="56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470</w:t>
            </w:r>
          </w:p>
        </w:tc>
      </w:tr>
      <w:tr>
        <w:trPr>
          <w:trHeight w:val="21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gross profit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315,036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288,558</w:t>
            </w:r>
          </w:p>
        </w:tc>
      </w:tr>
      <w:tr>
        <w:trPr>
          <w:trHeight w:val="183"/>
        </w:trPr>
        <w:tc>
          <w:tcPr>
            <w:tcW w:w="56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36.1 %</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37.5 %</w:t>
            </w:r>
          </w:p>
        </w:tc>
      </w:tr>
      <w:tr>
        <w:trPr>
          <w:trHeight w:val="216"/>
        </w:trPr>
        <w:tc>
          <w:tcPr>
            <w:tcW w:w="56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0.1 %</w:t>
            </w:r>
          </w:p>
        </w:tc>
      </w:tr>
      <w:tr>
        <w:trPr>
          <w:trHeight w:val="21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gross margin</w:t>
            </w:r>
          </w:p>
        </w:tc>
        <w:tc>
          <w:tcPr>
            <w:tcW w:w="2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36.1 %</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37.6 %</w:t>
            </w:r>
          </w:p>
        </w:tc>
      </w:tr>
      <w:tr>
        <w:trPr>
          <w:trHeight w:val="183"/>
        </w:trPr>
        <w:tc>
          <w:tcPr>
            <w:tcW w:w="56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141,465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91,129</w:t>
            </w:r>
          </w:p>
        </w:tc>
      </w:tr>
      <w:tr>
        <w:trPr>
          <w:trHeight w:val="216"/>
        </w:trPr>
        <w:tc>
          <w:tcPr>
            <w:tcW w:w="568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5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(17,075)</w:t>
            </w:r>
          </w:p>
        </w:tc>
        <w:tc>
          <w:tcPr>
            <w:tcW w:w="180" w:type="dxa"/>
            <w:vAlign w:val="bottom"/>
          </w:tcPr>
          <w:p>
            <w:pPr>
              <w:spacing w:after="0"/>
              <w:rPr>
                <w:sz w:val="18"/>
                <w:szCs w:val="18"/>
                <w:color w:val="auto"/>
              </w:rPr>
            </w:pPr>
          </w:p>
        </w:tc>
        <w:tc>
          <w:tcPr>
            <w:tcW w:w="142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68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2,018</w:t>
            </w: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operating earnings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124,390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93,147</w:t>
            </w:r>
          </w:p>
        </w:tc>
      </w:tr>
      <w:tr>
        <w:trPr>
          <w:trHeight w:val="183"/>
        </w:trPr>
        <w:tc>
          <w:tcPr>
            <w:tcW w:w="56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135,826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86,139</w:t>
            </w:r>
          </w:p>
        </w:tc>
      </w:tr>
      <w:tr>
        <w:trPr>
          <w:trHeight w:val="216"/>
        </w:trPr>
        <w:tc>
          <w:tcPr>
            <w:tcW w:w="568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5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(17,075)</w:t>
            </w:r>
          </w:p>
        </w:tc>
        <w:tc>
          <w:tcPr>
            <w:tcW w:w="180" w:type="dxa"/>
            <w:vAlign w:val="bottom"/>
          </w:tcPr>
          <w:p>
            <w:pPr>
              <w:spacing w:after="0"/>
              <w:rPr>
                <w:sz w:val="18"/>
                <w:szCs w:val="18"/>
                <w:color w:val="auto"/>
              </w:rPr>
            </w:pPr>
          </w:p>
        </w:tc>
        <w:tc>
          <w:tcPr>
            <w:tcW w:w="142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68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2,018</w:t>
            </w: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earnings before income taxes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118,751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88,157</w:t>
            </w:r>
          </w:p>
        </w:tc>
      </w:tr>
      <w:tr>
        <w:trPr>
          <w:trHeight w:val="183"/>
        </w:trPr>
        <w:tc>
          <w:tcPr>
            <w:tcW w:w="56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111,281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70,091</w:t>
            </w:r>
          </w:p>
        </w:tc>
      </w:tr>
      <w:tr>
        <w:trPr>
          <w:trHeight w:val="216"/>
        </w:trPr>
        <w:tc>
          <w:tcPr>
            <w:tcW w:w="568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5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(13,455)</w:t>
            </w:r>
          </w:p>
        </w:tc>
        <w:tc>
          <w:tcPr>
            <w:tcW w:w="180" w:type="dxa"/>
            <w:vAlign w:val="bottom"/>
          </w:tcPr>
          <w:p>
            <w:pPr>
              <w:spacing w:after="0"/>
              <w:rPr>
                <w:sz w:val="18"/>
                <w:szCs w:val="18"/>
                <w:color w:val="auto"/>
              </w:rPr>
            </w:pPr>
          </w:p>
        </w:tc>
        <w:tc>
          <w:tcPr>
            <w:tcW w:w="142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68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1,633</w:t>
            </w:r>
          </w:p>
        </w:tc>
      </w:tr>
      <w:tr>
        <w:trPr>
          <w:trHeight w:val="216"/>
        </w:trPr>
        <w:tc>
          <w:tcPr>
            <w:tcW w:w="568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2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(4,578)</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(2,035)</w:t>
            </w:r>
          </w:p>
        </w:tc>
      </w:tr>
      <w:tr>
        <w:trPr>
          <w:trHeight w:val="235"/>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earnings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93,248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69,689</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88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 except per share data)</w:t>
            </w:r>
          </w:p>
        </w:tc>
        <w:tc>
          <w:tcPr>
            <w:tcW w:w="25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January 29, 2021</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92"/>
              </w:rPr>
              <w:t>January 31, 2020</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0.65</w:t>
            </w:r>
          </w:p>
        </w:tc>
      </w:tr>
      <w:tr>
        <w:trPr>
          <w:trHeight w:val="216"/>
        </w:trPr>
        <w:tc>
          <w:tcPr>
            <w:tcW w:w="570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2"/>
                <w:szCs w:val="22"/>
                <w:color w:val="auto"/>
                <w:vertAlign w:val="superscript"/>
              </w:rPr>
              <w:t>1</w:t>
            </w:r>
          </w:p>
        </w:tc>
        <w:tc>
          <w:tcPr>
            <w:tcW w:w="25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(0.13)</w:t>
            </w:r>
          </w:p>
        </w:tc>
        <w:tc>
          <w:tcPr>
            <w:tcW w:w="180" w:type="dxa"/>
            <w:vAlign w:val="bottom"/>
          </w:tcPr>
          <w:p>
            <w:pPr>
              <w:spacing w:after="0"/>
              <w:rPr>
                <w:sz w:val="18"/>
                <w:szCs w:val="18"/>
                <w:color w:val="auto"/>
              </w:rPr>
            </w:pPr>
          </w:p>
        </w:tc>
        <w:tc>
          <w:tcPr>
            <w:tcW w:w="142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57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0.01</w:t>
            </w:r>
          </w:p>
        </w:tc>
      </w:tr>
      <w:tr>
        <w:trPr>
          <w:trHeight w:val="216"/>
        </w:trPr>
        <w:tc>
          <w:tcPr>
            <w:tcW w:w="57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(0.04)</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(0.02)</w:t>
            </w:r>
          </w:p>
        </w:tc>
      </w:tr>
      <w:tr>
        <w:trPr>
          <w:trHeight w:val="234"/>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diluted EPS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0.64</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7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18.6 %</w:t>
            </w:r>
          </w:p>
        </w:tc>
      </w:tr>
      <w:tr>
        <w:trPr>
          <w:trHeight w:val="216"/>
        </w:trPr>
        <w:tc>
          <w:tcPr>
            <w:tcW w:w="57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2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2.4 %</w:t>
            </w:r>
          </w:p>
        </w:tc>
      </w:tr>
      <w:tr>
        <w:trPr>
          <w:trHeight w:val="235"/>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effective tax rate</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21.5 %</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340" w:right="320" w:hanging="170"/>
        <w:spacing w:after="0" w:line="257" w:lineRule="auto"/>
        <w:tabs>
          <w:tab w:leader="none" w:pos="394"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 xml:space="preserve">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Accordingly, litigation settlement, net represents the net amount recorded within selling, general and administrative expense in the Condensed Consolidated Statements of Earnings for the settlement of the Infringement Action during the three month period ended January 29, 2021. Refer to Footnote 15, </w:t>
      </w:r>
      <w:r>
        <w:rPr>
          <w:rFonts w:ascii="Arial" w:cs="Arial" w:eastAsia="Arial" w:hAnsi="Arial"/>
          <w:sz w:val="14"/>
          <w:szCs w:val="14"/>
          <w:i w:val="1"/>
          <w:iCs w:val="1"/>
          <w:color w:val="auto"/>
        </w:rPr>
        <w:t>Contingencies</w:t>
      </w:r>
      <w:r>
        <w:rPr>
          <w:rFonts w:ascii="Arial" w:cs="Arial" w:eastAsia="Arial" w:hAnsi="Arial"/>
          <w:sz w:val="14"/>
          <w:szCs w:val="14"/>
          <w:color w:val="auto"/>
        </w:rPr>
        <w:t>, for additional information regarding the settlement of the Infringement Action.</w:t>
      </w:r>
    </w:p>
    <w:p>
      <w:pPr>
        <w:spacing w:after="0" w:line="256" w:lineRule="exact"/>
        <w:rPr>
          <w:sz w:val="20"/>
          <w:szCs w:val="20"/>
          <w:color w:val="auto"/>
        </w:rPr>
      </w:pPr>
    </w:p>
    <w:p>
      <w:pPr>
        <w:jc w:val="both"/>
        <w:ind w:left="340" w:right="320" w:hanging="170"/>
        <w:spacing w:after="0" w:line="251" w:lineRule="auto"/>
        <w:tabs>
          <w:tab w:leader="none" w:pos="354"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 xml:space="preserve">On March 2, 2020, we completed the acquisition of Venture Products and on April 1, 2019, we completed the acquisition of CMW. For additional information regarding these acquisitions, refer to Note 2, </w:t>
      </w:r>
      <w:r>
        <w:rPr>
          <w:rFonts w:ascii="Arial" w:cs="Arial" w:eastAsia="Arial" w:hAnsi="Arial"/>
          <w:sz w:val="14"/>
          <w:szCs w:val="14"/>
          <w:i w:val="1"/>
          <w:iCs w:val="1"/>
          <w:color w:val="auto"/>
        </w:rPr>
        <w:t>Business Combination</w:t>
      </w:r>
      <w:r>
        <w:rPr>
          <w:rFonts w:ascii="Arial" w:cs="Arial" w:eastAsia="Arial" w:hAnsi="Arial"/>
          <w:sz w:val="14"/>
          <w:szCs w:val="14"/>
          <w:color w:val="auto"/>
        </w:rPr>
        <w:t>, within the Notes to Condensed Consolidated Financial Statements included within Part I, Item 1, "Financial Statements" of this Quarterly Report on Form 10-Q. Acquisition-related costs for the three month period ended January 31, 2020 represent costs incurred related to our acquisition of Venture Products, as well as integration costs and charges incurred for the take-down of the inventory fair value step-up amount resulting from purchase accounting adjustments related to our acquisition of CMW. No acquisition-related costs were incurred during the three month period ended January 29, 2021.</w:t>
      </w:r>
    </w:p>
    <w:p>
      <w:pPr>
        <w:spacing w:after="0" w:line="84" w:lineRule="exact"/>
        <w:rPr>
          <w:sz w:val="20"/>
          <w:szCs w:val="20"/>
          <w:color w:val="auto"/>
        </w:rPr>
      </w:pPr>
    </w:p>
    <w:p>
      <w:pPr>
        <w:jc w:val="both"/>
        <w:ind w:left="340" w:right="320" w:hanging="170"/>
        <w:spacing w:after="0" w:line="233" w:lineRule="auto"/>
        <w:tabs>
          <w:tab w:leader="none" w:pos="381"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share-based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diluted EPS, and effective tax rate. These amounts represent the discrete tax benefits recorded as excess tax deductions for share-based compensation during the three month periods ended January 29, 2021 and January 31,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2020. Refer to Part II, Item 7, "Management’s Discussion and Analysis of Financial Condition and Results of Operations",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2020 for a discussion of our critical accounting policies and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financial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condition, and anticipated impacts of COVID-19; our business strategies and goals; the integration of each of the CMW and Venture Products acquisitions; and the effect of laws, rules, policies, regulations, tax reform, new accounting pronouncements, and outstanding litigation on our business and future performance.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76" w:lineRule="exact"/>
        <w:rPr>
          <w:sz w:val="20"/>
          <w:szCs w:val="20"/>
          <w:color w:val="auto"/>
        </w:rPr>
      </w:pPr>
    </w:p>
    <w:p>
      <w:pPr>
        <w:jc w:val="both"/>
        <w:ind w:left="660" w:hanging="328"/>
        <w:spacing w:after="0" w:line="26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economic conditions and outlook in the United States and in other countries in which we conduct business, including as a result of COVID-19, have and could continue to impact demand for our products, and ultimately, our net sales and earnings. These include but are not limited to business closures; slowdowns, suspensions or delays of production and commercial activity; recessionary conditions; slow or negative economic growth rates; slowdowns or reductions in levels of golf course activity, including food and beverage spending, development, renovation, and improvement; golf course closures; reduced governmental or municipal spending; reduced levels of home ownership, construction, and sales; home foreclosures; negative consumer confidence; reduced consumer spending levels; further increased unemployment rates; prolonged high unemployment rates; higher costs of commodities, components, parts, and accessories and/or transportation-related costs, including as a result of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w:t>
      </w:r>
    </w:p>
    <w:p>
      <w:pPr>
        <w:spacing w:after="0" w:line="5" w:lineRule="exact"/>
        <w:rPr>
          <w:rFonts w:ascii="Arial" w:cs="Arial" w:eastAsia="Arial" w:hAnsi="Arial"/>
          <w:sz w:val="17"/>
          <w:szCs w:val="17"/>
          <w:color w:val="auto"/>
        </w:rPr>
      </w:pPr>
    </w:p>
    <w:p>
      <w:pPr>
        <w:jc w:val="both"/>
        <w:ind w:left="660" w:hanging="328"/>
        <w:spacing w:after="0" w:line="284"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COVID-19 has materially adversely impacted portions of our business, financial condition and operating results and will likely continue to adversely impact portions of our business and such impact could continue to be material and will depend on numerous evolving factors, including: the duration of COVID-19; governmental, business and individual actions that have been, and continue to be, taken in response to COVID-19; the success of the deployment of approved COVID-19 vaccines and their effectiveness; the effect of COVID-19 on our dealers, distributors, mass retailers and other channel partners and customers, including reduced or constrained budgets and cash preservation efforts; our ability during COVID-19 to continue operations and/or adjust our production schedules; significant reductions or volatility in demand for one or more of our products or services; the effect of COVID-19 on our suppliers and companies throughout our supply chain and any such supplier's ability to meet supply commitments, requirements, and/or demands and our ability to continue to obtain commodities, components, parts, and accessories on a timely basis through our supply chain and at anticipated costs; logistics costs and challenges; costs incurred as a result of necessary actions and preparedness plans to help ensure the health and safety of our employees and continued operations; potential future restructuring, impairment or other charges; availability of employees, their ability to conduct work away from normal working locations and/or under revised work environment protocols; our ability to establish and maintain appropriate estimates and assumptions used to prepare the Condensed Consolidated Financial Statements; the continued impact of COVID-19 on the financial and credit markets and economic activity generally; our ability to access lending, capital markets, and other sources of liquidity when needed on reasonable terms or at all; our ability to comply with the financial covenants in our debt agreements if the material economic downturn as a result of COVID-19 results in substantially increased indebtedness and/or lower EBITDA for us; and the continued exasperation of negative impacts as a result of the occurrence of a global or national recession, depression or other sustained adverse market event as a result of COVID-19. In addition, the impacts from COVID-19 and efforts to contain it have heightened the other risks described herein.</w:t>
      </w:r>
    </w:p>
    <w:p>
      <w:pPr>
        <w:spacing w:after="0" w:line="186" w:lineRule="exact"/>
        <w:rPr>
          <w:rFonts w:ascii="Arial" w:cs="Arial" w:eastAsia="Arial" w:hAnsi="Arial"/>
          <w:sz w:val="16"/>
          <w:szCs w:val="16"/>
          <w:color w:val="auto"/>
        </w:rPr>
      </w:pPr>
    </w:p>
    <w:p>
      <w:pPr>
        <w:jc w:val="both"/>
        <w:ind w:left="66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and varied factors. Our Professional segment includes a variety of products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Among other things, any one of a combination of the following factors, many of which have been adversely impacted by COVID-19, could result in a decrease in spending and demand for our products and have an adverse effect on our Professional segment net sales: golf course revenues; reduced levels of investment in golf course renovations and improvements; the level of new golf course development and golf course closures; reduced consumer and business spending on property maintenance, including lawn care and snow removal activities; construction activity; low or reduced levels of infrastructure improvements; decreased oil and gas construction activities; a decline in acceptance of, and demand for, ag-irrigation solutions for agricultural production; availability of cash or credit for our customers to finance new product purchases; and customer and/or government budgetary constraints, resulting in reduced spending for grounds maintenance or construction equipment.</w:t>
      </w:r>
    </w:p>
    <w:p>
      <w:pPr>
        <w:spacing w:after="0" w:line="1" w:lineRule="exact"/>
        <w:rPr>
          <w:rFonts w:ascii="Arial" w:cs="Arial" w:eastAsia="Arial" w:hAnsi="Arial"/>
          <w:sz w:val="17"/>
          <w:szCs w:val="17"/>
          <w:color w:val="auto"/>
        </w:rPr>
      </w:pPr>
    </w:p>
    <w:p>
      <w:pPr>
        <w:ind w:left="660" w:right="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as well as develop and market new products, that respond to customer needs and preferences and achieve market acceptance, including by incorporating new, emerging, and/or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disruptive technologies that may become preferred by our customers, we may experience a decrease in demand for our products, and our net sales, which have historically benefited from the introduction of new products, may be adversely affected.</w:t>
      </w:r>
    </w:p>
    <w:p>
      <w:pPr>
        <w:spacing w:after="0" w:line="1" w:lineRule="exact"/>
        <w:rPr>
          <w:sz w:val="20"/>
          <w:szCs w:val="20"/>
          <w:color w:val="auto"/>
        </w:rPr>
      </w:pPr>
    </w:p>
    <w:p>
      <w:pPr>
        <w:jc w:val="both"/>
        <w:ind w:left="660" w:hanging="328"/>
        <w:spacing w:after="0" w:line="28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Increases in the cost of commodities, components, parts and accessories that we purchase and/or increases in other costs of doing business have, and could continue to, adversely affect our profit margins and businesses. 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electric motors, and other commodities, components, parts and accessories, increased costs, including as a result of COVID-19, increased tariffs,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United States from China, or the inability of suppliers to continue operations or otherwise remain in business as a result of COVID-19, financial difficulties, or otherwise, have affected our profit margins, operating results and businesses and could continue to result in declines in our profit margins, operating results and businesses.</w:t>
      </w:r>
    </w:p>
    <w:p>
      <w:pPr>
        <w:spacing w:after="0" w:line="5"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and/or shortages in the availability of commodities, components, parts, or accessories used in our products has, and could continue to, adversely affect our business.</w:t>
      </w: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 at any of our facilities or in our manufacturing or other operations, or those of our distribution channel customers or suppliers, or our inability to cost-effectively expand existing, open and manage new or acquired,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underestimate and overestimate demand for our products and do not maintain appropriate inventory levels, our net sales and/or working capital could be negatively impacted. Our ability to manage our inventory levels to meet our customers' demand for our products is important for our business. Managing inventory levels in the current COVID-19 commercial environment is particularly difficult as a result of changes to production operations, locations and schedules as well as demand volatility and availability of supply of commodities, components, parts or accessories used in our products. Such manufacturing inefficiencies have resulted in unfavorable manufacturing variances that have negatively impacted our financial results. If such manufacturing inefficiencies continue,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4"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Adjustments in the carrying amount of inventories by our distribution channel customers have impacted and may continue to impact our inventory management and working capital goals as well as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including conditions exacerbated by global climate changes, have previously impacted demand for some of our products and/or caused disruptions in our operations, including as a result of disruption in our supply chain, and may impact such items in the future which may adversely affect our net sales or otherwise adversely affect our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mass retailers, dealers, and home centers; the amount of product placement at mass retailers and home centers; consumer confidence and spending levels; changing buying patterns of customers; and the impact of significant sales or promotional events.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financial performance, including our profit margins and net earnings, have been impacted and will continue to be impacted depending on the mix of products we sell during a given period, as our Professional segment products generally have higher profit margins than our Residential segment products. Similarly, within each segment, lower sales of products that generally carry higher profit margins, have impacted our financial performance, including profit margins and net earnings, and such financial performance could continue to be negatively impacted.</w:t>
      </w:r>
    </w:p>
    <w:p>
      <w:pPr>
        <w:spacing w:after="0" w:line="2" w:lineRule="exact"/>
        <w:rPr>
          <w:rFonts w:ascii="Arial" w:cs="Arial" w:eastAsia="Arial" w:hAnsi="Arial"/>
          <w:sz w:val="16"/>
          <w:szCs w:val="16"/>
          <w:color w:val="auto"/>
        </w:rPr>
      </w:pPr>
    </w:p>
    <w:p>
      <w:pPr>
        <w:ind w:left="660" w:right="2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intend to grow our business in part through acquisitions and alliances, strong customer relations, and new joint ventures, investments, and partnerships, which could be risky and may harm our business, reputation, financial condition, and operating results.</w:t>
      </w:r>
    </w:p>
    <w:p>
      <w:pPr>
        <w:jc w:val="both"/>
        <w:ind w:left="660" w:hanging="328"/>
        <w:spacing w:after="0" w:line="281"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January 29, 2021, we had goodwill of $422.2 million and other intangible assets of $410.6 million, including goodwill and other intangible assets from the Venture Products acquisition. These amounts are maintained in various reporting units and together comprise 29.0 percent of our total assets as of January 29, 2021. If we determine that our goodwill or other intangible assets recorded in connection with the acquisition of Venture Products or any other prior or future acquisition have become impaired, we will be required to record a charge resulting from the impairment. Impairment charges could be significant and could adversely affect our results of operations and financial condition.</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successfully complete divestitures or other restructuring activities could negatively affect our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United States from China, pandemics and/or epidemics, including COVID-19, or weakened international economic conditions;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disruption, including as a result of natural or man-made disasters, inclement weather, including as a result of climate change-related events, work slowdowns, strikes, pandemics and/or epidemics, including COVID-19, protests and/or social unrest, or other events, at or in proximity to any of our facilities or in our manufacturing or other operations, or those of our distribution channel customers, mass retailers or home centers where our products are sold, or suppliers, or our inability to cost-effectively expand existing facilities, open and manage new facilities, and/or move production between manufacturing facilities could adversely affect our business and operating results.</w:t>
      </w:r>
    </w:p>
    <w:p>
      <w:pPr>
        <w:jc w:val="both"/>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labor needs, and those of our suppliers and distribution channel partners, fluctuate throughout the year and by region. During all periods presented in this Quarterly Report on Form 10-Q, such labor needs were negatively impacted by COVID-19 and such impact is expected to continue. Any failure by us, or our suppliers and/or distribution partners, to hire and/or retain a labor force, including to adequately staff manufacturing operations, perform service or warranty work, or other necessary activities or by such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labor force, and those of our suppliers and distribution channel partners, have been impacted by COVID-19 and such impact will likely continue, including as a result of global governmental, business and individual actions that have been, and continue to be, taken in response to COVID-19. Furthermore, we have incurred additional costs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In addition, our products may infringe the valid proprietary rights of others.</w:t>
      </w:r>
    </w:p>
    <w:p>
      <w:pPr>
        <w:jc w:val="both"/>
        <w:ind w:left="660" w:hanging="328"/>
        <w:spacing w:after="0" w:line="28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company, business, properties, and products are subject to laws, rules, policies, and regulations, with which compliance may require us to incur expenses or modify our products or operations and non-compliance may result in harm to our reputation and/or expose us to penalties. Laws, rules, policies, and regulations may also adversely affect the demand for some of our products and our operating results. In addition, changes in laws, rules, policies, and regulations in the U.S. or other countries in which we conduct business also may adversely affect our financial results, including as a result of: (1) adoption of laws and regulations to address COVID-19, (ii) taxation and tax policy changes, tax rate changes, new tax laws, new or revised ta law interpretations or guidance, including as a result of the Tax Act, (iii) changes to, or adoption of new, healthcare laws or regulations, or (iv) changes to U.S. or international policies or trade agreements or trade regulation and/or industry activity, including antidumping and countervailing duty petitions on certain products imported from foreign countries, including certain engines imported into the United States from China, that could result in additional duties or other charges on commodities, components, parts, or accessories we import.</w:t>
      </w:r>
    </w:p>
    <w:p>
      <w:pPr>
        <w:spacing w:after="0" w:line="5"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or tax standards, policies, or assumptions in applying accounting or tax policies could adversely affect our financial statements, including our financial results and financial condition.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upon the availability of floor plan financing to provide competitive inventory financing programs to certain distributors and dealers of our products. Any material change in the availability or terms of credit offered to our customers by our floor plan arrangements, challenges or delays in transferring new distributors and dealers from any business we might acquire or otherwise to available floor plan platforms, any termination or disruption of our floor plan arrangements,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downgrade to our credit ratings could increase our cost of funding and/or adversely affect our access to capital markets or the availability of funding from a variety of lenders.</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expected phase out of LIBOR could impact the interest rates paid on our variable rate indebtedness and cause our interest expense to increase.</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achieve our projected financial information or other business initiatives in the time periods that we anticipate, or at all, which could have an adverse effect on our business, operating results and financial condition.</w:t>
      </w: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Brexit and the uncertainty regarding its implementation and effect could disrupt our operations and adversely affect our operating results.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2020. Refer to Part II, Item 7A, "Quantitative and Qualitative Disclosures about Market Risk", within our Annual Report on Form 10-K for the fiscal year ended October 31, 2020 for a complete discussion of our market risk. Refer below for further discussion on foreign currency exchange rate risk, interest rate risk, and commodity cost risk.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17,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in our Notes to Condensed Consolidated Financial Statements included in Item 1 of this Quarterly Report on Form 10-Q.</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foreign currency exchange contracts in the table below have maturity dates in fiscal 2021 through fiscal 2023. All items are non-trading and stated in U.S. dollars. As of January 29, 2021, the average contracted rate, notional amount, fair value, and the gain (loss) at fair value of outstanding derivative instruments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(Dollars in thousands, except average contracted rate)</w:t>
            </w:r>
          </w:p>
        </w:tc>
        <w:tc>
          <w:tcPr>
            <w:tcW w:w="2080" w:type="dxa"/>
            <w:vAlign w:val="bottom"/>
            <w:tcBorders>
              <w:top w:val="single" w:sz="8" w:color="auto"/>
            </w:tcBorders>
          </w:tcPr>
          <w:p>
            <w:pPr>
              <w:jc w:val="right"/>
              <w:ind w:right="377"/>
              <w:spacing w:after="0" w:line="176" w:lineRule="exact"/>
              <w:rPr>
                <w:sz w:val="20"/>
                <w:szCs w:val="20"/>
                <w:color w:val="auto"/>
              </w:rPr>
            </w:pPr>
            <w:r>
              <w:rPr>
                <w:rFonts w:ascii="Arial" w:cs="Arial" w:eastAsia="Arial" w:hAnsi="Arial"/>
                <w:sz w:val="17"/>
                <w:szCs w:val="17"/>
                <w:b w:val="1"/>
                <w:bCs w:val="1"/>
                <w:color w:val="auto"/>
              </w:rPr>
              <w:t>Average</w:t>
            </w:r>
          </w:p>
        </w:tc>
        <w:tc>
          <w:tcPr>
            <w:tcW w:w="1520" w:type="dxa"/>
            <w:vAlign w:val="bottom"/>
            <w:tcBorders>
              <w:top w:val="single" w:sz="8" w:color="auto"/>
            </w:tcBorders>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Notional Amount</w:t>
            </w: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ind w:right="277"/>
              <w:spacing w:after="0"/>
              <w:rPr>
                <w:sz w:val="20"/>
                <w:szCs w:val="20"/>
                <w:color w:val="auto"/>
              </w:rPr>
            </w:pPr>
            <w:r>
              <w:rPr>
                <w:rFonts w:ascii="Arial" w:cs="Arial" w:eastAsia="Arial" w:hAnsi="Arial"/>
                <w:sz w:val="17"/>
                <w:szCs w:val="17"/>
                <w:b w:val="1"/>
                <w:bCs w:val="1"/>
                <w:color w:val="auto"/>
              </w:rPr>
              <w:t>Fair Value</w:t>
            </w:r>
          </w:p>
        </w:tc>
        <w:tc>
          <w:tcPr>
            <w:tcW w:w="1500" w:type="dxa"/>
            <w:vAlign w:val="bottom"/>
            <w:tcBorders>
              <w:top w:val="single" w:sz="8" w:color="auto"/>
            </w:tcBorders>
            <w:gridSpan w:val="2"/>
          </w:tcPr>
          <w:p>
            <w:pPr>
              <w:ind w:left="120"/>
              <w:spacing w:after="0" w:line="176" w:lineRule="exact"/>
              <w:rPr>
                <w:sz w:val="20"/>
                <w:szCs w:val="20"/>
                <w:color w:val="auto"/>
              </w:rPr>
            </w:pPr>
            <w:r>
              <w:rPr>
                <w:rFonts w:ascii="Arial" w:cs="Arial" w:eastAsia="Arial" w:hAnsi="Arial"/>
                <w:sz w:val="17"/>
                <w:szCs w:val="17"/>
                <w:b w:val="1"/>
                <w:bCs w:val="1"/>
                <w:color w:val="auto"/>
                <w:w w:val="91"/>
              </w:rPr>
              <w:t>Gain (Loss) at Fair</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Contracted Rate</w:t>
            </w: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Buy U.S. dollar/Sell Australian dollar</w:t>
            </w:r>
          </w:p>
        </w:tc>
        <w:tc>
          <w:tcPr>
            <w:tcW w:w="2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0.7126</w:t>
            </w:r>
          </w:p>
        </w:tc>
        <w:tc>
          <w:tcPr>
            <w:tcW w:w="52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107,812</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99,529</w:t>
            </w:r>
          </w:p>
        </w:tc>
        <w:tc>
          <w:tcPr>
            <w:tcW w:w="3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(8,283)</w:t>
            </w:r>
          </w:p>
        </w:tc>
        <w:tc>
          <w:tcPr>
            <w:tcW w:w="0" w:type="dxa"/>
            <w:vAlign w:val="bottom"/>
          </w:tcPr>
          <w:p>
            <w:pPr>
              <w:spacing w:after="0"/>
              <w:rPr>
                <w:sz w:val="1"/>
                <w:szCs w:val="1"/>
                <w:color w:val="auto"/>
              </w:rPr>
            </w:pPr>
          </w:p>
        </w:tc>
      </w:tr>
      <w:tr>
        <w:trPr>
          <w:trHeight w:val="214"/>
        </w:trPr>
        <w:tc>
          <w:tcPr>
            <w:tcW w:w="4620" w:type="dxa"/>
            <w:vAlign w:val="bottom"/>
          </w:tcPr>
          <w:p>
            <w:pPr>
              <w:ind w:left="20"/>
              <w:spacing w:after="0"/>
              <w:rPr>
                <w:sz w:val="20"/>
                <w:szCs w:val="20"/>
                <w:color w:val="auto"/>
              </w:rPr>
            </w:pPr>
            <w:r>
              <w:rPr>
                <w:rFonts w:ascii="Arial" w:cs="Arial" w:eastAsia="Arial" w:hAnsi="Arial"/>
                <w:sz w:val="17"/>
                <w:szCs w:val="17"/>
                <w:color w:val="auto"/>
              </w:rPr>
              <w:t>Buy U.S. dollar/Sell Canadian dollar</w:t>
            </w:r>
          </w:p>
        </w:tc>
        <w:tc>
          <w:tcPr>
            <w:tcW w:w="2080" w:type="dxa"/>
            <w:vAlign w:val="bottom"/>
          </w:tcPr>
          <w:p>
            <w:pPr>
              <w:jc w:val="right"/>
              <w:ind w:right="17"/>
              <w:spacing w:after="0"/>
              <w:rPr>
                <w:sz w:val="20"/>
                <w:szCs w:val="20"/>
                <w:color w:val="auto"/>
              </w:rPr>
            </w:pPr>
            <w:r>
              <w:rPr>
                <w:rFonts w:ascii="Arial" w:cs="Arial" w:eastAsia="Arial" w:hAnsi="Arial"/>
                <w:sz w:val="17"/>
                <w:szCs w:val="17"/>
                <w:color w:val="auto"/>
              </w:rPr>
              <w:t>1.3434</w:t>
            </w:r>
          </w:p>
        </w:tc>
        <w:tc>
          <w:tcPr>
            <w:tcW w:w="52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31,248</w:t>
            </w:r>
          </w:p>
        </w:tc>
        <w:tc>
          <w:tcPr>
            <w:tcW w:w="3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29,693</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Buy U.S. dollar/Sell Euro</w:t>
            </w:r>
          </w:p>
        </w:tc>
        <w:tc>
          <w:tcPr>
            <w:tcW w:w="2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1.1797</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146,955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141,844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(5,111)</w:t>
            </w:r>
          </w:p>
        </w:tc>
        <w:tc>
          <w:tcPr>
            <w:tcW w:w="0" w:type="dxa"/>
            <w:vAlign w:val="bottom"/>
          </w:tcPr>
          <w:p>
            <w:pPr>
              <w:spacing w:after="0"/>
              <w:rPr>
                <w:sz w:val="1"/>
                <w:szCs w:val="1"/>
                <w:color w:val="auto"/>
              </w:rPr>
            </w:pPr>
          </w:p>
        </w:tc>
      </w:tr>
      <w:tr>
        <w:trPr>
          <w:trHeight w:val="214"/>
        </w:trPr>
        <w:tc>
          <w:tcPr>
            <w:tcW w:w="4620" w:type="dxa"/>
            <w:vAlign w:val="bottom"/>
          </w:tcPr>
          <w:p>
            <w:pPr>
              <w:ind w:left="20"/>
              <w:spacing w:after="0"/>
              <w:rPr>
                <w:sz w:val="20"/>
                <w:szCs w:val="20"/>
                <w:color w:val="auto"/>
              </w:rPr>
            </w:pPr>
            <w:r>
              <w:rPr>
                <w:rFonts w:ascii="Arial" w:cs="Arial" w:eastAsia="Arial" w:hAnsi="Arial"/>
                <w:sz w:val="17"/>
                <w:szCs w:val="17"/>
                <w:color w:val="auto"/>
              </w:rPr>
              <w:t>Buy U.S. dollar/Sell British pound</w:t>
            </w:r>
          </w:p>
        </w:tc>
        <w:tc>
          <w:tcPr>
            <w:tcW w:w="2080" w:type="dxa"/>
            <w:vAlign w:val="bottom"/>
          </w:tcPr>
          <w:p>
            <w:pPr>
              <w:jc w:val="right"/>
              <w:ind w:right="17"/>
              <w:spacing w:after="0"/>
              <w:rPr>
                <w:sz w:val="20"/>
                <w:szCs w:val="20"/>
                <w:color w:val="auto"/>
              </w:rPr>
            </w:pPr>
            <w:r>
              <w:rPr>
                <w:rFonts w:ascii="Arial" w:cs="Arial" w:eastAsia="Arial" w:hAnsi="Arial"/>
                <w:sz w:val="17"/>
                <w:szCs w:val="17"/>
                <w:color w:val="auto"/>
              </w:rPr>
              <w:t>1.3079</w:t>
            </w:r>
          </w:p>
        </w:tc>
        <w:tc>
          <w:tcPr>
            <w:tcW w:w="52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41,186</w:t>
            </w:r>
          </w:p>
        </w:tc>
        <w:tc>
          <w:tcPr>
            <w:tcW w:w="3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39,172</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Buy Mexican peso/Sell U.S. dollar</w:t>
            </w:r>
          </w:p>
        </w:tc>
        <w:tc>
          <w:tcPr>
            <w:tcW w:w="2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22.5779</w:t>
            </w:r>
          </w:p>
        </w:tc>
        <w:tc>
          <w:tcPr>
            <w:tcW w:w="52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19,455</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20,927</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interest rate risk relates primarily to fluctuations in LIBOR-based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January 29, 2021 includes $424.0 million of gross fixed-rate long-term debt that is not subject to variable interest rate fluctuations and $280.0 million of gross LIBOR-based borrowings under our term loan credit agreements. As of January 29, 2021, we did not have an outstanding balance on our LIBOR-based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changes to international trade policies, agreements, and/or regulation and competitor activity, including antidumping and countervailing duty petitions on certain products imported from foreign countries, including current petitions regarding certain engines imported into the U.S. from China.</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cost exposures for commodities, components, parts, and accessories are with steel, aluminum, petroleum and natural gas-based resins, copper, lead, rubber, linerboard, engines, transmissions, transaxles, hydraulics, electric motors, and others,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any given period, we strategically work to mitigate any potential unfavorable impact as a result of changes to the cost of commodities, components, parts, and accessories that affect our product lines. Historically, we have mitigated, and we currently expect that we would continue to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However, to the extent that commodity and component costs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components, parts, and accessories costs. In the first three months of fiscal 2021, the average cost of commodities, components, parts, and accessories purchased, including the impact of inflation and tariff costs, was slightly higher compared to the first three months of fiscal 2020. We anticipate that the average cost of commodities, components, parts, and accessories purchased, including the impact of inflation and tariff costs, for the remainder of fiscal 2021 will be higher than the average costs experienced during the comparable period of fiscal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evaluated, with the participation of our Chairman of the Board, President and Chief Executive Officer and Vice President, Treasurer and Chief Financial Officer, the effectiveness of the design and operation of our disclosure controls and procedures as of the end of the period covered by this Quarterly Report on Form 10-Q. Based on that evaluation, our Chairman of the Board, President and Chief Executive Officer and Vice President, Treasurer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Treasurer and Chief Financial Officer,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 2020, during the second quarter of fiscal 2020, we completed the acquisition of Venture Products. Prior to this acquisition, Venture Products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Venture Products that we believe are appropriate and necessary to account for the acquisition and to consolidate and report our financial results. We expect to complete our integration activities related to internal control over financial reporting for Venture Products during fiscal 2021. Accordingly, we expect to include Venture Products within our assessment of internal control over financial reporting as of October 31, 2021.</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internal control related integration activities associated with the company's acquisition of Venture Products, there was no change in our internal control over financial reporting that occurred during the three month period ended January 29,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see Note 15, </w:t>
      </w:r>
      <w:r>
        <w:rPr>
          <w:rFonts w:ascii="Arial" w:cs="Arial" w:eastAsia="Arial" w:hAnsi="Arial"/>
          <w:sz w:val="17"/>
          <w:szCs w:val="17"/>
          <w:i w:val="1"/>
          <w:iCs w:val="1"/>
          <w:color w:val="auto"/>
        </w:rPr>
        <w:t>Contingencies</w:t>
      </w:r>
      <w:r>
        <w:rPr>
          <w:rFonts w:ascii="Arial" w:cs="Arial" w:eastAsia="Arial" w:hAnsi="Arial"/>
          <w:sz w:val="17"/>
          <w:szCs w:val="17"/>
          <w:color w:val="auto"/>
        </w:rPr>
        <w:t>, in our Notes to Condensed Consolidated Financial Statements under the headings titled "Litigation" and "Litigation Settlement"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Item 1 of this Quarterly Report on Form 10-Q, which is incorporated into this Part II. Item 1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with respect to shares of the company's common stock purchased by the company during each of the three fiscal months in our first quarter ended January 29,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w w:val="88"/>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Maximum Number of</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center"/>
              <w:ind w:right="97"/>
              <w:spacing w:after="0"/>
              <w:rPr>
                <w:sz w:val="20"/>
                <w:szCs w:val="20"/>
                <w:color w:val="auto"/>
              </w:rPr>
            </w:pPr>
            <w:r>
              <w:rPr>
                <w:rFonts w:ascii="Arial" w:cs="Arial" w:eastAsia="Arial" w:hAnsi="Arial"/>
                <w:sz w:val="17"/>
                <w:szCs w:val="17"/>
                <w:b w:val="1"/>
                <w:bCs w:val="1"/>
                <w:color w:val="auto"/>
                <w:w w:val="86"/>
              </w:rPr>
              <w:t>Average</w:t>
            </w:r>
          </w:p>
        </w:tc>
        <w:tc>
          <w:tcPr>
            <w:tcW w:w="19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9"/>
              </w:rPr>
              <w:t>(or Units)</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260" w:type="dxa"/>
            <w:vAlign w:val="bottom"/>
            <w:vMerge w:val="restart"/>
          </w:tcPr>
          <w:p>
            <w:pPr>
              <w:jc w:val="center"/>
              <w:ind w:left="717"/>
              <w:spacing w:after="0"/>
              <w:rPr>
                <w:sz w:val="20"/>
                <w:szCs w:val="20"/>
                <w:color w:val="auto"/>
              </w:rPr>
            </w:pPr>
            <w:r>
              <w:rPr>
                <w:rFonts w:ascii="Arial" w:cs="Arial" w:eastAsia="Arial" w:hAnsi="Arial"/>
                <w:sz w:val="17"/>
                <w:szCs w:val="17"/>
                <w:b w:val="1"/>
                <w:bCs w:val="1"/>
                <w:color w:val="auto"/>
                <w:w w:val="90"/>
              </w:rPr>
              <w:t>Total Number of</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4"/>
              </w:rPr>
              <w:t>Purchased As</w:t>
            </w:r>
          </w:p>
        </w:tc>
        <w:tc>
          <w:tcPr>
            <w:tcW w:w="18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9"/>
              </w:rPr>
              <w:t>Shares (or Units) that</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97"/>
              <w:spacing w:after="0" w:line="162" w:lineRule="exact"/>
              <w:rPr>
                <w:sz w:val="20"/>
                <w:szCs w:val="20"/>
                <w:color w:val="auto"/>
              </w:rPr>
            </w:pPr>
            <w:r>
              <w:rPr>
                <w:rFonts w:ascii="Arial" w:cs="Arial" w:eastAsia="Arial" w:hAnsi="Arial"/>
                <w:sz w:val="17"/>
                <w:szCs w:val="17"/>
                <w:b w:val="1"/>
                <w:bCs w:val="1"/>
                <w:color w:val="auto"/>
                <w:w w:val="89"/>
              </w:rPr>
              <w:t>Price Paid</w:t>
            </w:r>
          </w:p>
        </w:tc>
        <w:tc>
          <w:tcPr>
            <w:tcW w:w="19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0"/>
              </w:rPr>
              <w:t>Part of Publicly</w:t>
            </w:r>
          </w:p>
        </w:tc>
        <w:tc>
          <w:tcPr>
            <w:tcW w:w="18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8"/>
              </w:rPr>
              <w:t>May Yet Be Purchased</w:t>
            </w:r>
          </w:p>
        </w:tc>
        <w:tc>
          <w:tcPr>
            <w:tcW w:w="0" w:type="dxa"/>
            <w:vAlign w:val="bottom"/>
          </w:tcPr>
          <w:p>
            <w:pPr>
              <w:spacing w:after="0"/>
              <w:rPr>
                <w:sz w:val="1"/>
                <w:szCs w:val="1"/>
                <w:color w:val="auto"/>
              </w:rPr>
            </w:pPr>
          </w:p>
        </w:tc>
      </w:tr>
      <w:tr>
        <w:trPr>
          <w:trHeight w:val="162"/>
        </w:trPr>
        <w:tc>
          <w:tcPr>
            <w:tcW w:w="40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2260" w:type="dxa"/>
            <w:vAlign w:val="bottom"/>
          </w:tcPr>
          <w:p>
            <w:pPr>
              <w:jc w:val="center"/>
              <w:ind w:left="697"/>
              <w:spacing w:after="0" w:line="162" w:lineRule="exact"/>
              <w:rPr>
                <w:sz w:val="20"/>
                <w:szCs w:val="20"/>
                <w:color w:val="auto"/>
              </w:rPr>
            </w:pPr>
            <w:r>
              <w:rPr>
                <w:rFonts w:ascii="Arial" w:cs="Arial" w:eastAsia="Arial" w:hAnsi="Arial"/>
                <w:sz w:val="17"/>
                <w:szCs w:val="17"/>
                <w:b w:val="1"/>
                <w:bCs w:val="1"/>
                <w:color w:val="auto"/>
                <w:w w:val="87"/>
              </w:rPr>
              <w:t>Shares (or Units)</w:t>
            </w:r>
          </w:p>
        </w:tc>
        <w:tc>
          <w:tcPr>
            <w:tcW w:w="240" w:type="dxa"/>
            <w:vAlign w:val="bottom"/>
          </w:tcPr>
          <w:p>
            <w:pPr>
              <w:spacing w:after="0"/>
              <w:rPr>
                <w:sz w:val="14"/>
                <w:szCs w:val="14"/>
                <w:color w:val="auto"/>
              </w:rPr>
            </w:pPr>
          </w:p>
        </w:tc>
        <w:tc>
          <w:tcPr>
            <w:tcW w:w="1000" w:type="dxa"/>
            <w:vAlign w:val="bottom"/>
          </w:tcPr>
          <w:p>
            <w:pPr>
              <w:jc w:val="center"/>
              <w:ind w:right="97"/>
              <w:spacing w:after="0" w:line="162" w:lineRule="exact"/>
              <w:rPr>
                <w:sz w:val="20"/>
                <w:szCs w:val="20"/>
                <w:color w:val="auto"/>
              </w:rPr>
            </w:pPr>
            <w:r>
              <w:rPr>
                <w:rFonts w:ascii="Arial" w:cs="Arial" w:eastAsia="Arial" w:hAnsi="Arial"/>
                <w:sz w:val="17"/>
                <w:szCs w:val="17"/>
                <w:b w:val="1"/>
                <w:bCs w:val="1"/>
                <w:color w:val="auto"/>
                <w:w w:val="89"/>
              </w:rPr>
              <w:t>per Share</w:t>
            </w:r>
          </w:p>
        </w:tc>
        <w:tc>
          <w:tcPr>
            <w:tcW w:w="19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7"/>
              </w:rPr>
              <w:t>Announced Plans or</w:t>
            </w:r>
          </w:p>
        </w:tc>
        <w:tc>
          <w:tcPr>
            <w:tcW w:w="18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8"/>
              </w:rPr>
              <w:t>Under the Plans or</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tcPr>
          <w:p>
            <w:pPr>
              <w:jc w:val="center"/>
              <w:ind w:left="697"/>
              <w:spacing w:after="0" w:line="216" w:lineRule="exact"/>
              <w:rPr>
                <w:sz w:val="20"/>
                <w:szCs w:val="20"/>
                <w:color w:val="auto"/>
              </w:rPr>
            </w:pPr>
            <w:r>
              <w:rPr>
                <w:rFonts w:ascii="Arial" w:cs="Arial" w:eastAsia="Arial" w:hAnsi="Arial"/>
                <w:sz w:val="17"/>
                <w:szCs w:val="17"/>
                <w:b w:val="1"/>
                <w:bCs w:val="1"/>
                <w:color w:val="auto"/>
                <w:w w:val="82"/>
              </w:rPr>
              <w:t>Purchased</w:t>
            </w:r>
            <w:r>
              <w:rPr>
                <w:rFonts w:ascii="Arial" w:cs="Arial" w:eastAsia="Arial" w:hAnsi="Arial"/>
                <w:sz w:val="21"/>
                <w:szCs w:val="21"/>
                <w:b w:val="1"/>
                <w:bCs w:val="1"/>
                <w:color w:val="auto"/>
                <w:w w:val="82"/>
                <w:vertAlign w:val="superscript"/>
              </w:rPr>
              <w:t>1,2</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7"/>
                <w:szCs w:val="17"/>
                <w:b w:val="1"/>
                <w:bCs w:val="1"/>
                <w:color w:val="auto"/>
                <w:w w:val="93"/>
              </w:rPr>
              <w:t>(or Unit)</w:t>
            </w:r>
          </w:p>
        </w:tc>
        <w:tc>
          <w:tcPr>
            <w:tcW w:w="19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7"/>
                <w:szCs w:val="17"/>
                <w:b w:val="1"/>
                <w:bCs w:val="1"/>
                <w:color w:val="auto"/>
                <w:w w:val="87"/>
              </w:rPr>
              <w:t>Programs</w:t>
            </w:r>
            <w:r>
              <w:rPr>
                <w:rFonts w:ascii="Arial" w:cs="Arial" w:eastAsia="Arial" w:hAnsi="Arial"/>
                <w:sz w:val="21"/>
                <w:szCs w:val="21"/>
                <w:b w:val="1"/>
                <w:bCs w:val="1"/>
                <w:color w:val="auto"/>
                <w:w w:val="87"/>
                <w:vertAlign w:val="superscript"/>
              </w:rPr>
              <w:t>1</w:t>
            </w:r>
          </w:p>
        </w:tc>
        <w:tc>
          <w:tcPr>
            <w:tcW w:w="18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7"/>
                <w:szCs w:val="17"/>
                <w:b w:val="1"/>
                <w:bCs w:val="1"/>
                <w:color w:val="auto"/>
                <w:w w:val="84"/>
              </w:rPr>
              <w:t>Programs</w:t>
            </w:r>
            <w:r>
              <w:rPr>
                <w:rFonts w:ascii="Arial" w:cs="Arial" w:eastAsia="Arial" w:hAnsi="Arial"/>
                <w:sz w:val="21"/>
                <w:szCs w:val="21"/>
                <w:b w:val="1"/>
                <w:bCs w:val="1"/>
                <w:color w:val="auto"/>
                <w:w w:val="84"/>
                <w:vertAlign w:val="superscript"/>
              </w:rPr>
              <w:t>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1, 2020 through December 4, 2020</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7,042,256</w:t>
            </w: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December 5, 2020 through January 1, 2021</w:t>
            </w:r>
          </w:p>
        </w:tc>
        <w:tc>
          <w:tcPr>
            <w:tcW w:w="2260" w:type="dxa"/>
            <w:vAlign w:val="bottom"/>
          </w:tcPr>
          <w:p>
            <w:pPr>
              <w:jc w:val="right"/>
              <w:spacing w:after="0"/>
              <w:rPr>
                <w:sz w:val="20"/>
                <w:szCs w:val="20"/>
                <w:color w:val="auto"/>
              </w:rPr>
            </w:pPr>
            <w:r>
              <w:rPr>
                <w:rFonts w:ascii="Arial" w:cs="Arial" w:eastAsia="Arial" w:hAnsi="Arial"/>
                <w:sz w:val="17"/>
                <w:szCs w:val="17"/>
                <w:color w:val="auto"/>
              </w:rPr>
              <w:t>204,033</w:t>
            </w:r>
          </w:p>
        </w:tc>
        <w:tc>
          <w:tcPr>
            <w:tcW w:w="2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94.16</w:t>
            </w:r>
          </w:p>
        </w:tc>
        <w:tc>
          <w:tcPr>
            <w:tcW w:w="1900" w:type="dxa"/>
            <w:vAlign w:val="bottom"/>
          </w:tcPr>
          <w:p>
            <w:pPr>
              <w:jc w:val="right"/>
              <w:ind w:right="77"/>
              <w:spacing w:after="0"/>
              <w:rPr>
                <w:sz w:val="20"/>
                <w:szCs w:val="20"/>
                <w:color w:val="auto"/>
              </w:rPr>
            </w:pPr>
            <w:r>
              <w:rPr>
                <w:rFonts w:ascii="Arial" w:cs="Arial" w:eastAsia="Arial" w:hAnsi="Arial"/>
                <w:sz w:val="17"/>
                <w:szCs w:val="17"/>
                <w:color w:val="auto"/>
              </w:rPr>
              <w:t>204,033</w:t>
            </w:r>
          </w:p>
        </w:tc>
        <w:tc>
          <w:tcPr>
            <w:tcW w:w="1800" w:type="dxa"/>
            <w:vAlign w:val="bottom"/>
          </w:tcPr>
          <w:p>
            <w:pPr>
              <w:jc w:val="right"/>
              <w:spacing w:after="0"/>
              <w:rPr>
                <w:sz w:val="20"/>
                <w:szCs w:val="20"/>
                <w:color w:val="auto"/>
              </w:rPr>
            </w:pPr>
            <w:r>
              <w:rPr>
                <w:rFonts w:ascii="Arial" w:cs="Arial" w:eastAsia="Arial" w:hAnsi="Arial"/>
                <w:sz w:val="17"/>
                <w:szCs w:val="17"/>
                <w:color w:val="auto"/>
              </w:rPr>
              <w:t>6,838,223</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January 2, 2021 through January 29, 2021</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130,012</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94.27</w:t>
            </w:r>
          </w:p>
        </w:tc>
        <w:tc>
          <w:tcPr>
            <w:tcW w:w="1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128,845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6,709,378</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334,045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94.20</w:t>
            </w:r>
          </w:p>
        </w:tc>
        <w:tc>
          <w:tcPr>
            <w:tcW w:w="1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332,878</w:t>
            </w: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180" w:hanging="172"/>
        <w:spacing w:after="0" w:line="233" w:lineRule="auto"/>
        <w:tabs>
          <w:tab w:leader="none" w:pos="207"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The company repurchased 332,878 shares under this authorized stock repurchase program during the period indicated above and 6,709,378 shares remained available to repurchase under this authorized stock repurchase program as of January 29, 2021.</w:t>
      </w:r>
    </w:p>
    <w:p>
      <w:pPr>
        <w:spacing w:after="0" w:line="92" w:lineRule="exact"/>
        <w:rPr>
          <w:sz w:val="20"/>
          <w:szCs w:val="20"/>
          <w:color w:val="auto"/>
        </w:rPr>
      </w:pPr>
    </w:p>
    <w:p>
      <w:pPr>
        <w:jc w:val="both"/>
        <w:ind w:left="180" w:hanging="172"/>
        <w:spacing w:after="0" w:line="227" w:lineRule="auto"/>
        <w:tabs>
          <w:tab w:leader="none" w:pos="194"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Includes 1,167 units (shares) of the company’s common stock purchased in open-market transactions at an average price of $100.22 per share on behalf of a rabbi trust formed to pay benefit obligations of the company to participants in the company's deferred compensation plan. These 1,167 shares were not repurchased under the company’s authorized stock repurchase program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Arial" w:cs="Arial" w:eastAsia="Arial" w:hAnsi="Arial"/>
                <w:sz w:val="17"/>
                <w:szCs w:val="17"/>
                <w:b w:val="1"/>
                <w:bCs w:val="1"/>
                <w:color w:val="auto"/>
              </w:rPr>
              <w:t>(a)</w:t>
            </w:r>
          </w:p>
        </w:tc>
        <w:tc>
          <w:tcPr>
            <w:tcW w:w="12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b w:val="1"/>
                <w:bCs w:val="1"/>
                <w:color w:val="auto"/>
              </w:rPr>
              <w:t>Exhibit No.</w:t>
            </w:r>
          </w:p>
        </w:tc>
        <w:tc>
          <w:tcPr>
            <w:tcW w:w="36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400" w:type="dxa"/>
            <w:vAlign w:val="bottom"/>
            <w:tcBorders>
              <w:top w:val="single" w:sz="8" w:color="auto"/>
              <w:bottom w:val="single" w:sz="8" w:color="auto"/>
            </w:tcBorders>
            <w:gridSpan w:val="16"/>
          </w:tcPr>
          <w:p>
            <w:pPr>
              <w:ind w:left="4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1280" w:type="dxa"/>
            <w:vAlign w:val="bottom"/>
          </w:tcPr>
          <w:p>
            <w:pPr>
              <w:ind w:left="20"/>
              <w:spacing w:after="0" w:line="169" w:lineRule="exact"/>
              <w:rPr>
                <w:sz w:val="20"/>
                <w:szCs w:val="20"/>
                <w:color w:val="auto"/>
              </w:rPr>
            </w:pPr>
            <w:r>
              <w:rPr>
                <w:rFonts w:ascii="Arial" w:cs="Arial" w:eastAsia="Arial" w:hAnsi="Arial"/>
                <w:sz w:val="17"/>
                <w:szCs w:val="17"/>
                <w:b w:val="1"/>
                <w:bCs w:val="1"/>
                <w:color w:val="auto"/>
              </w:rPr>
              <w:t>2.1</w:t>
            </w:r>
          </w:p>
        </w:tc>
        <w:tc>
          <w:tcPr>
            <w:tcW w:w="9720" w:type="dxa"/>
            <w:vAlign w:val="bottom"/>
            <w:gridSpan w:val="19"/>
          </w:tcPr>
          <w:p>
            <w:pPr>
              <w:spacing w:after="0" w:line="169" w:lineRule="exact"/>
              <w:rPr>
                <w:rFonts w:ascii="Arial" w:cs="Arial" w:eastAsia="Arial" w:hAnsi="Arial"/>
                <w:sz w:val="17"/>
                <w:szCs w:val="17"/>
                <w:color w:val="0000FF"/>
                <w:w w:val="93"/>
              </w:rPr>
            </w:pPr>
            <w:hyperlink r:id="rId58">
              <w:r>
                <w:rPr>
                  <w:rFonts w:ascii="Arial" w:cs="Arial" w:eastAsia="Arial" w:hAnsi="Arial"/>
                  <w:sz w:val="17"/>
                  <w:szCs w:val="17"/>
                  <w:color w:val="0000FF"/>
                  <w:w w:val="93"/>
                </w:rPr>
                <w:t>Agreement and Plan of Merger dated as of February 14, 2019, by and among The Toro Company, The Charles Machine Works, Inc., Helix</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Company, Inc., and Agent 186 LLC as Shareholders’ Agent (incorporated by reference to Exhibit 2.1 to Registrant’s Current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5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7"/>
              </w:rPr>
            </w:pPr>
            <w:hyperlink r:id="rId58">
              <w:r>
                <w:rPr>
                  <w:rFonts w:ascii="Arial" w:cs="Arial" w:eastAsia="Arial" w:hAnsi="Arial"/>
                  <w:sz w:val="16"/>
                  <w:szCs w:val="16"/>
                  <w:color w:val="0000FF"/>
                  <w:w w:val="97"/>
                </w:rPr>
                <w:t>Form 8-K dated February 14, 2019, Commission File No. 1-8649).</w:t>
              </w:r>
            </w:hyperlink>
          </w:p>
        </w:tc>
        <w:tc>
          <w:tcPr>
            <w:tcW w:w="502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3.1 and 4.1</w:t>
            </w:r>
          </w:p>
        </w:tc>
        <w:tc>
          <w:tcPr>
            <w:tcW w:w="9720" w:type="dxa"/>
            <w:vAlign w:val="bottom"/>
            <w:gridSpan w:val="19"/>
          </w:tcPr>
          <w:p>
            <w:pPr>
              <w:spacing w:after="0"/>
              <w:rPr>
                <w:rFonts w:ascii="Arial" w:cs="Arial" w:eastAsia="Arial" w:hAnsi="Arial"/>
                <w:sz w:val="17"/>
                <w:szCs w:val="17"/>
                <w:color w:val="0000FF"/>
                <w:w w:val="96"/>
              </w:rPr>
            </w:pPr>
            <w:hyperlink r:id="rId59">
              <w:r>
                <w:rPr>
                  <w:rFonts w:ascii="Arial" w:cs="Arial" w:eastAsia="Arial" w:hAnsi="Arial"/>
                  <w:sz w:val="17"/>
                  <w:szCs w:val="17"/>
                  <w:color w:val="0000FF"/>
                  <w:w w:val="96"/>
                </w:rPr>
                <w:t>Restated Certificate of Incorporation of The Toro Company (incorporated by reference to Exhibit 3.1 to Registrant’s Current Report on</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7"/>
              </w:rPr>
            </w:pPr>
            <w:hyperlink r:id="rId59">
              <w:r>
                <w:rPr>
                  <w:rFonts w:ascii="Arial" w:cs="Arial" w:eastAsia="Arial" w:hAnsi="Arial"/>
                  <w:sz w:val="16"/>
                  <w:szCs w:val="16"/>
                  <w:color w:val="0000FF"/>
                  <w:w w:val="97"/>
                </w:rPr>
                <w:t>Form 8-K dated June 17, 2008, Commission File No. 1-8649).</w:t>
              </w:r>
            </w:hyperlink>
          </w:p>
        </w:tc>
        <w:tc>
          <w:tcPr>
            <w:tcW w:w="52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3.2 and 4.2</w:t>
            </w:r>
          </w:p>
        </w:tc>
        <w:tc>
          <w:tcPr>
            <w:tcW w:w="9720" w:type="dxa"/>
            <w:vAlign w:val="bottom"/>
            <w:gridSpan w:val="19"/>
          </w:tcPr>
          <w:p>
            <w:pPr>
              <w:spacing w:after="0"/>
              <w:rPr>
                <w:rFonts w:ascii="Arial" w:cs="Arial" w:eastAsia="Arial" w:hAnsi="Arial"/>
                <w:sz w:val="17"/>
                <w:szCs w:val="17"/>
                <w:color w:val="0000FF"/>
                <w:w w:val="98"/>
              </w:rPr>
            </w:pPr>
            <w:hyperlink r:id="rId60">
              <w:r>
                <w:rPr>
                  <w:rFonts w:ascii="Arial" w:cs="Arial" w:eastAsia="Arial" w:hAnsi="Arial"/>
                  <w:sz w:val="17"/>
                  <w:szCs w:val="17"/>
                  <w:color w:val="0000FF"/>
                  <w:w w:val="98"/>
                </w:rPr>
                <w:t>Certificate of Amendment to Restated Certificate of Incorporation of The Toro Company (incorporated by reference to Exhibit 3.1 to</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7"/>
              </w:rPr>
            </w:pPr>
            <w:hyperlink r:id="rId60">
              <w:r>
                <w:rPr>
                  <w:rFonts w:ascii="Arial" w:cs="Arial" w:eastAsia="Arial" w:hAnsi="Arial"/>
                  <w:sz w:val="16"/>
                  <w:szCs w:val="16"/>
                  <w:color w:val="0000FF"/>
                  <w:w w:val="97"/>
                </w:rPr>
                <w:t>Registrant’s Current Report on Form 8-K dated March 12, 2013, Commission File No. 1-8649).</w:t>
              </w:r>
            </w:hyperlink>
          </w:p>
        </w:tc>
        <w:tc>
          <w:tcPr>
            <w:tcW w:w="298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3.3 and 4.3</w:t>
            </w:r>
          </w:p>
        </w:tc>
        <w:tc>
          <w:tcPr>
            <w:tcW w:w="9720" w:type="dxa"/>
            <w:vAlign w:val="bottom"/>
            <w:gridSpan w:val="19"/>
          </w:tcPr>
          <w:p>
            <w:pPr>
              <w:spacing w:after="0"/>
              <w:rPr>
                <w:rFonts w:ascii="Arial" w:cs="Arial" w:eastAsia="Arial" w:hAnsi="Arial"/>
                <w:sz w:val="17"/>
                <w:szCs w:val="17"/>
                <w:color w:val="0000FF"/>
                <w:w w:val="93"/>
              </w:rPr>
            </w:pPr>
            <w:hyperlink r:id="rId61">
              <w:r>
                <w:rPr>
                  <w:rFonts w:ascii="Arial" w:cs="Arial" w:eastAsia="Arial" w:hAnsi="Arial"/>
                  <w:sz w:val="17"/>
                  <w:szCs w:val="17"/>
                  <w:color w:val="0000FF"/>
                  <w:w w:val="93"/>
                </w:rPr>
                <w:t>Amended and Restated Bylaws of The Toro Company (incorporated by reference to Exhibit 3.1 to Registrant’s Current Report on Form 8-</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7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K dated July 19, 2016,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4.4</w:t>
            </w:r>
          </w:p>
        </w:tc>
        <w:tc>
          <w:tcPr>
            <w:tcW w:w="36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20" w:type="dxa"/>
            <w:vAlign w:val="bottom"/>
            <w:gridSpan w:val="19"/>
          </w:tcPr>
          <w:p>
            <w:pPr>
              <w:spacing w:after="0"/>
              <w:rPr>
                <w:sz w:val="20"/>
                <w:szCs w:val="20"/>
                <w:color w:val="auto"/>
              </w:rPr>
            </w:pPr>
            <w:r>
              <w:rPr>
                <w:rFonts w:ascii="Arial" w:cs="Arial" w:eastAsia="Arial" w:hAnsi="Arial"/>
                <w:sz w:val="17"/>
                <w:szCs w:val="17"/>
                <w:color w:val="auto"/>
                <w:w w:val="93"/>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w w:val="95"/>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20" w:type="dxa"/>
            <w:vAlign w:val="bottom"/>
            <w:gridSpan w:val="19"/>
          </w:tcPr>
          <w:p>
            <w:pPr>
              <w:spacing w:after="0"/>
              <w:rPr>
                <w:sz w:val="20"/>
                <w:szCs w:val="20"/>
                <w:color w:val="auto"/>
              </w:rPr>
            </w:pPr>
            <w:r>
              <w:rPr>
                <w:rFonts w:ascii="Arial" w:cs="Arial" w:eastAsia="Arial" w:hAnsi="Arial"/>
                <w:sz w:val="17"/>
                <w:szCs w:val="17"/>
                <w:color w:val="auto"/>
                <w:w w:val="95"/>
              </w:rPr>
              <w:t>dated June 24, 1997, Commission File No. 1-8649). (Filed on paper - hyperlink is not required pursuant to Rule 105 of Regulation S-T).</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4.5</w:t>
            </w:r>
          </w:p>
        </w:tc>
        <w:tc>
          <w:tcPr>
            <w:tcW w:w="9720" w:type="dxa"/>
            <w:vAlign w:val="bottom"/>
            <w:gridSpan w:val="19"/>
          </w:tcPr>
          <w:p>
            <w:pPr>
              <w:spacing w:after="0"/>
              <w:rPr>
                <w:rFonts w:ascii="Arial" w:cs="Arial" w:eastAsia="Arial" w:hAnsi="Arial"/>
                <w:sz w:val="17"/>
                <w:szCs w:val="17"/>
                <w:color w:val="0000FF"/>
                <w:w w:val="93"/>
              </w:rPr>
            </w:pPr>
            <w:hyperlink r:id="rId62">
              <w:r>
                <w:rPr>
                  <w:rFonts w:ascii="Arial" w:cs="Arial" w:eastAsia="Arial" w:hAnsi="Arial"/>
                  <w:sz w:val="17"/>
                  <w:szCs w:val="17"/>
                  <w:color w:val="0000FF"/>
                  <w:w w:val="93"/>
                </w:rPr>
                <w:t>Indenture dated as of April 20, 2007, between The Toro Company and The Bank of New York Trust Company, N.A., as Trustee, relating to</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9"/>
              </w:rPr>
            </w:pPr>
            <w:hyperlink r:id="rId62">
              <w:r>
                <w:rPr>
                  <w:rFonts w:ascii="Arial" w:cs="Arial" w:eastAsia="Arial" w:hAnsi="Arial"/>
                  <w:sz w:val="16"/>
                  <w:szCs w:val="16"/>
                  <w:color w:val="0000FF"/>
                  <w:w w:val="99"/>
                </w:rPr>
                <w:t>The Toro Company’s 6.625% Notes due May 1, 2037 (incorporated by reference to Exhibit 4.3 to Registrant’s Registration Statement on</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80" w:type="dxa"/>
            <w:vAlign w:val="bottom"/>
            <w:tcBorders>
              <w:bottom w:val="single" w:sz="8" w:color="0000FF"/>
            </w:tcBorders>
            <w:gridSpan w:val="8"/>
          </w:tcPr>
          <w:p>
            <w:pPr>
              <w:spacing w:after="0" w:line="142" w:lineRule="exact"/>
              <w:rPr>
                <w:rFonts w:ascii="Arial" w:cs="Arial" w:eastAsia="Arial" w:hAnsi="Arial"/>
                <w:sz w:val="16"/>
                <w:szCs w:val="16"/>
                <w:color w:val="0000FF"/>
                <w:w w:val="97"/>
              </w:rPr>
            </w:pPr>
            <w:hyperlink r:id="rId62">
              <w:r>
                <w:rPr>
                  <w:rFonts w:ascii="Arial" w:cs="Arial" w:eastAsia="Arial" w:hAnsi="Arial"/>
                  <w:sz w:val="16"/>
                  <w:szCs w:val="16"/>
                  <w:color w:val="0000FF"/>
                  <w:w w:val="97"/>
                </w:rPr>
                <w:t>Form S-3 filed with the Securities and Exchange Commission on April 23, 2007, Registration No. 333-142282).</w:t>
              </w:r>
            </w:hyperlink>
          </w:p>
        </w:tc>
        <w:tc>
          <w:tcPr>
            <w:tcW w:w="200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4.6</w:t>
            </w:r>
          </w:p>
        </w:tc>
        <w:tc>
          <w:tcPr>
            <w:tcW w:w="9720" w:type="dxa"/>
            <w:vAlign w:val="bottom"/>
            <w:gridSpan w:val="19"/>
          </w:tcPr>
          <w:p>
            <w:pPr>
              <w:spacing w:after="0"/>
              <w:rPr>
                <w:rFonts w:ascii="Arial" w:cs="Arial" w:eastAsia="Arial" w:hAnsi="Arial"/>
                <w:sz w:val="17"/>
                <w:szCs w:val="17"/>
                <w:color w:val="0000FF"/>
                <w:w w:val="93"/>
              </w:rPr>
            </w:pPr>
            <w:hyperlink r:id="rId63">
              <w:r>
                <w:rPr>
                  <w:rFonts w:ascii="Arial" w:cs="Arial" w:eastAsia="Arial" w:hAnsi="Arial"/>
                  <w:sz w:val="17"/>
                  <w:szCs w:val="17"/>
                  <w:color w:val="0000FF"/>
                  <w:w w:val="93"/>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2" w:lineRule="exact"/>
              <w:rPr>
                <w:rFonts w:ascii="Arial" w:cs="Arial" w:eastAsia="Arial" w:hAnsi="Arial"/>
                <w:sz w:val="16"/>
                <w:szCs w:val="16"/>
                <w:color w:val="0000FF"/>
                <w:w w:val="99"/>
              </w:rPr>
            </w:pPr>
            <w:hyperlink r:id="rId63">
              <w:r>
                <w:rPr>
                  <w:rFonts w:ascii="Arial" w:cs="Arial" w:eastAsia="Arial" w:hAnsi="Arial"/>
                  <w:sz w:val="16"/>
                  <w:szCs w:val="16"/>
                  <w:color w:val="0000FF"/>
                  <w:w w:val="99"/>
                </w:rPr>
                <w:t>Trustee, relating to The Toro Company’s 6.625% Notes due May 1, 2037 (incorporated by reference to Exhibit 4.1 to Registrant’s Current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Report on Form 8-K dated April 23, 2007, Commission File No. 1-8649).</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4.7</w:t>
            </w:r>
          </w:p>
        </w:tc>
        <w:tc>
          <w:tcPr>
            <w:tcW w:w="43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20" w:type="dxa"/>
            <w:vAlign w:val="bottom"/>
            <w:gridSpan w:val="19"/>
          </w:tcPr>
          <w:p>
            <w:pPr>
              <w:spacing w:after="0"/>
              <w:rPr>
                <w:rFonts w:ascii="Arial" w:cs="Arial" w:eastAsia="Arial" w:hAnsi="Arial"/>
                <w:sz w:val="17"/>
                <w:szCs w:val="17"/>
                <w:color w:val="0000FF"/>
                <w:w w:val="96"/>
              </w:rPr>
            </w:pPr>
            <w:hyperlink r:id="rId64">
              <w:r>
                <w:rPr>
                  <w:rFonts w:ascii="Arial" w:cs="Arial" w:eastAsia="Arial" w:hAnsi="Arial"/>
                  <w:sz w:val="17"/>
                  <w:szCs w:val="17"/>
                  <w:color w:val="0000FF"/>
                  <w:w w:val="96"/>
                </w:rPr>
                <w:t>Form of The Toro Company 6.625% Note due May 1, 2037 (incorporated by reference to Exhibit 4.2 to Registrant’s Current Report on</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Form 8-K dated April 23, 2007, Commission File No. 1-8649).</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31.1</w:t>
            </w:r>
          </w:p>
        </w:tc>
        <w:tc>
          <w:tcPr>
            <w:tcW w:w="432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9720" w:type="dxa"/>
            <w:vAlign w:val="bottom"/>
            <w:gridSpan w:val="19"/>
          </w:tcPr>
          <w:p>
            <w:pPr>
              <w:spacing w:after="0"/>
              <w:rPr>
                <w:rFonts w:ascii="Arial" w:cs="Arial" w:eastAsia="Arial" w:hAnsi="Arial"/>
                <w:sz w:val="17"/>
                <w:szCs w:val="17"/>
                <w:color w:val="0000FF"/>
                <w:w w:val="98"/>
              </w:rPr>
            </w:pPr>
            <w:hyperlink w:anchor="page49">
              <w:r>
                <w:rPr>
                  <w:rFonts w:ascii="Arial" w:cs="Arial" w:eastAsia="Arial" w:hAnsi="Arial"/>
                  <w:sz w:val="17"/>
                  <w:szCs w:val="17"/>
                  <w:u w:val="single" w:color="auto"/>
                  <w:color w:val="0000FF"/>
                  <w:w w:val="98"/>
                </w:rPr>
                <w:t>Certification of Chief Executive Officer Pursuant to Rule 13a-14(a) (Section 302 of the Sarbanes-Oxley Act of 2002) (filed herewith)</w:t>
              </w:r>
              <w:r>
                <w:rPr>
                  <w:rFonts w:ascii="Arial" w:cs="Arial" w:eastAsia="Arial" w:hAnsi="Arial"/>
                  <w:sz w:val="17"/>
                  <w:szCs w:val="17"/>
                  <w:color w:val="0000FF"/>
                  <w:w w:val="98"/>
                </w:rPr>
                <w:t>.</w:t>
              </w:r>
            </w:hyperlink>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31.2</w:t>
            </w:r>
          </w:p>
        </w:tc>
        <w:tc>
          <w:tcPr>
            <w:tcW w:w="9720" w:type="dxa"/>
            <w:vAlign w:val="bottom"/>
            <w:gridSpan w:val="19"/>
          </w:tcPr>
          <w:p>
            <w:pPr>
              <w:spacing w:after="0"/>
              <w:rPr>
                <w:rFonts w:ascii="Arial" w:cs="Arial" w:eastAsia="Arial" w:hAnsi="Arial"/>
                <w:sz w:val="17"/>
                <w:szCs w:val="17"/>
                <w:u w:val="single" w:color="auto"/>
                <w:color w:val="0000FF"/>
                <w:w w:val="98"/>
              </w:rPr>
            </w:pPr>
            <w:hyperlink w:anchor="page50">
              <w:r>
                <w:rPr>
                  <w:rFonts w:ascii="Arial" w:cs="Arial" w:eastAsia="Arial" w:hAnsi="Arial"/>
                  <w:sz w:val="17"/>
                  <w:szCs w:val="17"/>
                  <w:u w:val="single" w:color="auto"/>
                  <w:color w:val="0000FF"/>
                  <w:w w:val="98"/>
                </w:rPr>
                <w:t>Certification of Chief Financial Officer Pursuant to Rule 13a-14(a) (Section 302 of the Sarbanes-Oxley Act of 2002) (filed herewith).</w:t>
              </w:r>
            </w:hyperlink>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32</w:t>
            </w:r>
          </w:p>
        </w:tc>
        <w:tc>
          <w:tcPr>
            <w:tcW w:w="9720" w:type="dxa"/>
            <w:vAlign w:val="bottom"/>
            <w:gridSpan w:val="19"/>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7"/>
              </w:rPr>
            </w:pPr>
            <w:hyperlink w:anchor="page51">
              <w:r>
                <w:rPr>
                  <w:rFonts w:ascii="Arial" w:cs="Arial" w:eastAsia="Arial" w:hAnsi="Arial"/>
                  <w:sz w:val="16"/>
                  <w:szCs w:val="16"/>
                  <w:color w:val="0000FF"/>
                  <w:w w:val="97"/>
                </w:rPr>
                <w:t>Section 906 of the Sarbanes-Oxley Act of 2002 (furnished herewith).</w:t>
              </w:r>
            </w:hyperlink>
          </w:p>
        </w:tc>
        <w:tc>
          <w:tcPr>
            <w:tcW w:w="4860" w:type="dxa"/>
            <w:vAlign w:val="bottom"/>
            <w:tcBorders>
              <w:top w:val="single" w:sz="8" w:color="0000FF"/>
            </w:tcBorders>
            <w:gridSpan w:val="8"/>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101</w:t>
            </w:r>
          </w:p>
        </w:tc>
        <w:tc>
          <w:tcPr>
            <w:tcW w:w="9720" w:type="dxa"/>
            <w:vAlign w:val="bottom"/>
            <w:gridSpan w:val="19"/>
          </w:tcPr>
          <w:p>
            <w:pPr>
              <w:spacing w:after="0"/>
              <w:rPr>
                <w:sz w:val="20"/>
                <w:szCs w:val="20"/>
                <w:color w:val="auto"/>
              </w:rPr>
            </w:pPr>
            <w:r>
              <w:rPr>
                <w:rFonts w:ascii="Arial" w:cs="Arial" w:eastAsia="Arial" w:hAnsi="Arial"/>
                <w:sz w:val="17"/>
                <w:szCs w:val="17"/>
                <w:color w:val="auto"/>
                <w:w w:val="95"/>
              </w:rPr>
              <w:t>The following financial information from The Toro Company’s Quarterly Report on Form 10-Q for the quarterly period ended January 29,</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w w:val="96"/>
              </w:rPr>
              <w:t>2021, filed with the SEC on March 4, 2021, formatted in Inline eXtensible Business Reporting Language (Inline XBRL): (i) Condensed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rPr>
              <w:t>Consolidated Statements of Earnings for the three month periods ended January 29, 2021 and January 31, 2020, (ii) Condensed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rPr>
              <w:t>Consolidated Statements of Comprehensive Income for the three month periods ended January 29, 2021 and January 31, 2020,</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rPr>
              <w:t>(iii) Condensed Consolidated Balance Sheets as of January 29, 2021, January 31, 2020, and October 31, 2020, (iv) Condensed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w w:val="98"/>
              </w:rPr>
              <w:t>Consolidated Statement of Cash Flows for the three month periods ended January 29, 2021 and January 31, 2020, (v) Condensed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20" w:type="dxa"/>
            <w:vAlign w:val="bottom"/>
            <w:gridSpan w:val="19"/>
          </w:tcPr>
          <w:p>
            <w:pPr>
              <w:spacing w:after="0" w:line="162" w:lineRule="exact"/>
              <w:rPr>
                <w:sz w:val="20"/>
                <w:szCs w:val="20"/>
                <w:color w:val="auto"/>
              </w:rPr>
            </w:pPr>
            <w:r>
              <w:rPr>
                <w:rFonts w:ascii="Arial" w:cs="Arial" w:eastAsia="Arial" w:hAnsi="Arial"/>
                <w:sz w:val="17"/>
                <w:szCs w:val="17"/>
                <w:color w:val="auto"/>
                <w:w w:val="92"/>
              </w:rPr>
              <w:t>Consolidated Statements of Stockholders' Equity for the three month periods ended January 29, 2021 and January 31, 2020, and (vi) Notes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20" w:type="dxa"/>
            <w:vAlign w:val="bottom"/>
            <w:gridSpan w:val="19"/>
          </w:tcPr>
          <w:p>
            <w:pPr>
              <w:spacing w:after="0"/>
              <w:rPr>
                <w:sz w:val="20"/>
                <w:szCs w:val="20"/>
                <w:color w:val="auto"/>
              </w:rPr>
            </w:pPr>
            <w:r>
              <w:rPr>
                <w:rFonts w:ascii="Arial" w:cs="Arial" w:eastAsia="Arial" w:hAnsi="Arial"/>
                <w:sz w:val="17"/>
                <w:szCs w:val="17"/>
                <w:color w:val="auto"/>
              </w:rPr>
              <w:t>to Condensed Consolidated Financial Statements (filed herewith).</w:t>
            </w:r>
          </w:p>
        </w:tc>
        <w:tc>
          <w:tcPr>
            <w:tcW w:w="0" w:type="dxa"/>
            <w:vAlign w:val="bottom"/>
          </w:tcPr>
          <w:p>
            <w:pPr>
              <w:spacing w:after="0"/>
              <w:rPr>
                <w:sz w:val="1"/>
                <w:szCs w:val="1"/>
                <w:color w:val="auto"/>
              </w:rPr>
            </w:pPr>
          </w:p>
        </w:tc>
      </w:tr>
      <w:tr>
        <w:trPr>
          <w:trHeight w:val="266"/>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104</w:t>
            </w:r>
          </w:p>
        </w:tc>
        <w:tc>
          <w:tcPr>
            <w:tcW w:w="9720" w:type="dxa"/>
            <w:vAlign w:val="bottom"/>
            <w:gridSpan w:val="1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120" w:type="dxa"/>
            <w:vAlign w:val="bottom"/>
            <w:gridSpan w:val="2"/>
          </w:tcPr>
          <w:p>
            <w:pPr>
              <w:jc w:val="center"/>
              <w:ind w:right="3030"/>
              <w:spacing w:after="0"/>
              <w:rPr>
                <w:sz w:val="20"/>
                <w:szCs w:val="20"/>
                <w:color w:val="auto"/>
              </w:rPr>
            </w:pPr>
            <w:r>
              <w:rPr>
                <w:rFonts w:ascii="Arial" w:cs="Arial" w:eastAsia="Arial" w:hAnsi="Arial"/>
                <w:sz w:val="18"/>
                <w:szCs w:val="18"/>
                <w:color w:val="auto"/>
                <w:w w:val="95"/>
              </w:rPr>
              <w:t>THE TORO COMPANY</w:t>
            </w:r>
          </w:p>
        </w:tc>
      </w:tr>
      <w:tr>
        <w:trPr>
          <w:trHeight w:val="230"/>
        </w:trPr>
        <w:tc>
          <w:tcPr>
            <w:tcW w:w="3100" w:type="dxa"/>
            <w:vAlign w:val="bottom"/>
          </w:tcPr>
          <w:p>
            <w:pPr>
              <w:spacing w:after="0"/>
              <w:rPr>
                <w:sz w:val="20"/>
                <w:szCs w:val="20"/>
                <w:color w:val="auto"/>
              </w:rPr>
            </w:pPr>
          </w:p>
        </w:tc>
        <w:tc>
          <w:tcPr>
            <w:tcW w:w="8120" w:type="dxa"/>
            <w:vAlign w:val="bottom"/>
            <w:gridSpan w:val="2"/>
          </w:tcPr>
          <w:p>
            <w:pPr>
              <w:jc w:val="center"/>
              <w:ind w:right="3010"/>
              <w:spacing w:after="0"/>
              <w:rPr>
                <w:sz w:val="20"/>
                <w:szCs w:val="20"/>
                <w:color w:val="auto"/>
              </w:rPr>
            </w:pPr>
            <w:r>
              <w:rPr>
                <w:rFonts w:ascii="Arial" w:cs="Arial" w:eastAsia="Arial" w:hAnsi="Arial"/>
                <w:sz w:val="18"/>
                <w:szCs w:val="18"/>
                <w:color w:val="auto"/>
                <w:w w:val="91"/>
              </w:rPr>
              <w:t>(Registrant)</w:t>
            </w:r>
          </w:p>
        </w:tc>
      </w:tr>
      <w:tr>
        <w:trPr>
          <w:trHeight w:val="351"/>
        </w:trPr>
        <w:tc>
          <w:tcPr>
            <w:tcW w:w="3100" w:type="dxa"/>
            <w:vAlign w:val="bottom"/>
          </w:tcPr>
          <w:p>
            <w:pPr>
              <w:spacing w:after="0"/>
              <w:rPr>
                <w:sz w:val="20"/>
                <w:szCs w:val="20"/>
                <w:color w:val="auto"/>
              </w:rPr>
            </w:pPr>
            <w:r>
              <w:rPr>
                <w:rFonts w:ascii="Arial" w:cs="Arial" w:eastAsia="Arial" w:hAnsi="Arial"/>
                <w:sz w:val="18"/>
                <w:szCs w:val="18"/>
                <w:color w:val="auto"/>
              </w:rPr>
              <w:t>Date: March 4, 2021</w:t>
            </w:r>
          </w:p>
        </w:tc>
        <w:tc>
          <w:tcPr>
            <w:tcW w:w="8120" w:type="dxa"/>
            <w:vAlign w:val="bottom"/>
            <w:gridSpan w:val="2"/>
          </w:tcPr>
          <w:p>
            <w:pPr>
              <w:ind w:left="2460"/>
              <w:spacing w:after="0"/>
              <w:rPr>
                <w:sz w:val="20"/>
                <w:szCs w:val="20"/>
                <w:color w:val="auto"/>
              </w:rPr>
            </w:pPr>
            <w:r>
              <w:rPr>
                <w:rFonts w:ascii="Arial" w:cs="Arial" w:eastAsia="Arial" w:hAnsi="Arial"/>
                <w:sz w:val="18"/>
                <w:szCs w:val="18"/>
                <w:color w:val="auto"/>
              </w:rPr>
              <w:t>By:   /s/ Renee J. Peterson</w:t>
            </w:r>
          </w:p>
        </w:tc>
      </w:tr>
      <w:tr>
        <w:trPr>
          <w:trHeight w:val="222"/>
        </w:trPr>
        <w:tc>
          <w:tcPr>
            <w:tcW w:w="3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Renee J. Peterson</w:t>
            </w:r>
          </w:p>
        </w:tc>
      </w:tr>
      <w:tr>
        <w:trPr>
          <w:trHeight w:val="229"/>
        </w:trPr>
        <w:tc>
          <w:tcPr>
            <w:tcW w:w="3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Vice President, Treasurer and Chief Financial Officer</w:t>
            </w:r>
          </w:p>
        </w:tc>
      </w:tr>
      <w:tr>
        <w:trPr>
          <w:trHeight w:val="176"/>
        </w:trPr>
        <w:tc>
          <w:tcPr>
            <w:tcW w:w="3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180" w:type="dxa"/>
            <w:vAlign w:val="bottom"/>
          </w:tcPr>
          <w:p>
            <w:pPr>
              <w:ind w:left="20"/>
              <w:spacing w:after="0" w:line="176" w:lineRule="exact"/>
              <w:rPr>
                <w:sz w:val="20"/>
                <w:szCs w:val="20"/>
                <w:color w:val="auto"/>
              </w:rPr>
            </w:pPr>
            <w:r>
              <w:rPr>
                <w:rFonts w:ascii="Arial" w:cs="Arial" w:eastAsia="Arial" w:hAnsi="Arial"/>
                <w:sz w:val="18"/>
                <w:szCs w:val="18"/>
                <w:color w:val="auto"/>
              </w:rPr>
              <w:t>(duly authorized officer, principal financial officer, and principal</w:t>
            </w:r>
          </w:p>
        </w:tc>
      </w:tr>
      <w:tr>
        <w:trPr>
          <w:trHeight w:val="230"/>
        </w:trPr>
        <w:tc>
          <w:tcPr>
            <w:tcW w:w="3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320"/>
        <w:spacing w:after="0" w:line="274"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55"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274"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29, 2021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4, 2021</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Renee J. Peterson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Treasurer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4, 2021</w:t>
      </w:r>
    </w:p>
    <w:p>
      <w:pPr>
        <w:spacing w:after="0" w:line="200" w:lineRule="exact"/>
        <w:rPr>
          <w:sz w:val="20"/>
          <w:szCs w:val="20"/>
          <w:color w:val="auto"/>
        </w:rPr>
      </w:pPr>
    </w:p>
    <w:p>
      <w:pPr>
        <w:spacing w:after="0" w:line="2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4"/>
      <w:numFmt w:val="bullet"/>
      <w:start w:val="1"/>
    </w:lvl>
  </w:abstractNum>
  <w:abstractNum w:abstractNumId="6">
    <w:nsid w:val="41A7C4C9"/>
    <w:multiLevelType w:val="hybridMultilevel"/>
    <w:lvl w:ilvl="0">
      <w:lvlJc w:val="left"/>
      <w:lvlText w:val="5"/>
      <w:numFmt w:val="bullet"/>
      <w:start w:val="1"/>
    </w:lvl>
  </w:abstractNum>
  <w:abstractNum w:abstractNumId="7">
    <w:nsid w:val="6B68079A"/>
    <w:multiLevelType w:val="hybridMultilevel"/>
    <w:lvl w:ilvl="0">
      <w:lvlJc w:val="left"/>
      <w:lvlText w:val="7"/>
      <w:numFmt w:val="bullet"/>
      <w:start w:val="1"/>
    </w:lvl>
  </w:abstractNum>
  <w:abstractNum w:abstractNumId="8">
    <w:nsid w:val="4E6AFB66"/>
    <w:multiLevelType w:val="hybridMultilevel"/>
    <w:lvl w:ilvl="0">
      <w:lvlJc w:val="left"/>
      <w:lvlText w:val="8"/>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lowerRoman"/>
      <w:start w:val="3"/>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2"/>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58" Type="http://schemas.openxmlformats.org/officeDocument/2006/relationships/hyperlink" Target="http://www.sec.gov/Archives/edgar/data/737758/000156459019003064/ttc-ex21_6.htm" TargetMode="External"/><Relationship Id="rId59" Type="http://schemas.openxmlformats.org/officeDocument/2006/relationships/hyperlink" Target="http://www.sec.gov/Archives/edgar/data/737758/000073775808000033/form8-k06172008exhibitcert.htm" TargetMode="External"/><Relationship Id="rId60" Type="http://schemas.openxmlformats.org/officeDocument/2006/relationships/hyperlink" Target="http://www.sec.gov/Archives/edgar/data/737758/000119312513105223/d501846dex31.htm" TargetMode="External"/><Relationship Id="rId61" Type="http://schemas.openxmlformats.org/officeDocument/2006/relationships/hyperlink" Target="http://www.sec.gov/Archives/edgar/data/737758/000110465916133324/a16-15127_1ex3d1.htm" TargetMode="External"/><Relationship Id="rId62" Type="http://schemas.openxmlformats.org/officeDocument/2006/relationships/hyperlink" Target="http://www.sec.gov/Archives/edgar/data/737758/000110465907030051/a07-10570_1ex4d3.htm" TargetMode="External"/><Relationship Id="rId63" Type="http://schemas.openxmlformats.org/officeDocument/2006/relationships/hyperlink" Target="http://www.sec.gov/Archives/edgar/data/737758/000110465907031757/a07-10570_5ex4d1.htm" TargetMode="External"/><Relationship Id="rId64"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2021-03-04T10:58:21Z</dcterms:created>
  <dcterms:modified xsi:type="dcterms:W3CDTF">2021-03-04T10:58:21Z</dcterms:modified>
</cp:coreProperties>
</file>