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880" w:hanging="509"/>
        <w:spacing w:after="0"/>
        <w:tabs>
          <w:tab w:leader="none" w:pos="8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b w:val="1"/>
          <w:bCs w:val="1"/>
          <w:u w:val="single" w:color="auto"/>
          <w:color w:val="auto"/>
        </w:rPr>
        <w:t>December 31, 2005</w:t>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920" w:hanging="549"/>
        <w:spacing w:after="0"/>
        <w:tabs>
          <w:tab w:leader="none" w:pos="9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460"/>
        <w:spacing w:after="0"/>
        <w:tabs>
          <w:tab w:leader="none" w:pos="680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1-8649</w:t>
      </w:r>
      <w:r>
        <w:rPr>
          <w:rFonts w:ascii="Times New Roman" w:cs="Times New Roman" w:eastAsia="Times New Roman" w:hAnsi="Times New Roman"/>
          <w:sz w:val="18"/>
          <w:szCs w:val="18"/>
          <w:b w:val="1"/>
          <w:bCs w:val="1"/>
          <w:color w:val="auto"/>
        </w:rPr>
        <w:t>.</w:t>
      </w:r>
    </w:p>
    <w:p>
      <w:pPr>
        <w:spacing w:after="0" w:line="229"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address of the plan if different from that of the issuer named below:</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Minneapolis, MN 55420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Attn: Director, Tax Accounting</w:t>
      </w:r>
    </w:p>
    <w:p>
      <w:pPr>
        <w:spacing w:after="0" w:line="207"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432435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(With Independent Registered Public Accounting Firm’s Report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1"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Independent Registered Public Accounting Firm’s Report</w:t>
        </w:r>
      </w:hyperlink>
    </w:p>
    <w:p>
      <w:pPr>
        <w:spacing w:after="0" w:line="22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Statements of Net Assets Available for Benefits</w:t>
        </w:r>
      </w:hyperlink>
    </w:p>
    <w:p>
      <w:pPr>
        <w:spacing w:after="0" w:line="22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Statements of Changes in Net Assets Available for Benefits</w:t>
        </w:r>
      </w:hyperlink>
    </w:p>
    <w:p>
      <w:pPr>
        <w:spacing w:after="0" w:line="22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Notes to Financial Statements</w:t>
        </w:r>
      </w:hyperlink>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w:t>
      </w:r>
    </w:p>
    <w:p>
      <w:pPr>
        <w:spacing w:after="0" w:line="22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Schedule of Assets (Held at End of Year)</w:t>
        </w:r>
      </w:hyperlink>
    </w:p>
    <w:p>
      <w:pPr>
        <w:sectPr>
          <w:pgSz w:w="11900" w:h="16838" w:orient="portrait"/>
          <w:cols w:equalWidth="0" w:num="1">
            <w:col w:w="11260"/>
          </w:cols>
          <w:pgMar w:left="240" w:top="673" w:right="399" w:bottom="0" w:gutter="0" w:footer="0" w:header="0"/>
        </w:sectPr>
      </w:pPr>
    </w:p>
    <w:bookmarkStart w:id="1" w:name="page2"/>
    <w:bookmarkEnd w:id="1"/>
    <w:p>
      <w:pPr>
        <w:ind w:right="780"/>
        <w:spacing w:after="0" w:line="251" w:lineRule="auto"/>
        <w:rPr>
          <w:sz w:val="20"/>
          <w:szCs w:val="20"/>
          <w:color w:val="auto"/>
        </w:rPr>
      </w:pPr>
      <w:r>
        <w:rPr>
          <w:rFonts w:ascii="Times New Roman" w:cs="Times New Roman" w:eastAsia="Times New Roman" w:hAnsi="Times New Roman"/>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Administrator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Toro Company Profit-Sharing Plan</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Plymouth Union Employees:</w:t>
      </w:r>
    </w:p>
    <w:p>
      <w:pPr>
        <w:spacing w:after="0" w:line="207" w:lineRule="exact"/>
        <w:rPr>
          <w:sz w:val="20"/>
          <w:szCs w:val="20"/>
          <w:color w:val="auto"/>
        </w:rPr>
      </w:pPr>
    </w:p>
    <w:p>
      <w:pPr>
        <w:ind w:left="340" w:right="7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Toro Company Profit-Sharing Plan for Plymouth Union Employees (the Plan) as of December 31, 2005 and 2004,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0" w:lineRule="exact"/>
        <w:rPr>
          <w:sz w:val="20"/>
          <w:szCs w:val="20"/>
          <w:color w:val="auto"/>
        </w:rPr>
      </w:pPr>
    </w:p>
    <w:p>
      <w:pPr>
        <w:ind w:left="340" w:right="5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184" w:lineRule="exact"/>
        <w:rPr>
          <w:sz w:val="20"/>
          <w:szCs w:val="20"/>
          <w:color w:val="auto"/>
        </w:rPr>
      </w:pPr>
    </w:p>
    <w:p>
      <w:pPr>
        <w:ind w:left="340" w:right="100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as of December 31, 2005 and 2004 and the changes in net assets available for benefits for the years then ended, in conformity with U.S. generally accepted accounting principles.</w:t>
      </w:r>
    </w:p>
    <w:p>
      <w:pPr>
        <w:spacing w:after="0" w:line="176" w:lineRule="exact"/>
        <w:rPr>
          <w:sz w:val="20"/>
          <w:szCs w:val="20"/>
          <w:color w:val="auto"/>
        </w:rPr>
      </w:pPr>
    </w:p>
    <w:p>
      <w:pPr>
        <w:ind w:left="340" w:right="520"/>
        <w:spacing w:after="0" w:line="256" w:lineRule="auto"/>
        <w:rPr>
          <w:sz w:val="20"/>
          <w:szCs w:val="20"/>
          <w:color w:val="auto"/>
        </w:rPr>
      </w:pPr>
      <w:r>
        <w:rPr>
          <w:rFonts w:ascii="Times New Roman" w:cs="Times New Roman" w:eastAsia="Times New Roman" w:hAnsi="Times New Roman"/>
          <w:sz w:val="18"/>
          <w:szCs w:val="18"/>
          <w:color w:val="auto"/>
        </w:rPr>
        <w:t>Our audits were performed for the purpose of forming an opinion on the basic financial statements taken as a whole. The supplemental schedule of assets (held at end of year) as of December 31, 2005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June 23,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by Trustee:</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1,046,395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1,375,665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Bond Collective Fund</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Master Trust fund</w:t>
            </w:r>
          </w:p>
        </w:tc>
        <w:tc>
          <w:tcPr>
            <w:tcW w:w="3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276,583</w:t>
            </w: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2,782,576</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3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2,787,002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40" w:right="23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THE TORO COMPANY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2005 and 2004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dividends</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 rata share of income from Master Trust</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investment income</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189,048</w:t>
            </w: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162,758</w:t>
            </w:r>
          </w:p>
        </w:tc>
        <w:tc>
          <w:tcPr>
            <w:tcW w:w="2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contributions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209,360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(38,979)</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2,427,573</w:t>
            </w: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2,787,002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1"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Description of Plan</w:t>
      </w:r>
    </w:p>
    <w:p>
      <w:pPr>
        <w:spacing w:after="0" w:line="31" w:lineRule="exact"/>
        <w:rPr>
          <w:sz w:val="20"/>
          <w:szCs w:val="20"/>
          <w:color w:val="auto"/>
        </w:rPr>
      </w:pPr>
    </w:p>
    <w:p>
      <w:pPr>
        <w:ind w:left="580" w:right="22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Toro Company Profit-Sharing Plan for Plymouth Union Employees (the Plan) is provided for general information purposes only. Participants should refer the Plan document restated as of January 1, 2002 for more complete information.</w:t>
      </w:r>
    </w:p>
    <w:p>
      <w:pPr>
        <w:spacing w:after="0" w:line="180"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18"/>
          <w:szCs w:val="18"/>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Toro Company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184" w:lineRule="exact"/>
        <w:rPr>
          <w:sz w:val="20"/>
          <w:szCs w:val="20"/>
          <w:color w:val="auto"/>
        </w:rPr>
      </w:pPr>
    </w:p>
    <w:p>
      <w:pPr>
        <w:ind w:left="580" w:right="820"/>
        <w:spacing w:after="0" w:line="282" w:lineRule="auto"/>
        <w:rPr>
          <w:sz w:val="20"/>
          <w:szCs w:val="20"/>
          <w:color w:val="auto"/>
        </w:rPr>
      </w:pPr>
      <w:r>
        <w:rPr>
          <w:rFonts w:ascii="Times New Roman" w:cs="Times New Roman" w:eastAsia="Times New Roman" w:hAnsi="Times New Roman"/>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162" w:lineRule="exact"/>
        <w:rPr>
          <w:sz w:val="20"/>
          <w:szCs w:val="20"/>
          <w:color w:val="auto"/>
        </w:rPr>
      </w:pPr>
    </w:p>
    <w:p>
      <w:pPr>
        <w:ind w:left="580" w:right="40"/>
        <w:spacing w:after="0" w:line="256" w:lineRule="auto"/>
        <w:rPr>
          <w:sz w:val="20"/>
          <w:szCs w:val="20"/>
          <w:color w:val="auto"/>
        </w:rPr>
      </w:pPr>
      <w:r>
        <w:rPr>
          <w:rFonts w:ascii="Times New Roman" w:cs="Times New Roman" w:eastAsia="Times New Roman" w:hAnsi="Times New Roman"/>
          <w:sz w:val="18"/>
          <w:szCs w:val="18"/>
          <w:color w:val="auto"/>
        </w:rPr>
        <w:t>Effective September 3, 2004, a new Trustee was appointed, (JP Morgan Retirement Plan Services) to the Plan. Plan assets transferred to the new Trustee were transferred into funds comparable to those offered by the former Trustee (Putnam Fiduciary Trust Company). The conversion initiated a “Black Out” period beginning August 30, 2004 and continued through September 7, 2004. Prior to this period, employees were notified and able to select funds with the new Trustee. During the Black Out period, fund elections could not be changed or withdrawn from the Plan until the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188" w:lineRule="exact"/>
        <w:rPr>
          <w:sz w:val="20"/>
          <w:szCs w:val="20"/>
          <w:color w:val="auto"/>
        </w:rPr>
      </w:pPr>
    </w:p>
    <w:p>
      <w:pPr>
        <w:jc w:val="both"/>
        <w:ind w:left="580" w:right="180"/>
        <w:spacing w:after="0" w:line="266" w:lineRule="auto"/>
        <w:rPr>
          <w:sz w:val="20"/>
          <w:szCs w:val="20"/>
          <w:color w:val="auto"/>
        </w:rPr>
      </w:pPr>
      <w:r>
        <w:rPr>
          <w:rFonts w:ascii="Times New Roman" w:cs="Times New Roman" w:eastAsia="Times New Roman" w:hAnsi="Times New Roman"/>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 made.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Transfers to/from other funds, represent participant elected rollovers to/from other plans of other employers or other transfers to/from plans.</w:t>
      </w:r>
    </w:p>
    <w:p>
      <w:pPr>
        <w:sectPr>
          <w:pgSz w:w="11900" w:h="16838" w:orient="portrait"/>
          <w:cols w:equalWidth="0" w:num="1">
            <w:col w:w="11420"/>
          </w:cols>
          <w:pgMar w:left="240" w:top="860" w:right="239" w:bottom="185" w:gutter="0" w:footer="0" w:header="0"/>
        </w:sectPr>
      </w:pPr>
    </w:p>
    <w:bookmarkStart w:id="3" w:name="page4"/>
    <w:bookmarkEnd w:id="3"/>
    <w:p>
      <w:pPr>
        <w:ind w:left="572" w:right="20"/>
        <w:spacing w:after="0" w:line="266" w:lineRule="auto"/>
        <w:rPr>
          <w:sz w:val="20"/>
          <w:szCs w:val="20"/>
          <w:color w:val="auto"/>
        </w:rPr>
      </w:pPr>
      <w:r>
        <w:rPr>
          <w:rFonts w:ascii="Times New Roman" w:cs="Times New Roman" w:eastAsia="Times New Roman" w:hAnsi="Times New Roman"/>
          <w:sz w:val="18"/>
          <w:szCs w:val="18"/>
          <w:color w:val="auto"/>
        </w:rPr>
        <w:t>Pension benefits are paid to employees upon a participant’s normal retirement date or the date a participant incurs a termination of service. An election can be made for an early, late, or disability retirement date. Normal retirement benefits are paid monthly to the retiree or the surviving spouse of the retiree.</w:t>
      </w:r>
    </w:p>
    <w:p>
      <w:pPr>
        <w:spacing w:after="0" w:line="176"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During the plan year ended December 31, 2005 and 2004, forfeited nonvested accounts totaled $0.</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The Company, administrator of the Plan, absorbs all administrative costs of the Plan, except for the trustee fees.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1" w:lineRule="exact"/>
        <w:rPr>
          <w:sz w:val="20"/>
          <w:szCs w:val="20"/>
          <w:color w:val="auto"/>
        </w:rPr>
      </w:pPr>
    </w:p>
    <w:p>
      <w:pPr>
        <w:ind w:left="572" w:hanging="527"/>
        <w:spacing w:after="0"/>
        <w:tabs>
          <w:tab w:leader="none" w:pos="57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92" w:hanging="376"/>
        <w:spacing w:after="0"/>
        <w:tabs>
          <w:tab w:leader="none" w:pos="992" w:val="left"/>
        </w:tabs>
        <w:numPr>
          <w:ilvl w:val="2"/>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31" w:lineRule="exact"/>
        <w:rPr>
          <w:rFonts w:ascii="Times New Roman" w:cs="Times New Roman" w:eastAsia="Times New Roman" w:hAnsi="Times New Roman"/>
          <w:sz w:val="18"/>
          <w:szCs w:val="18"/>
          <w:b w:val="1"/>
          <w:bCs w:val="1"/>
          <w:i w:val="1"/>
          <w:iCs w:val="1"/>
          <w:color w:val="auto"/>
        </w:rPr>
      </w:pPr>
    </w:p>
    <w:p>
      <w:pPr>
        <w:ind w:left="972" w:right="2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financial statements of the Toro Company Profit-Sharing Plan for Plymouth Union Employees (the Plan) are presented in accordance with U.S. generally accepted accounting principles.</w:t>
      </w:r>
    </w:p>
    <w:p>
      <w:pPr>
        <w:spacing w:after="0" w:line="175" w:lineRule="exact"/>
        <w:rPr>
          <w:rFonts w:ascii="Times New Roman" w:cs="Times New Roman" w:eastAsia="Times New Roman" w:hAnsi="Times New Roman"/>
          <w:sz w:val="18"/>
          <w:szCs w:val="18"/>
          <w:b w:val="1"/>
          <w:bCs w:val="1"/>
          <w:i w:val="1"/>
          <w:iCs w:val="1"/>
          <w:color w:val="auto"/>
        </w:rPr>
      </w:pPr>
    </w:p>
    <w:p>
      <w:pPr>
        <w:ind w:left="992" w:hanging="421"/>
        <w:spacing w:after="0"/>
        <w:tabs>
          <w:tab w:leader="none" w:pos="99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31" w:lineRule="exact"/>
        <w:rPr>
          <w:rFonts w:ascii="Times New Roman" w:cs="Times New Roman" w:eastAsia="Times New Roman" w:hAnsi="Times New Roman"/>
          <w:sz w:val="18"/>
          <w:szCs w:val="18"/>
          <w:b w:val="1"/>
          <w:bCs w:val="1"/>
          <w:i w:val="1"/>
          <w:iCs w:val="1"/>
          <w:color w:val="auto"/>
        </w:rPr>
      </w:pPr>
    </w:p>
    <w:p>
      <w:pPr>
        <w:ind w:left="972" w:right="2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investments are held by the Trustee. The investment securities are stated at fair value based upon published quotations or, in the absence of available quotations, at fair values determined by the Trustee. Purchases and sales of securities are recorded on a trade-date basis.</w:t>
      </w:r>
    </w:p>
    <w:p>
      <w:pPr>
        <w:spacing w:after="0" w:line="179" w:lineRule="exact"/>
        <w:rPr>
          <w:rFonts w:ascii="Times New Roman" w:cs="Times New Roman" w:eastAsia="Times New Roman" w:hAnsi="Times New Roman"/>
          <w:sz w:val="18"/>
          <w:szCs w:val="18"/>
          <w:b w:val="1"/>
          <w:bCs w:val="1"/>
          <w:i w:val="1"/>
          <w:iCs w:val="1"/>
          <w:color w:val="auto"/>
        </w:rPr>
      </w:pPr>
    </w:p>
    <w:p>
      <w:pPr>
        <w:ind w:left="972"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maintains one Master Trust, the Wells Fargo Stable Value Fund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w:t>
      </w:r>
    </w:p>
    <w:p>
      <w:pPr>
        <w:spacing w:after="0" w:line="180" w:lineRule="exact"/>
        <w:rPr>
          <w:rFonts w:ascii="Times New Roman" w:cs="Times New Roman" w:eastAsia="Times New Roman" w:hAnsi="Times New Roman"/>
          <w:sz w:val="18"/>
          <w:szCs w:val="18"/>
          <w:b w:val="1"/>
          <w:bCs w:val="1"/>
          <w:i w:val="1"/>
          <w:iCs w:val="1"/>
          <w:color w:val="auto"/>
        </w:rPr>
      </w:pPr>
    </w:p>
    <w:p>
      <w:pPr>
        <w:ind w:left="972" w:right="4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less than 1% as of December 31, 2005 and 2004, respectively.</w:t>
      </w:r>
    </w:p>
    <w:p>
      <w:pPr>
        <w:spacing w:after="0" w:line="172" w:lineRule="exact"/>
        <w:rPr>
          <w:rFonts w:ascii="Times New Roman" w:cs="Times New Roman" w:eastAsia="Times New Roman" w:hAnsi="Times New Roman"/>
          <w:sz w:val="18"/>
          <w:szCs w:val="18"/>
          <w:b w:val="1"/>
          <w:bCs w:val="1"/>
          <w:i w:val="1"/>
          <w:iCs w:val="1"/>
          <w:color w:val="auto"/>
        </w:rPr>
      </w:pPr>
    </w:p>
    <w:p>
      <w:pPr>
        <w:ind w:left="992" w:hanging="421"/>
        <w:spacing w:after="0"/>
        <w:tabs>
          <w:tab w:leader="none" w:pos="99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rFonts w:ascii="Times New Roman" w:cs="Times New Roman" w:eastAsia="Times New Roman" w:hAnsi="Times New Roman"/>
          <w:sz w:val="18"/>
          <w:szCs w:val="18"/>
          <w:b w:val="1"/>
          <w:bCs w:val="1"/>
          <w:i w:val="1"/>
          <w:iCs w:val="1"/>
          <w:color w:val="auto"/>
        </w:rPr>
      </w:pPr>
    </w:p>
    <w:p>
      <w:pPr>
        <w:ind w:left="972"/>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1" w:lineRule="exact"/>
        <w:rPr>
          <w:rFonts w:ascii="Times New Roman" w:cs="Times New Roman" w:eastAsia="Times New Roman" w:hAnsi="Times New Roman"/>
          <w:sz w:val="18"/>
          <w:szCs w:val="18"/>
          <w:b w:val="1"/>
          <w:bCs w:val="1"/>
          <w:i w:val="1"/>
          <w:iCs w:val="1"/>
          <w:color w:val="auto"/>
        </w:rPr>
      </w:pPr>
    </w:p>
    <w:p>
      <w:pPr>
        <w:ind w:left="992" w:hanging="421"/>
        <w:spacing w:after="0"/>
        <w:tabs>
          <w:tab w:leader="none" w:pos="99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Risk</w:t>
      </w:r>
    </w:p>
    <w:p>
      <w:pPr>
        <w:spacing w:after="0" w:line="31" w:lineRule="exact"/>
        <w:rPr>
          <w:rFonts w:ascii="Times New Roman" w:cs="Times New Roman" w:eastAsia="Times New Roman" w:hAnsi="Times New Roman"/>
          <w:sz w:val="18"/>
          <w:szCs w:val="18"/>
          <w:b w:val="1"/>
          <w:bCs w:val="1"/>
          <w:i w:val="1"/>
          <w:iCs w:val="1"/>
          <w:color w:val="auto"/>
        </w:rPr>
      </w:pPr>
    </w:p>
    <w:p>
      <w:pPr>
        <w:ind w:left="972" w:right="12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Benefits.</w:t>
      </w:r>
    </w:p>
    <w:p>
      <w:pPr>
        <w:spacing w:after="0" w:line="185" w:lineRule="exact"/>
        <w:rPr>
          <w:rFonts w:ascii="Times New Roman" w:cs="Times New Roman" w:eastAsia="Times New Roman" w:hAnsi="Times New Roman"/>
          <w:sz w:val="18"/>
          <w:szCs w:val="18"/>
          <w:b w:val="1"/>
          <w:bCs w:val="1"/>
          <w:i w:val="1"/>
          <w:iCs w:val="1"/>
          <w:color w:val="auto"/>
        </w:rPr>
      </w:pPr>
    </w:p>
    <w:p>
      <w:pPr>
        <w:ind w:left="972" w:right="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the assets held by the Trust include the Toro Company Common Stock, the anticipated assets available for benefits in 2006 will be the result of the Company’s future stock market performance, which is subject to various risk factors described more fully in the Company’s periodic filing with the Securities and Exchange Commission.</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1" w:lineRule="exact"/>
        <w:rPr>
          <w:sz w:val="20"/>
          <w:szCs w:val="20"/>
          <w:color w:val="auto"/>
        </w:rPr>
      </w:pPr>
    </w:p>
    <w:p>
      <w:pPr>
        <w:ind w:left="612" w:hanging="612"/>
        <w:spacing w:after="0"/>
        <w:tabs>
          <w:tab w:leader="none" w:pos="6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31" w:lineRule="exact"/>
        <w:rPr>
          <w:sz w:val="20"/>
          <w:szCs w:val="20"/>
          <w:color w:val="auto"/>
        </w:rPr>
      </w:pPr>
    </w:p>
    <w:p>
      <w:pPr>
        <w:ind w:left="572" w:right="160"/>
        <w:spacing w:after="0" w:line="255" w:lineRule="auto"/>
        <w:rPr>
          <w:sz w:val="20"/>
          <w:szCs w:val="20"/>
          <w:color w:val="auto"/>
        </w:rPr>
      </w:pPr>
      <w:r>
        <w:rPr>
          <w:rFonts w:ascii="Times New Roman" w:cs="Times New Roman" w:eastAsia="Times New Roman" w:hAnsi="Times New Roman"/>
          <w:sz w:val="18"/>
          <w:szCs w:val="18"/>
          <w:color w:val="auto"/>
        </w:rPr>
        <w:t>J.P. Morgan Retirement Plan Services (Trustee of the Plan effective September 3, 2004), Putnam Fiduciary Trust Company (former Trustee of the Plan) and the Toro Company are parties-in-interest with respect to the Plan. In the opinion of the Plan’s legal counsel, transactions between the Plan and the trustees are exempt from being considered as “prohibited transactions” under the ERISA Section 408(b).</w:t>
      </w:r>
    </w:p>
    <w:p>
      <w:pPr>
        <w:spacing w:after="0" w:line="182" w:lineRule="exact"/>
        <w:rPr>
          <w:sz w:val="20"/>
          <w:szCs w:val="20"/>
          <w:color w:val="auto"/>
        </w:rPr>
      </w:pPr>
    </w:p>
    <w:p>
      <w:pPr>
        <w:ind w:left="612" w:hanging="612"/>
        <w:spacing w:after="0"/>
        <w:tabs>
          <w:tab w:leader="none" w:pos="6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31" w:lineRule="exact"/>
        <w:rPr>
          <w:sz w:val="20"/>
          <w:szCs w:val="20"/>
          <w:color w:val="auto"/>
        </w:rPr>
      </w:pPr>
    </w:p>
    <w:p>
      <w:pPr>
        <w:ind w:left="572" w:right="80"/>
        <w:spacing w:after="0" w:line="290" w:lineRule="auto"/>
        <w:rPr>
          <w:sz w:val="20"/>
          <w:szCs w:val="20"/>
          <w:color w:val="auto"/>
        </w:rPr>
      </w:pPr>
      <w:r>
        <w:rPr>
          <w:rFonts w:ascii="Times New Roman" w:cs="Times New Roman" w:eastAsia="Times New Roman" w:hAnsi="Times New Roman"/>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w:t>
      </w:r>
    </w:p>
    <w:p>
      <w:pPr>
        <w:sectPr>
          <w:pgSz w:w="11900" w:h="16838" w:orient="portrait"/>
          <w:cols w:equalWidth="0" w:num="1">
            <w:col w:w="11372"/>
          </w:cols>
          <w:pgMar w:left="248" w:top="121" w:right="279" w:bottom="0" w:gutter="0" w:footer="0" w:header="0"/>
        </w:sectPr>
      </w:pPr>
    </w:p>
    <w:bookmarkStart w:id="4" w:name="page5"/>
    <w:bookmarkEnd w:id="4"/>
    <w:p>
      <w:pPr>
        <w:ind w:left="572"/>
        <w:spacing w:after="0"/>
        <w:rPr>
          <w:sz w:val="20"/>
          <w:szCs w:val="20"/>
          <w:color w:val="auto"/>
        </w:rPr>
      </w:pPr>
      <w:r>
        <w:rPr>
          <w:rFonts w:ascii="Times New Roman" w:cs="Times New Roman" w:eastAsia="Times New Roman" w:hAnsi="Times New Roman"/>
          <w:sz w:val="18"/>
          <w:szCs w:val="18"/>
          <w:color w:val="auto"/>
        </w:rPr>
        <w:t>which is vested in a manner described above. Upon termination of the Plan, interests of active participants in the Plan fully vest.</w:t>
      </w:r>
    </w:p>
    <w:p>
      <w:pPr>
        <w:spacing w:after="0" w:line="221" w:lineRule="exact"/>
        <w:rPr>
          <w:sz w:val="20"/>
          <w:szCs w:val="20"/>
          <w:color w:val="auto"/>
        </w:rPr>
      </w:pPr>
    </w:p>
    <w:p>
      <w:pPr>
        <w:ind w:left="572" w:hanging="527"/>
        <w:spacing w:after="0"/>
        <w:tabs>
          <w:tab w:leader="none" w:pos="57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Taxes</w:t>
      </w:r>
    </w:p>
    <w:p>
      <w:pPr>
        <w:spacing w:after="0" w:line="31" w:lineRule="exact"/>
        <w:rPr>
          <w:rFonts w:ascii="Times New Roman" w:cs="Times New Roman" w:eastAsia="Times New Roman" w:hAnsi="Times New Roman"/>
          <w:sz w:val="18"/>
          <w:szCs w:val="18"/>
          <w:b w:val="1"/>
          <w:bCs w:val="1"/>
          <w:color w:val="auto"/>
        </w:rPr>
      </w:pPr>
    </w:p>
    <w:p>
      <w:pPr>
        <w:ind w:left="57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administrator has received a favorable determination letter dated April 15, 2003 from the Internal Revenue Service stating that the Plan constitutes a qualified plan under Section 401(a) of the Internal Revenue Code and that the trust created under the Plan is exempt from federal income tax under Section 501(a) of the Code. The Plan has been amended since the date of this letter; however it is the opinion of the Plan Administrator that the Plan and its related trust continue to qualify under the provisions of Sections 401(a) and 501(a) of the Code.</w:t>
      </w:r>
    </w:p>
    <w:p>
      <w:pPr>
        <w:spacing w:after="0" w:line="181" w:lineRule="exact"/>
        <w:rPr>
          <w:rFonts w:ascii="Times New Roman" w:cs="Times New Roman" w:eastAsia="Times New Roman" w:hAnsi="Times New Roman"/>
          <w:sz w:val="18"/>
          <w:szCs w:val="18"/>
          <w:b w:val="1"/>
          <w:bCs w:val="1"/>
          <w:color w:val="auto"/>
        </w:rPr>
      </w:pPr>
    </w:p>
    <w:p>
      <w:pPr>
        <w:ind w:left="612" w:hanging="612"/>
        <w:spacing w:after="0"/>
        <w:tabs>
          <w:tab w:leader="none" w:pos="6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31" w:lineRule="exact"/>
        <w:rPr>
          <w:sz w:val="20"/>
          <w:szCs w:val="20"/>
          <w:color w:val="auto"/>
        </w:rPr>
      </w:pPr>
    </w:p>
    <w:p>
      <w:pPr>
        <w:ind w:left="572" w:right="180"/>
        <w:spacing w:after="0" w:line="254" w:lineRule="auto"/>
        <w:rPr>
          <w:sz w:val="20"/>
          <w:szCs w:val="20"/>
          <w:color w:val="auto"/>
        </w:rPr>
      </w:pPr>
      <w:r>
        <w:rPr>
          <w:rFonts w:ascii="Times New Roman" w:cs="Times New Roman" w:eastAsia="Times New Roman" w:hAnsi="Times New Roman"/>
          <w:sz w:val="18"/>
          <w:szCs w:val="18"/>
          <w:color w:val="auto"/>
        </w:rPr>
        <w:t>The Plan’s investments are held by J.P. Morgan Retirement Plan Services (Trustee of the Plan effective September 3, 2004) and Putnam Fiduciary Trust Company (former Trustee of the Plan prior to September 3, 2004). Some of the investment funds available to participants also include mutual funds managed by J.P. Morgan Retirement Plan Services for periods effective September 3, 2004 and Putnam Fiduciary Trust Company for periods subsequent to September 3, 2004.</w:t>
      </w:r>
    </w:p>
    <w:p>
      <w:pPr>
        <w:spacing w:after="0" w:line="182" w:lineRule="exact"/>
        <w:rPr>
          <w:sz w:val="20"/>
          <w:szCs w:val="20"/>
          <w:color w:val="auto"/>
        </w:rPr>
      </w:pPr>
    </w:p>
    <w:p>
      <w:pPr>
        <w:ind w:left="612" w:hanging="612"/>
        <w:spacing w:after="0"/>
        <w:tabs>
          <w:tab w:leader="none" w:pos="6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ind w:left="572" w:right="60"/>
        <w:spacing w:after="0" w:line="254" w:lineRule="auto"/>
        <w:rPr>
          <w:sz w:val="20"/>
          <w:szCs w:val="20"/>
          <w:color w:val="auto"/>
        </w:rPr>
      </w:pPr>
      <w:r>
        <w:rPr>
          <w:rFonts w:ascii="Times New Roman" w:cs="Times New Roman" w:eastAsia="Times New Roman" w:hAnsi="Times New Roman"/>
          <w:sz w:val="18"/>
          <w:szCs w:val="18"/>
          <w:color w:val="auto"/>
        </w:rPr>
        <w:t>Under the terms of the trust agreement, the Trustees manage investment funds on behalf of the Plan. The Trustees have been granted discretionary authority concerning the purchases and sales of the investments of the investment funds, except to the extent the Trustees are subject to the discretion of participants, other fiduciaries, or the Company. In accordance with the trust agreement, certain assets of the Plan are held together with assets of other plans sponsored by the Company in the Master Trust.</w:t>
      </w:r>
    </w:p>
    <w:p>
      <w:pPr>
        <w:spacing w:after="0" w:line="186" w:lineRule="exact"/>
        <w:rPr>
          <w:sz w:val="20"/>
          <w:szCs w:val="20"/>
          <w:color w:val="auto"/>
        </w:rPr>
      </w:pPr>
    </w:p>
    <w:p>
      <w:pPr>
        <w:ind w:left="572" w:right="400"/>
        <w:spacing w:after="0" w:line="282" w:lineRule="auto"/>
        <w:rPr>
          <w:sz w:val="20"/>
          <w:szCs w:val="20"/>
          <w:color w:val="auto"/>
        </w:rPr>
      </w:pPr>
      <w:r>
        <w:rPr>
          <w:rFonts w:ascii="Times New Roman" w:cs="Times New Roman" w:eastAsia="Times New Roman" w:hAnsi="Times New Roman"/>
          <w:sz w:val="18"/>
          <w:szCs w:val="18"/>
          <w:color w:val="auto"/>
        </w:rPr>
        <w:t>The net assets available for benefits of the Master Trust as of December 31, 2005 and 2004 were $80,018,240 and $76,765,065, respectively. All assets of the Master Trust were held in short-term investment funds.</w:t>
      </w:r>
    </w:p>
    <w:p>
      <w:pPr>
        <w:spacing w:after="0" w:line="3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The changes in net assets available for benefits of the Master Trust for the years ended December 31, 2005 and 2004 were as follows:</w:t>
      </w:r>
    </w:p>
    <w:p>
      <w:pPr>
        <w:spacing w:after="0" w:line="205" w:lineRule="exact"/>
        <w:rPr>
          <w:sz w:val="20"/>
          <w:szCs w:val="20"/>
          <w:color w:val="auto"/>
        </w:rPr>
      </w:pPr>
    </w:p>
    <w:tbl>
      <w:tblPr>
        <w:tblLayout w:type="fixed"/>
        <w:tblInd w:w="1652" w:type="dxa"/>
        <w:tblCellMar>
          <w:top w:w="0" w:type="dxa"/>
          <w:left w:w="0" w:type="dxa"/>
          <w:bottom w:w="0" w:type="dxa"/>
          <w:right w:w="0" w:type="dxa"/>
        </w:tblCellMar>
      </w:tblPr>
      <w:tr>
        <w:trPr>
          <w:trHeight w:val="173"/>
        </w:trPr>
        <w:tc>
          <w:tcPr>
            <w:tcW w:w="43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CCEEFF"/>
            </w:tcBorders>
          </w:tcPr>
          <w:p>
            <w:pPr>
              <w:spacing w:after="0"/>
              <w:rPr>
                <w:sz w:val="15"/>
                <w:szCs w:val="15"/>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7,570,260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gain/(loss) on investments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2,861,851</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(4,702,956)</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by participating plans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19,104,981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54,088,643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by participating plans</w:t>
            </w:r>
          </w:p>
        </w:tc>
        <w:tc>
          <w:tcPr>
            <w:tcW w:w="2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(19,055,998)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(47,971,479)</w:t>
            </w:r>
          </w:p>
        </w:tc>
      </w:tr>
      <w:tr>
        <w:trPr>
          <w:trHeight w:val="210"/>
        </w:trPr>
        <w:tc>
          <w:tcPr>
            <w:tcW w:w="43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net assets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3,253,175</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76,765,065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67,780,597</w:t>
            </w:r>
          </w:p>
        </w:tc>
        <w:tc>
          <w:tcPr>
            <w:tcW w:w="100" w:type="dxa"/>
            <w:vAlign w:val="bottom"/>
            <w:shd w:val="clear" w:color="auto" w:fill="CCEEFF"/>
          </w:tcPr>
          <w:p>
            <w:pPr>
              <w:spacing w:after="0"/>
              <w:rPr>
                <w:sz w:val="18"/>
                <w:szCs w:val="18"/>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160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$ 80,018,240</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76,765,065</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The following investments represent more than 5% of the Plan’s net assets available for benefits as of December 31, 2005 and 2004:</w:t>
      </w:r>
    </w:p>
    <w:p>
      <w:pPr>
        <w:spacing w:after="0" w:line="192" w:lineRule="exact"/>
        <w:rPr>
          <w:sz w:val="20"/>
          <w:szCs w:val="20"/>
          <w:color w:val="auto"/>
        </w:rPr>
      </w:pPr>
    </w:p>
    <w:tbl>
      <w:tblPr>
        <w:tblLayout w:type="fixed"/>
        <w:tblInd w:w="1652"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2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Fund of America</w:t>
            </w:r>
          </w:p>
        </w:tc>
        <w:tc>
          <w:tcPr>
            <w:tcW w:w="1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$ 328,980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American Century Large Company Value Fund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377,903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382,700</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Diversified International</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95,535</w:t>
            </w:r>
          </w:p>
        </w:tc>
        <w:tc>
          <w:tcPr>
            <w:tcW w:w="6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1,375,665</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1,296,956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5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**Party-in-interest, participant and nonparticipant directed investment</w:t>
      </w:r>
    </w:p>
    <w:p>
      <w:pPr>
        <w:spacing w:after="0" w:line="19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During 2005 and 2004, the Plan’s investments (including gains and losses on investments bought and sold, as well as held during the year)</w:t>
      </w:r>
    </w:p>
    <w:p>
      <w:pPr>
        <w:spacing w:after="0" w:line="2"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appreciated in value by $140,280 and $633,234, respectively, as follows:</w:t>
      </w:r>
    </w:p>
    <w:p>
      <w:pPr>
        <w:spacing w:after="0" w:line="172" w:lineRule="exact"/>
        <w:rPr>
          <w:sz w:val="20"/>
          <w:szCs w:val="20"/>
          <w:color w:val="auto"/>
        </w:rPr>
      </w:pPr>
    </w:p>
    <w:tbl>
      <w:tblPr>
        <w:tblLayout w:type="fixed"/>
        <w:tblInd w:w="1652" w:type="dxa"/>
        <w:tblCellMar>
          <w:top w:w="0" w:type="dxa"/>
          <w:left w:w="0" w:type="dxa"/>
          <w:bottom w:w="0" w:type="dxa"/>
          <w:right w:w="0" w:type="dxa"/>
        </w:tblCellMar>
      </w:tblPr>
      <w:tr>
        <w:trPr>
          <w:trHeight w:val="173"/>
        </w:trPr>
        <w:tc>
          <w:tcPr>
            <w:tcW w:w="330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 bond fund</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140,280</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1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ectPr>
          <w:pgSz w:w="11900" w:h="16838" w:orient="portrait"/>
          <w:cols w:equalWidth="0" w:num="1">
            <w:col w:w="11372"/>
          </w:cols>
          <w:pgMar w:left="248" w:top="121" w:right="279" w:bottom="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the net assets and the significant components of the changes in net assets relating to the investment in Toro Company Common Stock is as follows:</w:t>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8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1,375,665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914,106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461,559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(12,782)</w:t>
            </w:r>
          </w:p>
        </w:tc>
        <w:tc>
          <w:tcPr>
            <w:tcW w:w="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(12,477)</w:t>
            </w:r>
          </w:p>
        </w:tc>
        <w:tc>
          <w:tcPr>
            <w:tcW w:w="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other funds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(75,954)</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(59,981)</w:t>
            </w: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1,296,956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876,038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420,918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1,375,665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8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1,296,956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876,038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420,918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130,551</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133,243</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(44,328)</w:t>
            </w:r>
          </w:p>
        </w:tc>
        <w:tc>
          <w:tcPr>
            <w:tcW w:w="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(19,140)</w:t>
            </w:r>
          </w:p>
        </w:tc>
        <w:tc>
          <w:tcPr>
            <w:tcW w:w="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other funds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(27,692)</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(22,258)</w:t>
            </w: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752,750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454,322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298,428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1,296,956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80"/>
          </w:cols>
          <w:pgMar w:left="740" w:top="121" w:right="679" w:bottom="238" w:gutter="0" w:footer="0" w:header="0"/>
        </w:sectPr>
      </w:pPr>
    </w:p>
    <w:bookmarkStart w:id="6" w:name="page7"/>
    <w:bookmarkEnd w:id="6"/>
    <w:p>
      <w:pPr>
        <w:jc w:val="center"/>
        <w:ind w:right="8"/>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THE TORO COMPANY PROFIT-SHARING PLAN</w:t>
      </w:r>
    </w:p>
    <w:p>
      <w:pPr>
        <w:spacing w:after="0" w:line="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December 31, 2005 and 2004</w:t>
      </w:r>
    </w:p>
    <w:p>
      <w:pPr>
        <w:spacing w:after="0" w:line="208" w:lineRule="exact"/>
        <w:rPr>
          <w:sz w:val="20"/>
          <w:szCs w:val="20"/>
          <w:color w:val="auto"/>
        </w:rPr>
      </w:pPr>
    </w:p>
    <w:p>
      <w:pPr>
        <w:ind w:left="612" w:hanging="612"/>
        <w:spacing w:after="0"/>
        <w:tabs>
          <w:tab w:leader="none" w:pos="61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Reconciliation of Differences Between these Financial Statements and the Financial Information Required on Form 5500:</w:t>
      </w:r>
    </w:p>
    <w:p>
      <w:pPr>
        <w:sectPr>
          <w:pgSz w:w="11900" w:h="16838" w:orient="portrait"/>
          <w:cols w:equalWidth="0" w:num="1">
            <w:col w:w="11412"/>
          </w:cols>
          <w:pgMar w:left="248" w:top="121" w:right="239"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1652" w:right="1100"/>
        <w:spacing w:after="0" w:line="269" w:lineRule="auto"/>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 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-282575</wp:posOffset>
            </wp:positionV>
            <wp:extent cx="514540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145405" cy="14605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454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-119380</wp:posOffset>
            </wp:positionV>
            <wp:extent cx="514540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1454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52"/>
        <w:spacing w:after="0" w:line="269" w:lineRule="auto"/>
        <w:rPr>
          <w:sz w:val="20"/>
          <w:szCs w:val="20"/>
          <w:color w:val="auto"/>
        </w:rPr>
      </w:pPr>
      <w:r>
        <w:rPr>
          <w:rFonts w:ascii="Times New Roman" w:cs="Times New Roman" w:eastAsia="Times New Roman" w:hAnsi="Times New Roman"/>
          <w:sz w:val="18"/>
          <w:szCs w:val="18"/>
          <w:color w:val="auto"/>
        </w:rPr>
        <w:t>Net increase in net assets available for benefits as presented in these financial statements 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-282575</wp:posOffset>
            </wp:positionV>
            <wp:extent cx="51371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137150" cy="14605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371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137150" cy="13716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2004</w:t>
      </w:r>
    </w:p>
    <w:p>
      <w:pPr>
        <w:spacing w:after="0" w:line="9"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371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137150" cy="137160"/>
                    </a:xfrm>
                    <a:prstGeom prst="rect">
                      <a:avLst/>
                    </a:prstGeom>
                    <a:noFill/>
                  </pic:spPr>
                </pic:pic>
              </a:graphicData>
            </a:graphic>
          </wp:anchor>
        </w:drawing>
      </w:r>
    </w:p>
    <w:p>
      <w:pPr>
        <w:spacing w:after="0" w:line="200" w:lineRule="exact"/>
        <w:rPr>
          <w:sz w:val="20"/>
          <w:szCs w:val="20"/>
          <w:color w:val="auto"/>
        </w:rPr>
      </w:pPr>
    </w:p>
    <w:p>
      <w:pPr>
        <w:jc w:val="center"/>
        <w:ind w:left="632"/>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-119380</wp:posOffset>
            </wp:positionV>
            <wp:extent cx="51371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1371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2005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$ 2,787,002</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(867)</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557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$ 2,783,149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557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1760"/>
        <w:spacing w:after="0" w:line="201"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2005</w:t>
      </w:r>
    </w:p>
    <w:p>
      <w:pPr>
        <w:spacing w:after="0" w:line="9" w:lineRule="exact"/>
        <w:rPr>
          <w:sz w:val="20"/>
          <w:szCs w:val="20"/>
          <w:color w:val="auto"/>
        </w:rPr>
      </w:pPr>
    </w:p>
    <w:p>
      <w:pPr>
        <w:ind w:left="280" w:hanging="274"/>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359,429</w:t>
      </w:r>
    </w:p>
    <w:p>
      <w:pPr>
        <w:spacing w:after="0" w:line="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(2,986)</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684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57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ind w:left="280" w:hanging="274"/>
        <w:spacing w:after="0"/>
        <w:tabs>
          <w:tab w:leader="none" w:pos="28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358,578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557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052" w:space="720"/>
            <w:col w:w="2640"/>
          </w:cols>
          <w:pgMar w:left="248" w:top="121" w:right="239"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THE TORO COMPANY PROFIT-SHARING PLAN</w:t>
      </w:r>
    </w:p>
    <w:p>
      <w:pPr>
        <w:spacing w:after="0" w:line="4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pacing w:after="0" w:line="2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December 31, 2005 and 2004</w:t>
      </w:r>
    </w:p>
    <w:p>
      <w:pPr>
        <w:sectPr>
          <w:pgSz w:w="11900" w:h="16838" w:orient="portrait"/>
          <w:cols w:equalWidth="0" w:num="1">
            <w:col w:w="11412"/>
          </w:cols>
          <w:pgMar w:left="248" w:top="121" w:right="239" w:bottom="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1652" w:right="1100"/>
        <w:spacing w:after="0" w:line="269" w:lineRule="auto"/>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 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-282575</wp:posOffset>
            </wp:positionV>
            <wp:extent cx="514540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145405" cy="14605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4540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-119380</wp:posOffset>
            </wp:positionV>
            <wp:extent cx="514540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1454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52"/>
        <w:spacing w:after="0" w:line="269" w:lineRule="auto"/>
        <w:rPr>
          <w:sz w:val="20"/>
          <w:szCs w:val="20"/>
          <w:color w:val="auto"/>
        </w:rPr>
      </w:pPr>
      <w:r>
        <w:rPr>
          <w:rFonts w:ascii="Times New Roman" w:cs="Times New Roman" w:eastAsia="Times New Roman" w:hAnsi="Times New Roman"/>
          <w:sz w:val="18"/>
          <w:szCs w:val="18"/>
          <w:color w:val="auto"/>
        </w:rPr>
        <w:t>Net increase in net assets available for benefits as presented in these financial statements Adjustment for employer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-282575</wp:posOffset>
            </wp:positionV>
            <wp:extent cx="51371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137150" cy="14605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371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137150" cy="137160"/>
                    </a:xfrm>
                    <a:prstGeom prst="rect">
                      <a:avLst/>
                    </a:prstGeom>
                    <a:noFill/>
                  </pic:spPr>
                </pic:pic>
              </a:graphicData>
            </a:graphic>
          </wp:anchor>
        </w:drawing>
      </w:r>
    </w:p>
    <w:p>
      <w:pPr>
        <w:ind w:left="1652"/>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2003</w:t>
      </w:r>
    </w:p>
    <w:p>
      <w:pPr>
        <w:spacing w:after="0" w:line="9"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-130810</wp:posOffset>
            </wp:positionV>
            <wp:extent cx="51371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137150" cy="137160"/>
                    </a:xfrm>
                    <a:prstGeom prst="rect">
                      <a:avLst/>
                    </a:prstGeom>
                    <a:noFill/>
                  </pic:spPr>
                </pic:pic>
              </a:graphicData>
            </a:graphic>
          </wp:anchor>
        </w:drawing>
      </w:r>
    </w:p>
    <w:p>
      <w:pPr>
        <w:spacing w:after="0" w:line="200" w:lineRule="exact"/>
        <w:rPr>
          <w:sz w:val="20"/>
          <w:szCs w:val="20"/>
          <w:color w:val="auto"/>
        </w:rPr>
      </w:pPr>
    </w:p>
    <w:p>
      <w:pPr>
        <w:jc w:val="center"/>
        <w:ind w:left="632"/>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-119380</wp:posOffset>
            </wp:positionV>
            <wp:extent cx="51371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1371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2004</w:t>
      </w:r>
    </w:p>
    <w:p>
      <w:pPr>
        <w:spacing w:after="0" w:line="9" w:lineRule="exact"/>
        <w:rPr>
          <w:sz w:val="20"/>
          <w:szCs w:val="20"/>
          <w:color w:val="auto"/>
        </w:rPr>
      </w:pPr>
    </w:p>
    <w:p>
      <w:pPr>
        <w:ind w:left="160" w:hanging="147"/>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2,427,573</w:t>
      </w:r>
    </w:p>
    <w:p>
      <w:pPr>
        <w:spacing w:after="0" w:line="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557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$ 2,424,571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557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1760"/>
        <w:spacing w:after="0" w:line="201"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2004</w:t>
      </w:r>
    </w:p>
    <w:p>
      <w:pPr>
        <w:spacing w:after="0" w:line="9" w:lineRule="exact"/>
        <w:rPr>
          <w:sz w:val="20"/>
          <w:szCs w:val="20"/>
          <w:color w:val="auto"/>
        </w:rPr>
      </w:pPr>
    </w:p>
    <w:p>
      <w:pPr>
        <w:ind w:left="280" w:hanging="274"/>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739,722</w:t>
      </w:r>
    </w:p>
    <w:p>
      <w:pPr>
        <w:spacing w:after="0" w:line="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(2,318)</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598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57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ind w:left="280" w:hanging="274"/>
        <w:spacing w:after="0"/>
        <w:tabs>
          <w:tab w:leader="none" w:pos="280" w:val="left"/>
        </w:tabs>
        <w:numPr>
          <w:ilvl w:val="0"/>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738,747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557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052" w:space="720"/>
            <w:col w:w="2640"/>
          </w:cols>
          <w:pgMar w:left="248" w:top="121" w:right="239"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THE TORO COMPANY PROFIT-SHARING PLAN</w:t>
      </w:r>
    </w:p>
    <w:p>
      <w:pPr>
        <w:spacing w:after="0" w:line="4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FOR PLYMOUTH UNION EMPLOYEES</w:t>
      </w:r>
    </w:p>
    <w:p>
      <w:pPr>
        <w:sectPr>
          <w:pgSz w:w="11900" w:h="16838" w:orient="portrait"/>
          <w:cols w:equalWidth="0" w:num="1">
            <w:col w:w="11412"/>
          </w:cols>
          <w:pgMar w:left="248" w:top="121" w:right="239" w:bottom="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Schedule of Assets (Held at End of the Year)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2005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5"/>
        </w:trPr>
        <w:tc>
          <w:tcPr>
            <w:tcW w:w="7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700" w:type="dxa"/>
            <w:vAlign w:val="bottom"/>
            <w:gridSpan w:val="4"/>
            <w:vMerge w:val="continue"/>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 shares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Global Investors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Artisan Mid Cap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 Mid Cap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STI Classics Small Cap Growth Stock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Growth Fund of America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ICM Small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 Institutional Index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Century Large Company Value Fund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741,916</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1,375,665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Total investments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741,916</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5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 participant and nonparticipant directed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not required for participant directed investments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independent registered public accounting firm’s report.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Profit-Sharing Plan for</w:t>
            </w:r>
          </w:p>
        </w:tc>
      </w:tr>
      <w:tr>
        <w:trPr>
          <w:trHeight w:val="234"/>
        </w:trPr>
        <w:tc>
          <w:tcPr>
            <w:tcW w:w="540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Plymouth Union Employees</w:t>
            </w:r>
          </w:p>
        </w:tc>
      </w:tr>
      <w:tr>
        <w:trPr>
          <w:trHeight w:val="64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Dated June 28, 2006</w:t>
            </w: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Wolfe</w:t>
            </w:r>
          </w:p>
        </w:tc>
      </w:tr>
      <w:tr>
        <w:trPr>
          <w:trHeight w:val="191"/>
        </w:trPr>
        <w:tc>
          <w:tcPr>
            <w:tcW w:w="5400" w:type="dxa"/>
            <w:vAlign w:val="bottom"/>
          </w:tcPr>
          <w:p>
            <w:pPr>
              <w:spacing w:after="0"/>
              <w:rPr>
                <w:sz w:val="16"/>
                <w:szCs w:val="16"/>
                <w:color w:val="auto"/>
              </w:rPr>
            </w:pPr>
          </w:p>
        </w:tc>
        <w:tc>
          <w:tcPr>
            <w:tcW w:w="6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P. Wolfe</w:t>
            </w:r>
          </w:p>
        </w:tc>
      </w:tr>
      <w:tr>
        <w:trPr>
          <w:trHeight w:val="216"/>
        </w:trPr>
        <w:tc>
          <w:tcPr>
            <w:tcW w:w="54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w:t>
            </w:r>
          </w:p>
        </w:tc>
      </w:tr>
      <w:tr>
        <w:trPr>
          <w:trHeight w:val="216"/>
        </w:trPr>
        <w:tc>
          <w:tcPr>
            <w:tcW w:w="54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of The Toro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r>
      <w:tr>
        <w:trPr>
          <w:trHeight w:val="378"/>
        </w:trPr>
        <w:tc>
          <w:tcPr>
            <w:tcW w:w="1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 w:type="dxa"/>
            <w:vAlign w:val="bottom"/>
          </w:tcPr>
          <w:p>
            <w:pPr>
              <w:spacing w:after="0"/>
              <w:rPr>
                <w:sz w:val="24"/>
                <w:szCs w:val="24"/>
                <w:color w:val="auto"/>
              </w:rPr>
            </w:pPr>
          </w:p>
        </w:tc>
        <w:tc>
          <w:tcPr>
            <w:tcW w:w="9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23(a)</w:t>
            </w: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40" w:type="dxa"/>
            <w:vAlign w:val="bottom"/>
          </w:tcPr>
          <w:p>
            <w:pPr>
              <w:spacing w:after="0"/>
              <w:rPr>
                <w:sz w:val="24"/>
                <w:szCs w:val="24"/>
                <w:color w:val="auto"/>
              </w:rPr>
            </w:pPr>
          </w:p>
        </w:tc>
      </w:tr>
      <w:tr>
        <w:trPr>
          <w:trHeight w:val="807"/>
        </w:trPr>
        <w:tc>
          <w:tcPr>
            <w:tcW w:w="16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consent to incorporation by reference in the Registration Statements (Nos. 333-135033, 333-119504, 333-119506, and 333-100004 as amended by Post-Effective Amendment No. 1) on Form S-8 of The Toro Company, of our report dated June 23, 2006, relating to the statement of net assets available for benefits of The Toro Company Profit-Sharing Plan for Plymouth Union Employees as of December 31, 2005 and 2004, the related statements of changes in net assets available for benefits for the years then ended, and the related supplemental schedule as of December 31, 2005, which report appears in the December 31, 2005 annual report on Form 11-K of The Toro Company Profit-Sharing Plan for Plymouth Union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1"/>
    </w:lvl>
    <w:lvl w:ilvl="1">
      <w:lvlJc w:val="left"/>
      <w:lvlText w:val="(%2)"/>
      <w:numFmt w:val="decimal"/>
      <w:start w:val="5"/>
    </w:lvl>
  </w:abstractNum>
  <w:abstractNum w:abstractNumId="7">
    <w:nsid w:val="1190CDE7"/>
    <w:multiLevelType w:val="hybridMultilevel"/>
    <w:lvl w:ilvl="0">
      <w:lvlJc w:val="left"/>
      <w:lvlText w:val="(%1)"/>
      <w:numFmt w:val="decimal"/>
      <w:start w:val="6"/>
    </w:lvl>
    <w:lvl w:ilvl="1">
      <w:lvlJc w:val="left"/>
      <w:lvlText w:val="%2"/>
      <w:numFmt w:val="decimal"/>
      <w:start w:val="1"/>
    </w:lvl>
  </w:abstractNum>
  <w:abstractNum w:abstractNumId="8">
    <w:nsid w:val="66EF438D"/>
    <w:multiLevelType w:val="hybridMultilevel"/>
    <w:lvl w:ilvl="0">
      <w:lvlJc w:val="left"/>
      <w:lvlText w:val="(%1)"/>
      <w:numFmt w:val="decimal"/>
      <w:start w:val="7"/>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14" Type="http://schemas.openxmlformats.org/officeDocument/2006/relationships/hyperlink" Target="file:///data/convert/a06-14651_211k.htm#IndependentRegisteredPublicAccoun_045346" TargetMode="External"/><Relationship Id="rId15" Type="http://schemas.openxmlformats.org/officeDocument/2006/relationships/hyperlink" Target="file:///data/convert/a06-14651_211k.htm#StatementsOfNetAssetsAvailableFor_045419" TargetMode="External"/><Relationship Id="rId16" Type="http://schemas.openxmlformats.org/officeDocument/2006/relationships/hyperlink" Target="file:///data/convert/a06-14651_211k.htm#StatementsOfChangesInNetAssetsAva_045532" TargetMode="External"/><Relationship Id="rId17" Type="http://schemas.openxmlformats.org/officeDocument/2006/relationships/hyperlink" Target="file:///data/convert/a06-14651_211k.htm#NotesToFinancialStatements_045805" TargetMode="External"/><Relationship Id="rId18" Type="http://schemas.openxmlformats.org/officeDocument/2006/relationships/hyperlink" Target="file:///data/convert/a06-14651_211k.htm#ScheduleOfAssetsheldAtEndOfTheYea_043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2019-12-13T13:55:20Z</dcterms:created>
  <dcterms:modified xsi:type="dcterms:W3CDTF">2019-12-13T13:55:20Z</dcterms:modified>
</cp:coreProperties>
</file>