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STEINHAFEL GREGG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06/16/2010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54.576</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77"/>
              <w:spacing w:after="0"/>
              <w:rPr>
                <w:sz w:val="20"/>
                <w:szCs w:val="20"/>
                <w:color w:val="auto"/>
              </w:rPr>
            </w:pPr>
            <w:r>
              <w:rPr>
                <w:rFonts w:ascii="Arial" w:cs="Arial" w:eastAsia="Arial" w:hAnsi="Arial"/>
                <w:sz w:val="18"/>
                <w:szCs w:val="18"/>
                <w:color w:val="0000FF"/>
                <w:w w:val="88"/>
              </w:rPr>
              <w:t>6,584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77"/>
              <w:spacing w:after="0"/>
              <w:rPr>
                <w:sz w:val="20"/>
                <w:szCs w:val="20"/>
                <w:color w:val="auto"/>
              </w:rPr>
            </w:pPr>
            <w:r>
              <w:rPr>
                <w:rFonts w:ascii="Arial" w:cs="Arial" w:eastAsia="Arial" w:hAnsi="Arial"/>
                <w:sz w:val="18"/>
                <w:szCs w:val="18"/>
                <w:color w:val="0000FF"/>
              </w:rPr>
              <w:t>1,258.47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$54.51 to $54.72,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9.499 common stock units acquired by the reporting person under the dividend reinvestment feature of The Toro Company Deferred Compensation Plan for Non-Employee Directors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06/17/2010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2019-12-17T00:18:03Z</dcterms:created>
  <dcterms:modified xsi:type="dcterms:W3CDTF">2019-12-17T00:18:03Z</dcterms:modified>
</cp:coreProperties>
</file>