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-248285</wp:posOffset>
            </wp:positionH>
            <wp:positionV relativeFrom="paragraph">
              <wp:posOffset>218440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-248285</wp:posOffset>
            </wp:positionH>
            <wp:positionV relativeFrom="paragraph">
              <wp:posOffset>372745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1397000</wp:posOffset>
            </wp:positionH>
            <wp:positionV relativeFrom="paragraph">
              <wp:posOffset>81915</wp:posOffset>
            </wp:positionV>
            <wp:extent cx="38404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40480" cy="17145"/>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1397000</wp:posOffset>
            </wp:positionH>
            <wp:positionV relativeFrom="paragraph">
              <wp:posOffset>81915</wp:posOffset>
            </wp:positionV>
            <wp:extent cx="38404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40480" cy="17145"/>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1397000</wp:posOffset>
            </wp:positionH>
            <wp:positionV relativeFrom="paragraph">
              <wp:posOffset>81915</wp:posOffset>
            </wp:positionV>
            <wp:extent cx="38404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40480" cy="17145"/>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1397000</wp:posOffset>
            </wp:positionH>
            <wp:positionV relativeFrom="paragraph">
              <wp:posOffset>81915</wp:posOffset>
            </wp:positionV>
            <wp:extent cx="38404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40480" cy="17145"/>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350" w:lineRule="exact"/>
        <w:rPr>
          <w:sz w:val="24"/>
          <w:szCs w:val="24"/>
          <w:color w:val="auto"/>
        </w:rPr>
      </w:pPr>
    </w:p>
    <w:p>
      <w:pPr>
        <w:ind w:left="1160" w:hanging="857"/>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 w:lineRule="exact"/>
        <w:rPr>
          <w:sz w:val="24"/>
          <w:szCs w:val="24"/>
          <w:color w:val="auto"/>
        </w:rPr>
      </w:pPr>
    </w:p>
    <w:p>
      <w:pPr>
        <w:ind w:left="1160" w:hanging="857"/>
        <w:spacing w:after="0"/>
        <w:tabs>
          <w:tab w:leader="none" w:pos="11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5" w:lineRule="exact"/>
        <w:rPr>
          <w:rFonts w:ascii="MS PGothic" w:cs="MS PGothic" w:eastAsia="MS PGothic" w:hAnsi="MS PGothic"/>
          <w:sz w:val="18"/>
          <w:szCs w:val="18"/>
          <w:color w:val="auto"/>
        </w:rPr>
      </w:pPr>
    </w:p>
    <w:p>
      <w:pPr>
        <w:ind w:left="1160" w:hanging="857"/>
        <w:spacing w:after="0"/>
        <w:tabs>
          <w:tab w:leader="none" w:pos="11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3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-248285</wp:posOffset>
            </wp:positionH>
            <wp:positionV relativeFrom="paragraph">
              <wp:posOffset>521970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615950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984885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1015" w:right="739" w:bottom="1440" w:gutter="0" w:footer="0" w:header="0"/>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0030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0300" cy="22288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7"/>
          <w:szCs w:val="17"/>
          <w:b w:val="1"/>
          <w:bCs w:val="1"/>
          <w:color w:val="auto"/>
        </w:rPr>
        <w:t>CUSIP No. 891092108</w:t>
      </w:r>
    </w:p>
    <w:p>
      <w:pPr>
        <w:spacing w:after="0" w:line="20" w:lineRule="exact"/>
        <w:rPr>
          <w:sz w:val="20"/>
          <w:szCs w:val="20"/>
          <w:color w:val="auto"/>
        </w:rPr>
      </w:pPr>
      <w:r>
        <w:rPr>
          <w:sz w:val="20"/>
          <w:szCs w:val="20"/>
          <w:color w:val="auto"/>
        </w:rPr>
        <w:br w:type="column"/>
      </w:r>
    </w:p>
    <w:p>
      <w:pPr>
        <w:jc w:val="center"/>
        <w:ind w:right="294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242570</wp:posOffset>
            </wp:positionV>
            <wp:extent cx="7132320" cy="5503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503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-1495425</wp:posOffset>
            </wp:positionH>
            <wp:positionV relativeFrom="paragraph">
              <wp:posOffset>-149860</wp:posOffset>
            </wp:positionV>
            <wp:extent cx="2370455" cy="218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70455" cy="2184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420" w:space="720"/>
            <w:col w:w="4000" w:space="720"/>
            <w:col w:w="1380"/>
          </w:cols>
          <w:pgMar w:left="320" w:top="158" w:right="339" w:bottom="1440" w:gutter="0" w:footer="0" w:header="0"/>
        </w:sectPr>
      </w:pP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970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432"/>
        </w:trPr>
        <w:tc>
          <w:tcPr>
            <w:tcW w:w="1540" w:type="dxa"/>
            <w:vAlign w:val="bottom"/>
            <w:tcBorders>
              <w:right w:val="single" w:sz="8" w:color="auto"/>
            </w:tcBorders>
          </w:tcPr>
          <w:p>
            <w:pPr>
              <w:spacing w:after="0"/>
              <w:rPr>
                <w:sz w:val="24"/>
                <w:szCs w:val="24"/>
                <w:color w:val="auto"/>
              </w:rPr>
            </w:pPr>
          </w:p>
        </w:tc>
        <w:tc>
          <w:tcPr>
            <w:tcW w:w="97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Select Equity Group, L.P.</w:t>
            </w:r>
          </w:p>
        </w:tc>
        <w:tc>
          <w:tcPr>
            <w:tcW w:w="0" w:type="dxa"/>
            <w:vAlign w:val="bottom"/>
          </w:tcPr>
          <w:p>
            <w:pPr>
              <w:spacing w:after="0"/>
              <w:rPr>
                <w:sz w:val="1"/>
                <w:szCs w:val="1"/>
                <w:color w:val="auto"/>
              </w:rPr>
            </w:pPr>
          </w:p>
        </w:tc>
      </w:tr>
      <w:tr>
        <w:trPr>
          <w:trHeight w:val="48"/>
        </w:trPr>
        <w:tc>
          <w:tcPr>
            <w:tcW w:w="15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8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97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w:t>
            </w:r>
          </w:p>
        </w:tc>
        <w:tc>
          <w:tcPr>
            <w:tcW w:w="760" w:type="dxa"/>
            <w:vAlign w:val="bottom"/>
          </w:tcPr>
          <w:p>
            <w:pPr>
              <w:jc w:val="right"/>
              <w:ind w:right="490"/>
              <w:spacing w:after="0" w:line="181" w:lineRule="exact"/>
              <w:rPr>
                <w:sz w:val="20"/>
                <w:szCs w:val="20"/>
                <w:color w:val="auto"/>
              </w:rPr>
            </w:pPr>
            <w:r>
              <w:rPr>
                <w:rFonts w:ascii="MS PGothic" w:cs="MS PGothic" w:eastAsia="MS PGothic" w:hAnsi="MS PGothic"/>
                <w:sz w:val="18"/>
                <w:szCs w:val="18"/>
                <w:color w:val="auto"/>
                <w:w w:val="88"/>
              </w:rPr>
              <w:t>☐</w:t>
            </w:r>
          </w:p>
        </w:tc>
        <w:tc>
          <w:tcPr>
            <w:tcW w:w="8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540" w:type="dxa"/>
            <w:vAlign w:val="bottom"/>
            <w:tcBorders>
              <w:right w:val="single" w:sz="8" w:color="auto"/>
            </w:tcBorders>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w:t>
            </w:r>
          </w:p>
        </w:tc>
        <w:tc>
          <w:tcPr>
            <w:tcW w:w="760" w:type="dxa"/>
            <w:vAlign w:val="bottom"/>
          </w:tcPr>
          <w:p>
            <w:pPr>
              <w:jc w:val="right"/>
              <w:ind w:right="470"/>
              <w:spacing w:after="0" w:line="181" w:lineRule="exact"/>
              <w:rPr>
                <w:sz w:val="20"/>
                <w:szCs w:val="20"/>
                <w:color w:val="auto"/>
              </w:rPr>
            </w:pPr>
            <w:r>
              <w:rPr>
                <w:rFonts w:ascii="MS PGothic" w:cs="MS PGothic" w:eastAsia="MS PGothic" w:hAnsi="MS PGothic"/>
                <w:sz w:val="18"/>
                <w:szCs w:val="18"/>
                <w:color w:val="auto"/>
                <w:w w:val="99"/>
              </w:rPr>
              <w:t>☐</w:t>
            </w:r>
          </w:p>
        </w:tc>
        <w:tc>
          <w:tcPr>
            <w:tcW w:w="8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5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580" w:type="dxa"/>
            <w:vAlign w:val="bottom"/>
            <w:tcBorders>
              <w:bottom w:val="single" w:sz="8" w:color="CCCCCC"/>
              <w:right w:val="single" w:sz="8" w:color="CCCCCC"/>
            </w:tcBorders>
            <w:gridSpan w:val="3"/>
            <w:shd w:val="clear" w:color="auto" w:fill="CCCCCC"/>
          </w:tcPr>
          <w:p>
            <w:pPr>
              <w:ind w:left="6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8120" w:type="dxa"/>
            <w:vAlign w:val="bottom"/>
            <w:tcBorders>
              <w:bottom w:val="single" w:sz="8" w:color="CCCCCC"/>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70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32"/>
        </w:trPr>
        <w:tc>
          <w:tcPr>
            <w:tcW w:w="1540" w:type="dxa"/>
            <w:vAlign w:val="bottom"/>
            <w:tcBorders>
              <w:right w:val="single" w:sz="8" w:color="auto"/>
            </w:tcBorders>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7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5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81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5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8"/>
        </w:trPr>
        <w:tc>
          <w:tcPr>
            <w:tcW w:w="2320" w:type="dxa"/>
            <w:vAlign w:val="bottom"/>
            <w:tcBorders>
              <w:right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23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0" w:type="dxa"/>
            <w:vAlign w:val="bottom"/>
          </w:tcPr>
          <w:p>
            <w:pPr>
              <w:spacing w:after="0"/>
              <w:rPr>
                <w:sz w:val="24"/>
                <w:szCs w:val="24"/>
                <w:color w:val="auto"/>
              </w:rPr>
            </w:pPr>
          </w:p>
        </w:tc>
        <w:tc>
          <w:tcPr>
            <w:tcW w:w="7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81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1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5,936,672</w:t>
            </w:r>
          </w:p>
        </w:tc>
        <w:tc>
          <w:tcPr>
            <w:tcW w:w="0" w:type="dxa"/>
            <w:vAlign w:val="bottom"/>
          </w:tcPr>
          <w:p>
            <w:pPr>
              <w:spacing w:after="0"/>
              <w:rPr>
                <w:sz w:val="1"/>
                <w:szCs w:val="1"/>
                <w:color w:val="auto"/>
              </w:rPr>
            </w:pPr>
          </w:p>
        </w:tc>
      </w:tr>
      <w:tr>
        <w:trPr>
          <w:trHeight w:val="232"/>
        </w:trPr>
        <w:tc>
          <w:tcPr>
            <w:tcW w:w="23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8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320" w:type="dxa"/>
            <w:vAlign w:val="bottom"/>
            <w:tcBorders>
              <w:right w:val="single" w:sz="8" w:color="auto"/>
            </w:tcBorders>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40" w:type="dxa"/>
            <w:vAlign w:val="bottom"/>
          </w:tcPr>
          <w:p>
            <w:pPr>
              <w:spacing w:after="0"/>
              <w:rPr>
                <w:sz w:val="17"/>
                <w:szCs w:val="17"/>
                <w:color w:val="auto"/>
              </w:rPr>
            </w:pPr>
          </w:p>
        </w:tc>
        <w:tc>
          <w:tcPr>
            <w:tcW w:w="760" w:type="dxa"/>
            <w:vAlign w:val="bottom"/>
            <w:tcBorders>
              <w:right w:val="single" w:sz="8" w:color="auto"/>
            </w:tcBorders>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7</w:t>
            </w:r>
          </w:p>
        </w:tc>
        <w:tc>
          <w:tcPr>
            <w:tcW w:w="812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94"/>
        </w:trPr>
        <w:tc>
          <w:tcPr>
            <w:tcW w:w="2320" w:type="dxa"/>
            <w:vAlign w:val="bottom"/>
            <w:tcBorders>
              <w:right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REPORTING</w:t>
            </w:r>
          </w:p>
        </w:tc>
        <w:tc>
          <w:tcPr>
            <w:tcW w:w="4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23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81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432"/>
        </w:trPr>
        <w:tc>
          <w:tcPr>
            <w:tcW w:w="15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5,936,672</w:t>
            </w:r>
          </w:p>
        </w:tc>
        <w:tc>
          <w:tcPr>
            <w:tcW w:w="0" w:type="dxa"/>
            <w:vAlign w:val="bottom"/>
          </w:tcPr>
          <w:p>
            <w:pPr>
              <w:spacing w:after="0"/>
              <w:rPr>
                <w:sz w:val="1"/>
                <w:szCs w:val="1"/>
                <w:color w:val="auto"/>
              </w:rPr>
            </w:pPr>
          </w:p>
        </w:tc>
      </w:tr>
      <w:tr>
        <w:trPr>
          <w:trHeight w:val="47"/>
        </w:trPr>
        <w:tc>
          <w:tcPr>
            <w:tcW w:w="154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gridSpan w:val="2"/>
          </w:tcPr>
          <w:p>
            <w:pPr>
              <w:spacing w:after="0"/>
              <w:rPr>
                <w:sz w:val="4"/>
                <w:szCs w:val="4"/>
                <w:color w:val="auto"/>
              </w:rPr>
            </w:pPr>
          </w:p>
        </w:tc>
        <w:tc>
          <w:tcPr>
            <w:tcW w:w="8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97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PERSON</w:t>
            </w:r>
          </w:p>
        </w:tc>
        <w:tc>
          <w:tcPr>
            <w:tcW w:w="0" w:type="dxa"/>
            <w:vAlign w:val="bottom"/>
          </w:tcPr>
          <w:p>
            <w:pPr>
              <w:spacing w:after="0"/>
              <w:rPr>
                <w:sz w:val="1"/>
                <w:szCs w:val="1"/>
                <w:color w:val="auto"/>
              </w:rPr>
            </w:pPr>
          </w:p>
        </w:tc>
      </w:tr>
      <w:tr>
        <w:trPr>
          <w:trHeight w:val="432"/>
        </w:trPr>
        <w:tc>
          <w:tcPr>
            <w:tcW w:w="154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5,936,672</w:t>
            </w:r>
          </w:p>
        </w:tc>
        <w:tc>
          <w:tcPr>
            <w:tcW w:w="7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540" w:type="dxa"/>
            <w:vAlign w:val="bottom"/>
            <w:tcBorders>
              <w:bottom w:val="single" w:sz="8" w:color="auto"/>
            </w:tcBorders>
          </w:tcPr>
          <w:p>
            <w:pPr>
              <w:spacing w:after="0"/>
              <w:rPr>
                <w:sz w:val="4"/>
                <w:szCs w:val="4"/>
                <w:color w:val="auto"/>
              </w:rPr>
            </w:pPr>
          </w:p>
        </w:tc>
        <w:tc>
          <w:tcPr>
            <w:tcW w:w="970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97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452"/>
        </w:trPr>
        <w:tc>
          <w:tcPr>
            <w:tcW w:w="1540" w:type="dxa"/>
            <w:vAlign w:val="bottom"/>
          </w:tcPr>
          <w:p>
            <w:pPr>
              <w:spacing w:after="0"/>
              <w:rPr>
                <w:sz w:val="24"/>
                <w:szCs w:val="24"/>
                <w:color w:val="auto"/>
              </w:rPr>
            </w:pPr>
          </w:p>
        </w:tc>
        <w:tc>
          <w:tcPr>
            <w:tcW w:w="82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97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11</w:t>
            </w:r>
          </w:p>
        </w:tc>
        <w:tc>
          <w:tcPr>
            <w:tcW w:w="97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5.52%*</w:t>
      </w:r>
    </w:p>
    <w:p>
      <w:pPr>
        <w:spacing w:after="0" w:line="113" w:lineRule="exact"/>
        <w:rPr>
          <w:sz w:val="20"/>
          <w:szCs w:val="20"/>
          <w:color w:val="auto"/>
        </w:rPr>
      </w:pPr>
    </w:p>
    <w:p>
      <w:pPr>
        <w:ind w:left="1600" w:hanging="914"/>
        <w:spacing w:after="0"/>
        <w:tabs>
          <w:tab w:leader="none" w:pos="160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w:t>
      </w:r>
    </w:p>
    <w:p>
      <w:pPr>
        <w:spacing w:after="0" w:line="229" w:lineRule="exact"/>
        <w:rPr>
          <w:rFonts w:ascii="Times New Roman" w:cs="Times New Roman" w:eastAsia="Times New Roman" w:hAnsi="Times New Roman"/>
          <w:sz w:val="18"/>
          <w:szCs w:val="18"/>
          <w:b w:val="1"/>
          <w:bCs w:val="1"/>
          <w:color w:val="auto"/>
        </w:rPr>
      </w:pPr>
    </w:p>
    <w:p>
      <w:pPr>
        <w:ind w:left="1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IA</w:t>
      </w:r>
    </w:p>
    <w:p>
      <w:pPr>
        <w:spacing w:after="0" w:line="72" w:lineRule="exact"/>
        <w:rPr>
          <w:rFonts w:ascii="Times New Roman" w:cs="Times New Roman" w:eastAsia="Times New Roman" w:hAnsi="Times New Roman"/>
          <w:sz w:val="18"/>
          <w:szCs w:val="18"/>
          <w:b w:val="1"/>
          <w:bCs w:val="1"/>
          <w:color w:val="auto"/>
        </w:rPr>
      </w:pPr>
    </w:p>
    <w:p>
      <w:pPr>
        <w:ind w:right="2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4"/>
          <w:szCs w:val="14"/>
          <w:color w:val="auto"/>
        </w:rPr>
        <w:t>* Beneficial ownership based on 107,628,246 shares of Common Stock outstanding as of December 11, 2020, as reported on the Issuer’s Annual Report on Form 10-K filed with the Securities and Exchange Commission (the “SEC”) on December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760730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type w:val="continuous"/>
        </w:sectPr>
      </w:pPr>
    </w:p>
    <w:bookmarkStart w:id="2" w:name="page3"/>
    <w:bookmarkEnd w:id="2"/>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240030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0300" cy="22288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7"/>
          <w:szCs w:val="17"/>
          <w:b w:val="1"/>
          <w:bCs w:val="1"/>
          <w:color w:val="auto"/>
        </w:rPr>
        <w:t>CUSIP No. 891092108</w:t>
      </w:r>
    </w:p>
    <w:p>
      <w:pPr>
        <w:spacing w:after="0" w:line="20" w:lineRule="exact"/>
        <w:rPr>
          <w:sz w:val="20"/>
          <w:szCs w:val="20"/>
          <w:color w:val="auto"/>
        </w:rPr>
      </w:pPr>
      <w:r>
        <w:rPr>
          <w:sz w:val="20"/>
          <w:szCs w:val="20"/>
          <w:color w:val="auto"/>
        </w:rPr>
        <w:br w:type="column"/>
      </w:r>
    </w:p>
    <w:p>
      <w:pPr>
        <w:jc w:val="center"/>
        <w:ind w:right="294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234315</wp:posOffset>
            </wp:positionV>
            <wp:extent cx="7132320" cy="5503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503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-1495425</wp:posOffset>
            </wp:positionH>
            <wp:positionV relativeFrom="paragraph">
              <wp:posOffset>-149860</wp:posOffset>
            </wp:positionV>
            <wp:extent cx="2370455" cy="218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70455" cy="2184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420" w:space="720"/>
            <w:col w:w="4000" w:space="720"/>
            <w:col w:w="1380"/>
          </w:cols>
          <w:pgMar w:left="320" w:top="401" w:right="339" w:bottom="1440" w:gutter="0" w:footer="0" w:header="0"/>
        </w:sectPr>
      </w:pP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970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432"/>
        </w:trPr>
        <w:tc>
          <w:tcPr>
            <w:tcW w:w="1540" w:type="dxa"/>
            <w:vAlign w:val="bottom"/>
            <w:tcBorders>
              <w:right w:val="single" w:sz="8" w:color="auto"/>
            </w:tcBorders>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George S. Loening</w:t>
            </w:r>
          </w:p>
        </w:tc>
        <w:tc>
          <w:tcPr>
            <w:tcW w:w="8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5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8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97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w:t>
            </w:r>
          </w:p>
        </w:tc>
        <w:tc>
          <w:tcPr>
            <w:tcW w:w="760" w:type="dxa"/>
            <w:vAlign w:val="bottom"/>
          </w:tcPr>
          <w:p>
            <w:pPr>
              <w:jc w:val="right"/>
              <w:ind w:right="490"/>
              <w:spacing w:after="0" w:line="181" w:lineRule="exact"/>
              <w:rPr>
                <w:sz w:val="20"/>
                <w:szCs w:val="20"/>
                <w:color w:val="auto"/>
              </w:rPr>
            </w:pPr>
            <w:r>
              <w:rPr>
                <w:rFonts w:ascii="MS PGothic" w:cs="MS PGothic" w:eastAsia="MS PGothic" w:hAnsi="MS PGothic"/>
                <w:sz w:val="18"/>
                <w:szCs w:val="18"/>
                <w:color w:val="auto"/>
                <w:w w:val="88"/>
              </w:rPr>
              <w:t>☐</w:t>
            </w:r>
          </w:p>
        </w:tc>
        <w:tc>
          <w:tcPr>
            <w:tcW w:w="8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540" w:type="dxa"/>
            <w:vAlign w:val="bottom"/>
            <w:tcBorders>
              <w:right w:val="single" w:sz="8" w:color="auto"/>
            </w:tcBorders>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w:t>
            </w:r>
          </w:p>
        </w:tc>
        <w:tc>
          <w:tcPr>
            <w:tcW w:w="760" w:type="dxa"/>
            <w:vAlign w:val="bottom"/>
          </w:tcPr>
          <w:p>
            <w:pPr>
              <w:jc w:val="right"/>
              <w:ind w:right="470"/>
              <w:spacing w:after="0" w:line="181" w:lineRule="exact"/>
              <w:rPr>
                <w:sz w:val="20"/>
                <w:szCs w:val="20"/>
                <w:color w:val="auto"/>
              </w:rPr>
            </w:pPr>
            <w:r>
              <w:rPr>
                <w:rFonts w:ascii="MS PGothic" w:cs="MS PGothic" w:eastAsia="MS PGothic" w:hAnsi="MS PGothic"/>
                <w:sz w:val="18"/>
                <w:szCs w:val="18"/>
                <w:color w:val="auto"/>
                <w:w w:val="99"/>
              </w:rPr>
              <w:t>☐</w:t>
            </w:r>
          </w:p>
        </w:tc>
        <w:tc>
          <w:tcPr>
            <w:tcW w:w="8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580" w:type="dxa"/>
            <w:vAlign w:val="bottom"/>
            <w:tcBorders>
              <w:bottom w:val="single" w:sz="8" w:color="CCCCCC"/>
              <w:right w:val="single" w:sz="8" w:color="CCCCCC"/>
            </w:tcBorders>
            <w:gridSpan w:val="3"/>
            <w:shd w:val="clear" w:color="auto" w:fill="CCCCCC"/>
          </w:tcPr>
          <w:p>
            <w:pPr>
              <w:ind w:left="6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8120" w:type="dxa"/>
            <w:vAlign w:val="bottom"/>
            <w:tcBorders>
              <w:bottom w:val="single" w:sz="8" w:color="CCCCCC"/>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70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32"/>
        </w:trPr>
        <w:tc>
          <w:tcPr>
            <w:tcW w:w="1540" w:type="dxa"/>
            <w:vAlign w:val="bottom"/>
            <w:tcBorders>
              <w:right w:val="single" w:sz="8" w:color="auto"/>
            </w:tcBorders>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USA</w:t>
            </w:r>
          </w:p>
        </w:tc>
        <w:tc>
          <w:tcPr>
            <w:tcW w:w="7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5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81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5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7"/>
        </w:trPr>
        <w:tc>
          <w:tcPr>
            <w:tcW w:w="2320" w:type="dxa"/>
            <w:vAlign w:val="bottom"/>
            <w:tcBorders>
              <w:right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23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0" w:type="dxa"/>
            <w:vAlign w:val="bottom"/>
          </w:tcPr>
          <w:p>
            <w:pPr>
              <w:spacing w:after="0"/>
              <w:rPr>
                <w:sz w:val="24"/>
                <w:szCs w:val="24"/>
                <w:color w:val="auto"/>
              </w:rPr>
            </w:pPr>
          </w:p>
        </w:tc>
        <w:tc>
          <w:tcPr>
            <w:tcW w:w="7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81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1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5,936,672</w:t>
            </w:r>
          </w:p>
        </w:tc>
        <w:tc>
          <w:tcPr>
            <w:tcW w:w="0" w:type="dxa"/>
            <w:vAlign w:val="bottom"/>
          </w:tcPr>
          <w:p>
            <w:pPr>
              <w:spacing w:after="0"/>
              <w:rPr>
                <w:sz w:val="1"/>
                <w:szCs w:val="1"/>
                <w:color w:val="auto"/>
              </w:rPr>
            </w:pPr>
          </w:p>
        </w:tc>
      </w:tr>
      <w:tr>
        <w:trPr>
          <w:trHeight w:val="232"/>
        </w:trPr>
        <w:tc>
          <w:tcPr>
            <w:tcW w:w="23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8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320" w:type="dxa"/>
            <w:vAlign w:val="bottom"/>
            <w:tcBorders>
              <w:right w:val="single" w:sz="8" w:color="auto"/>
            </w:tcBorders>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40" w:type="dxa"/>
            <w:vAlign w:val="bottom"/>
          </w:tcPr>
          <w:p>
            <w:pPr>
              <w:spacing w:after="0"/>
              <w:rPr>
                <w:sz w:val="17"/>
                <w:szCs w:val="17"/>
                <w:color w:val="auto"/>
              </w:rPr>
            </w:pPr>
          </w:p>
        </w:tc>
        <w:tc>
          <w:tcPr>
            <w:tcW w:w="760" w:type="dxa"/>
            <w:vAlign w:val="bottom"/>
            <w:tcBorders>
              <w:right w:val="single" w:sz="8" w:color="auto"/>
            </w:tcBorders>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7</w:t>
            </w:r>
          </w:p>
        </w:tc>
        <w:tc>
          <w:tcPr>
            <w:tcW w:w="812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94"/>
        </w:trPr>
        <w:tc>
          <w:tcPr>
            <w:tcW w:w="2320" w:type="dxa"/>
            <w:vAlign w:val="bottom"/>
            <w:tcBorders>
              <w:right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REPORTING</w:t>
            </w:r>
          </w:p>
        </w:tc>
        <w:tc>
          <w:tcPr>
            <w:tcW w:w="4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23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81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432"/>
        </w:trPr>
        <w:tc>
          <w:tcPr>
            <w:tcW w:w="15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5,936,672</w:t>
            </w:r>
          </w:p>
        </w:tc>
        <w:tc>
          <w:tcPr>
            <w:tcW w:w="0" w:type="dxa"/>
            <w:vAlign w:val="bottom"/>
          </w:tcPr>
          <w:p>
            <w:pPr>
              <w:spacing w:after="0"/>
              <w:rPr>
                <w:sz w:val="1"/>
                <w:szCs w:val="1"/>
                <w:color w:val="auto"/>
              </w:rPr>
            </w:pPr>
          </w:p>
        </w:tc>
      </w:tr>
      <w:tr>
        <w:trPr>
          <w:trHeight w:val="48"/>
        </w:trPr>
        <w:tc>
          <w:tcPr>
            <w:tcW w:w="154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gridSpan w:val="2"/>
          </w:tcPr>
          <w:p>
            <w:pPr>
              <w:spacing w:after="0"/>
              <w:rPr>
                <w:sz w:val="4"/>
                <w:szCs w:val="4"/>
                <w:color w:val="auto"/>
              </w:rPr>
            </w:pPr>
          </w:p>
        </w:tc>
        <w:tc>
          <w:tcPr>
            <w:tcW w:w="8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97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PERSON</w:t>
            </w:r>
          </w:p>
        </w:tc>
        <w:tc>
          <w:tcPr>
            <w:tcW w:w="0" w:type="dxa"/>
            <w:vAlign w:val="bottom"/>
          </w:tcPr>
          <w:p>
            <w:pPr>
              <w:spacing w:after="0"/>
              <w:rPr>
                <w:sz w:val="1"/>
                <w:szCs w:val="1"/>
                <w:color w:val="auto"/>
              </w:rPr>
            </w:pPr>
          </w:p>
        </w:tc>
      </w:tr>
      <w:tr>
        <w:trPr>
          <w:trHeight w:val="432"/>
        </w:trPr>
        <w:tc>
          <w:tcPr>
            <w:tcW w:w="154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5,936,672</w:t>
            </w:r>
          </w:p>
        </w:tc>
        <w:tc>
          <w:tcPr>
            <w:tcW w:w="7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540" w:type="dxa"/>
            <w:vAlign w:val="bottom"/>
            <w:tcBorders>
              <w:bottom w:val="single" w:sz="8" w:color="auto"/>
            </w:tcBorders>
          </w:tcPr>
          <w:p>
            <w:pPr>
              <w:spacing w:after="0"/>
              <w:rPr>
                <w:sz w:val="4"/>
                <w:szCs w:val="4"/>
                <w:color w:val="auto"/>
              </w:rPr>
            </w:pPr>
          </w:p>
        </w:tc>
        <w:tc>
          <w:tcPr>
            <w:tcW w:w="970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97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452"/>
        </w:trPr>
        <w:tc>
          <w:tcPr>
            <w:tcW w:w="1540" w:type="dxa"/>
            <w:vAlign w:val="bottom"/>
          </w:tcPr>
          <w:p>
            <w:pPr>
              <w:spacing w:after="0"/>
              <w:rPr>
                <w:sz w:val="24"/>
                <w:szCs w:val="24"/>
                <w:color w:val="auto"/>
              </w:rPr>
            </w:pPr>
          </w:p>
        </w:tc>
        <w:tc>
          <w:tcPr>
            <w:tcW w:w="82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600" w:hanging="919"/>
        <w:spacing w:after="0"/>
        <w:tabs>
          <w:tab w:leader="none" w:pos="160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(9)</w:t>
      </w:r>
    </w:p>
    <w:p>
      <w:pPr>
        <w:spacing w:after="0" w:line="229" w:lineRule="exact"/>
        <w:rPr>
          <w:rFonts w:ascii="Times New Roman" w:cs="Times New Roman" w:eastAsia="Times New Roman" w:hAnsi="Times New Roman"/>
          <w:sz w:val="18"/>
          <w:szCs w:val="18"/>
          <w:b w:val="1"/>
          <w:bCs w:val="1"/>
          <w:color w:val="auto"/>
        </w:rPr>
      </w:pPr>
    </w:p>
    <w:p>
      <w:pPr>
        <w:ind w:left="1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5.52%*</w:t>
      </w:r>
    </w:p>
    <w:p>
      <w:pPr>
        <w:spacing w:after="0" w:line="113" w:lineRule="exact"/>
        <w:rPr>
          <w:rFonts w:ascii="Times New Roman" w:cs="Times New Roman" w:eastAsia="Times New Roman" w:hAnsi="Times New Roman"/>
          <w:sz w:val="18"/>
          <w:szCs w:val="18"/>
          <w:b w:val="1"/>
          <w:bCs w:val="1"/>
          <w:color w:val="auto"/>
        </w:rPr>
      </w:pPr>
    </w:p>
    <w:p>
      <w:pPr>
        <w:ind w:left="1600" w:hanging="914"/>
        <w:spacing w:after="0"/>
        <w:tabs>
          <w:tab w:leader="none" w:pos="160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w:t>
      </w:r>
    </w:p>
    <w:p>
      <w:pPr>
        <w:spacing w:after="0" w:line="229" w:lineRule="exact"/>
        <w:rPr>
          <w:rFonts w:ascii="Times New Roman" w:cs="Times New Roman" w:eastAsia="Times New Roman" w:hAnsi="Times New Roman"/>
          <w:sz w:val="18"/>
          <w:szCs w:val="18"/>
          <w:b w:val="1"/>
          <w:bCs w:val="1"/>
          <w:color w:val="auto"/>
        </w:rPr>
      </w:pPr>
    </w:p>
    <w:p>
      <w:pPr>
        <w:ind w:left="1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IN/HC</w:t>
      </w:r>
    </w:p>
    <w:p>
      <w:pPr>
        <w:spacing w:after="0" w:line="72" w:lineRule="exact"/>
        <w:rPr>
          <w:rFonts w:ascii="Times New Roman" w:cs="Times New Roman" w:eastAsia="Times New Roman" w:hAnsi="Times New Roman"/>
          <w:sz w:val="18"/>
          <w:szCs w:val="18"/>
          <w:b w:val="1"/>
          <w:bCs w:val="1"/>
          <w:color w:val="auto"/>
        </w:rPr>
      </w:pPr>
    </w:p>
    <w:p>
      <w:pPr>
        <w:ind w:right="3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4"/>
          <w:szCs w:val="14"/>
          <w:color w:val="auto"/>
        </w:rPr>
        <w:t>* Beneficial ownership based on 107,628,246 shares of Common Stock outstanding as of December 11, 2020, as reported on the Issuer’s Annual Report on Form 10-K filed with the SEC on December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type w:val="continuous"/>
        </w:sectPr>
      </w:pPr>
    </w:p>
    <w:bookmarkStart w:id="3" w:name="page4"/>
    <w:bookmarkEnd w:id="3"/>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8111 Lyndale Avenue South</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Bloomington, Minnesota 55420-1196</w:t>
      </w:r>
    </w:p>
    <w:p>
      <w:pPr>
        <w:spacing w:after="0" w:line="20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Items 2(a)</w:t>
      </w:r>
      <w:r>
        <w:rPr>
          <w:sz w:val="20"/>
          <w:szCs w:val="20"/>
          <w:color w:val="auto"/>
        </w:rPr>
        <w:tab/>
      </w:r>
      <w:r>
        <w:rPr>
          <w:rFonts w:ascii="Times New Roman" w:cs="Times New Roman" w:eastAsia="Times New Roman" w:hAnsi="Times New Roman"/>
          <w:sz w:val="18"/>
          <w:szCs w:val="18"/>
          <w:b w:val="1"/>
          <w:bCs w:val="1"/>
          <w:u w:val="single" w:color="auto"/>
          <w:color w:val="auto"/>
        </w:rPr>
        <w:t>Name of Person Filing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020"/>
        <w:spacing w:after="0" w:line="266" w:lineRule="auto"/>
        <w:rPr>
          <w:sz w:val="20"/>
          <w:szCs w:val="20"/>
          <w:color w:val="auto"/>
        </w:rPr>
      </w:pPr>
      <w:r>
        <w:rPr>
          <w:rFonts w:ascii="Times New Roman" w:cs="Times New Roman" w:eastAsia="Times New Roman" w:hAnsi="Times New Roman"/>
          <w:sz w:val="18"/>
          <w:szCs w:val="18"/>
          <w:color w:val="auto"/>
        </w:rPr>
        <w:t>This Schedule 13G is being filed jointly by Select Equity Group, L.P., a Delaware limited partnership (“Select LP”) and George S. Loening (“Loening”), who is the majority owner of Select LP and managing member of its general partner. Select LP and Loening are sometimes jointly referred to herein as the “Select Reporting Persons.”</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w:t>
      </w:r>
      <w:r>
        <w:rPr>
          <w:rFonts w:ascii="Times New Roman" w:cs="Times New Roman" w:eastAsia="Times New Roman" w:hAnsi="Times New Roman"/>
          <w:sz w:val="17"/>
          <w:szCs w:val="17"/>
          <w:b w:val="1"/>
          <w:bCs w:val="1"/>
          <w:color w:val="auto"/>
        </w:rPr>
        <w:t>:</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business address of each of the Select Reporting Persons is: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380 Lafayette Street, 6th Floor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New York, New York 10003</w:t>
      </w:r>
    </w:p>
    <w:p>
      <w:pPr>
        <w:spacing w:after="0" w:line="20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u w:val="single" w:color="auto"/>
          <w:color w:val="auto"/>
        </w:rPr>
        <w:t>Citizenship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George S. Loening is a United States citizen.</w:t>
      </w:r>
    </w:p>
    <w:p>
      <w:pPr>
        <w:spacing w:after="0" w:line="221" w:lineRule="exact"/>
        <w:rPr>
          <w:sz w:val="20"/>
          <w:szCs w:val="20"/>
          <w:color w:val="auto"/>
        </w:rPr>
      </w:pPr>
    </w:p>
    <w:p>
      <w:pPr>
        <w:jc w:val="center"/>
        <w:ind w:right="7980"/>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Common Stock</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891092108</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If this statement is filed pursuant to Rules 13d-1(b), or 13d-2(b) or (c), check whether the person filing is</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98" w:lineRule="exact"/>
        <w:rPr>
          <w:sz w:val="20"/>
          <w:szCs w:val="20"/>
          <w:color w:val="auto"/>
        </w:rPr>
      </w:pPr>
    </w:p>
    <w:p>
      <w:pPr>
        <w:ind w:left="2260" w:hanging="497"/>
        <w:spacing w:after="0" w:line="161" w:lineRule="exact"/>
        <w:tabs>
          <w:tab w:leader="none" w:pos="2260" w:val="left"/>
        </w:tabs>
        <w:numPr>
          <w:ilvl w:val="0"/>
          <w:numId w:val="5"/>
        </w:numPr>
        <w:rPr>
          <w:rFonts w:ascii="Times New Roman" w:cs="Times New Roman" w:eastAsia="Times New Roman" w:hAnsi="Times New Roman"/>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Broker or dealer registered under Section 15 of the Act;</w:t>
      </w:r>
    </w:p>
    <w:p>
      <w:pPr>
        <w:spacing w:after="0" w:line="64" w:lineRule="exact"/>
        <w:rPr>
          <w:rFonts w:ascii="Times New Roman" w:cs="Times New Roman" w:eastAsia="Times New Roman" w:hAnsi="Times New Roman"/>
          <w:sz w:val="14"/>
          <w:szCs w:val="14"/>
          <w:color w:val="auto"/>
        </w:rPr>
      </w:pPr>
    </w:p>
    <w:p>
      <w:pPr>
        <w:ind w:left="2260" w:hanging="497"/>
        <w:spacing w:after="0" w:line="161" w:lineRule="exact"/>
        <w:tabs>
          <w:tab w:leader="none" w:pos="2260" w:val="left"/>
        </w:tabs>
        <w:numPr>
          <w:ilvl w:val="0"/>
          <w:numId w:val="5"/>
        </w:numPr>
        <w:rPr>
          <w:rFonts w:ascii="Times New Roman" w:cs="Times New Roman" w:eastAsia="Times New Roman" w:hAnsi="Times New Roman"/>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Bank as defined in Section 3(a)(6) of the Act;</w:t>
      </w:r>
    </w:p>
    <w:p>
      <w:pPr>
        <w:spacing w:after="0" w:line="55" w:lineRule="exact"/>
        <w:rPr>
          <w:rFonts w:ascii="Times New Roman" w:cs="Times New Roman" w:eastAsia="Times New Roman" w:hAnsi="Times New Roman"/>
          <w:sz w:val="14"/>
          <w:szCs w:val="14"/>
          <w:color w:val="auto"/>
        </w:rPr>
      </w:pPr>
    </w:p>
    <w:p>
      <w:pPr>
        <w:ind w:left="2260" w:hanging="497"/>
        <w:spacing w:after="0" w:line="161" w:lineRule="exact"/>
        <w:tabs>
          <w:tab w:leader="none" w:pos="2260" w:val="left"/>
        </w:tabs>
        <w:numPr>
          <w:ilvl w:val="0"/>
          <w:numId w:val="5"/>
        </w:numPr>
        <w:rPr>
          <w:rFonts w:ascii="Times New Roman" w:cs="Times New Roman" w:eastAsia="Times New Roman" w:hAnsi="Times New Roman"/>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Insurance company as defined in Section 3(a)(19) of the Act;</w:t>
      </w:r>
    </w:p>
    <w:p>
      <w:pPr>
        <w:spacing w:after="0" w:line="55" w:lineRule="exact"/>
        <w:rPr>
          <w:rFonts w:ascii="Times New Roman" w:cs="Times New Roman" w:eastAsia="Times New Roman" w:hAnsi="Times New Roman"/>
          <w:sz w:val="14"/>
          <w:szCs w:val="14"/>
          <w:color w:val="auto"/>
        </w:rPr>
      </w:pPr>
    </w:p>
    <w:p>
      <w:pPr>
        <w:ind w:left="2260" w:hanging="497"/>
        <w:spacing w:after="0" w:line="161" w:lineRule="exact"/>
        <w:tabs>
          <w:tab w:leader="none" w:pos="2260" w:val="left"/>
        </w:tabs>
        <w:numPr>
          <w:ilvl w:val="0"/>
          <w:numId w:val="5"/>
        </w:numPr>
        <w:rPr>
          <w:rFonts w:ascii="Times New Roman" w:cs="Times New Roman" w:eastAsia="Times New Roman" w:hAnsi="Times New Roman"/>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Investment company registered under Section 8 of the Investment Company Act of 1940;</w:t>
      </w:r>
    </w:p>
    <w:p>
      <w:pPr>
        <w:spacing w:after="0" w:line="55" w:lineRule="exact"/>
        <w:rPr>
          <w:rFonts w:ascii="Times New Roman" w:cs="Times New Roman" w:eastAsia="Times New Roman" w:hAnsi="Times New Roman"/>
          <w:sz w:val="14"/>
          <w:szCs w:val="14"/>
          <w:color w:val="auto"/>
        </w:rPr>
      </w:pPr>
    </w:p>
    <w:p>
      <w:pPr>
        <w:ind w:left="2260" w:hanging="497"/>
        <w:spacing w:after="0" w:line="161" w:lineRule="exact"/>
        <w:tabs>
          <w:tab w:leader="none" w:pos="2260" w:val="left"/>
        </w:tabs>
        <w:numPr>
          <w:ilvl w:val="0"/>
          <w:numId w:val="5"/>
        </w:numPr>
        <w:rPr>
          <w:rFonts w:ascii="Times New Roman" w:cs="Times New Roman" w:eastAsia="Times New Roman" w:hAnsi="Times New Roman"/>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An investment adviser in accordance with Rule 13d-1(b)(1)(ii)(E);</w:t>
      </w:r>
    </w:p>
    <w:p>
      <w:pPr>
        <w:spacing w:after="0" w:line="55" w:lineRule="exact"/>
        <w:rPr>
          <w:rFonts w:ascii="Times New Roman" w:cs="Times New Roman" w:eastAsia="Times New Roman" w:hAnsi="Times New Roman"/>
          <w:sz w:val="14"/>
          <w:szCs w:val="14"/>
          <w:color w:val="auto"/>
        </w:rPr>
      </w:pPr>
    </w:p>
    <w:p>
      <w:pPr>
        <w:ind w:left="2260" w:hanging="497"/>
        <w:spacing w:after="0" w:line="161" w:lineRule="exact"/>
        <w:tabs>
          <w:tab w:leader="none" w:pos="2260" w:val="left"/>
        </w:tabs>
        <w:numPr>
          <w:ilvl w:val="0"/>
          <w:numId w:val="5"/>
        </w:numPr>
        <w:rPr>
          <w:rFonts w:ascii="Times New Roman" w:cs="Times New Roman" w:eastAsia="Times New Roman" w:hAnsi="Times New Roman"/>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An employee benefit plan or endowment fund in accordance with Rule 13d-1(b)(1)(ii)(F);</w:t>
      </w:r>
    </w:p>
    <w:p>
      <w:pPr>
        <w:spacing w:after="0" w:line="55" w:lineRule="exact"/>
        <w:rPr>
          <w:rFonts w:ascii="Times New Roman" w:cs="Times New Roman" w:eastAsia="Times New Roman" w:hAnsi="Times New Roman"/>
          <w:sz w:val="14"/>
          <w:szCs w:val="14"/>
          <w:color w:val="auto"/>
        </w:rPr>
      </w:pPr>
    </w:p>
    <w:p>
      <w:pPr>
        <w:ind w:left="2260" w:hanging="497"/>
        <w:spacing w:after="0" w:line="161" w:lineRule="exact"/>
        <w:tabs>
          <w:tab w:leader="none" w:pos="2260" w:val="left"/>
        </w:tabs>
        <w:numPr>
          <w:ilvl w:val="0"/>
          <w:numId w:val="5"/>
        </w:numPr>
        <w:rPr>
          <w:rFonts w:ascii="Times New Roman" w:cs="Times New Roman" w:eastAsia="Times New Roman" w:hAnsi="Times New Roman"/>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 parent holding company or control person in accordance with Rule 13d-1(b)(1)(ii)(G);</w:t>
      </w:r>
    </w:p>
    <w:p>
      <w:pPr>
        <w:spacing w:after="0" w:line="55" w:lineRule="exact"/>
        <w:rPr>
          <w:rFonts w:ascii="Times New Roman" w:cs="Times New Roman" w:eastAsia="Times New Roman" w:hAnsi="Times New Roman"/>
          <w:sz w:val="14"/>
          <w:szCs w:val="14"/>
          <w:color w:val="auto"/>
        </w:rPr>
      </w:pPr>
    </w:p>
    <w:p>
      <w:pPr>
        <w:ind w:left="2260" w:hanging="497"/>
        <w:spacing w:after="0" w:line="161" w:lineRule="exact"/>
        <w:tabs>
          <w:tab w:leader="none" w:pos="2260" w:val="left"/>
        </w:tabs>
        <w:numPr>
          <w:ilvl w:val="0"/>
          <w:numId w:val="5"/>
        </w:numPr>
        <w:rPr>
          <w:rFonts w:ascii="Times New Roman" w:cs="Times New Roman" w:eastAsia="Times New Roman" w:hAnsi="Times New Roman"/>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 savings association as defined in Section 3(b) of the Federal Deposit Insurance Act (12 U.S.C. 1813);</w:t>
      </w:r>
    </w:p>
    <w:p>
      <w:pPr>
        <w:spacing w:after="0" w:line="58" w:lineRule="exact"/>
        <w:rPr>
          <w:rFonts w:ascii="Times New Roman" w:cs="Times New Roman" w:eastAsia="Times New Roman" w:hAnsi="Times New Roman"/>
          <w:sz w:val="14"/>
          <w:szCs w:val="14"/>
          <w:color w:val="auto"/>
        </w:rPr>
      </w:pPr>
    </w:p>
    <w:p>
      <w:pPr>
        <w:ind w:left="2260" w:hanging="497"/>
        <w:spacing w:after="0" w:line="161" w:lineRule="exact"/>
        <w:tabs>
          <w:tab w:leader="none" w:pos="2260" w:val="left"/>
        </w:tabs>
        <w:numPr>
          <w:ilvl w:val="0"/>
          <w:numId w:val="5"/>
        </w:numPr>
        <w:rPr>
          <w:rFonts w:ascii="Times New Roman" w:cs="Times New Roman" w:eastAsia="Times New Roman" w:hAnsi="Times New Roman"/>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 church plan that is excluded from the definition of an investment company under section 3(c)(14) of the Investment Company Act of 1940;</w:t>
      </w:r>
    </w:p>
    <w:p>
      <w:pPr>
        <w:spacing w:after="0" w:line="64" w:lineRule="exact"/>
        <w:rPr>
          <w:rFonts w:ascii="Times New Roman" w:cs="Times New Roman" w:eastAsia="Times New Roman" w:hAnsi="Times New Roman"/>
          <w:sz w:val="14"/>
          <w:szCs w:val="14"/>
          <w:color w:val="auto"/>
        </w:rPr>
      </w:pPr>
    </w:p>
    <w:p>
      <w:pPr>
        <w:ind w:left="2260" w:hanging="497"/>
        <w:spacing w:after="0" w:line="161" w:lineRule="exact"/>
        <w:tabs>
          <w:tab w:leader="none" w:pos="2260" w:val="left"/>
        </w:tabs>
        <w:numPr>
          <w:ilvl w:val="0"/>
          <w:numId w:val="5"/>
        </w:numPr>
        <w:rPr>
          <w:rFonts w:ascii="Times New Roman" w:cs="Times New Roman" w:eastAsia="Times New Roman" w:hAnsi="Times New Roman"/>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 non-U.S. institution in accordance with Rule 240.13d-1(b)(1)(ii)(J);</w:t>
      </w:r>
    </w:p>
    <w:p>
      <w:pPr>
        <w:spacing w:after="0" w:line="55" w:lineRule="exact"/>
        <w:rPr>
          <w:rFonts w:ascii="Times New Roman" w:cs="Times New Roman" w:eastAsia="Times New Roman" w:hAnsi="Times New Roman"/>
          <w:sz w:val="14"/>
          <w:szCs w:val="14"/>
          <w:color w:val="auto"/>
        </w:rPr>
      </w:pPr>
    </w:p>
    <w:p>
      <w:pPr>
        <w:ind w:left="2260" w:hanging="497"/>
        <w:spacing w:after="0" w:line="161" w:lineRule="exact"/>
        <w:tabs>
          <w:tab w:leader="none" w:pos="2260" w:val="left"/>
        </w:tabs>
        <w:numPr>
          <w:ilvl w:val="0"/>
          <w:numId w:val="5"/>
        </w:numPr>
        <w:rPr>
          <w:rFonts w:ascii="Times New Roman" w:cs="Times New Roman" w:eastAsia="Times New Roman" w:hAnsi="Times New Roman"/>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Group, in accordance with Rule 240.13d-1(b)(1)(ii)(K).</w:t>
      </w: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4" w:name="page5"/>
    <w:bookmarkEnd w:id="4"/>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020"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4(a)-(c), as of the date hereof, is set forth in Rows 5-11 of the cover page hereto for each Select Reporting Person and is incorporated herein by reference for each such Select Reporting Person.</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1020" w:right="320"/>
        <w:spacing w:after="0" w:line="227"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a reporting person has ceased to be the beneficial owner of more than 5 percent of the class of securities, check the following </w:t>
      </w:r>
      <w:r>
        <w:rPr>
          <w:rFonts w:ascii="MS PGothic" w:cs="MS PGothic" w:eastAsia="MS PGothic" w:hAnsi="MS PGothic"/>
          <w:sz w:val="14"/>
          <w:szCs w:val="14"/>
          <w:color w:val="auto"/>
        </w:rPr>
        <w: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the Subsidiary Which Acquired the Security Being Reported on By the Parent Holding Company</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See Exhibit 99.1</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u w:val="single" w:color="auto"/>
          <w:color w:val="auto"/>
        </w:rPr>
        <w:t>Certification</w:t>
      </w:r>
      <w:r>
        <w:rPr>
          <w:rFonts w:ascii="Times New Roman" w:cs="Times New Roman" w:eastAsia="Times New Roman" w:hAnsi="Times New Roman"/>
          <w:sz w:val="18"/>
          <w:szCs w:val="18"/>
          <w:b w:val="1"/>
          <w:bCs w:val="1"/>
          <w:color w:val="auto"/>
        </w:rPr>
        <w:t>:</w:t>
      </w:r>
    </w:p>
    <w:p>
      <w:pPr>
        <w:spacing w:after="0" w:line="247"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5" w:name="page6"/>
    <w:bookmarkEnd w:id="5"/>
    <w:p>
      <w:pPr>
        <w:ind w:left="522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left="100" w:firstLine="545"/>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the undersigned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SELECT EQUITY GROUP, L.P.</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Select Equity GP, LLC, its General Partner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 George S. Loening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-13970</wp:posOffset>
            </wp:positionV>
            <wp:extent cx="16814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2"/>
          <w:szCs w:val="22"/>
          <w:color w:val="auto"/>
        </w:rPr>
        <w:t>Name: George S. Loening</w:t>
      </w:r>
    </w:p>
    <w:p>
      <w:pPr>
        <w:ind w:left="422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/s/ George S. Loening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-13970</wp:posOffset>
            </wp:positionV>
            <wp:extent cx="19900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90090" cy="8890"/>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2"/>
          <w:szCs w:val="22"/>
          <w:color w:val="auto"/>
        </w:rPr>
        <w:t>George S. Loening, an individual</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700"/>
          </w:cols>
          <w:pgMar w:left="320" w:top="405" w:right="87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EXHIBIT 99.1</w:t>
      </w:r>
    </w:p>
    <w:p>
      <w:pPr>
        <w:spacing w:after="0" w:line="23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identity and the Item 3 classification of the relevant subsidiary are: Select Equity Group, L.P., which is an Investment Adviser in accordance with Rule 13d-1(b)(1)(ii)(E).</w:t>
      </w:r>
    </w:p>
    <w:p>
      <w:pPr>
        <w:sectPr>
          <w:pgSz w:w="11900" w:h="16838" w:orient="portrait"/>
          <w:cols w:equalWidth="0" w:num="1">
            <w:col w:w="11180"/>
          </w:cols>
          <w:pgMar w:left="320" w:top="111" w:right="399" w:bottom="1440" w:gutter="0" w:footer="0" w:header="0"/>
        </w:sectPr>
      </w:pPr>
    </w:p>
    <w:bookmarkStart w:id="7" w:name="page8"/>
    <w:bookmarkEnd w:id="7"/>
    <w:p>
      <w:pPr>
        <w:ind w:left="4980"/>
        <w:spacing w:after="0"/>
        <w:rPr>
          <w:sz w:val="20"/>
          <w:szCs w:val="20"/>
          <w:color w:val="auto"/>
        </w:rPr>
      </w:pPr>
      <w:r>
        <w:rPr>
          <w:rFonts w:ascii="Times New Roman" w:cs="Times New Roman" w:eastAsia="Times New Roman" w:hAnsi="Times New Roman"/>
          <w:sz w:val="22"/>
          <w:szCs w:val="22"/>
          <w:u w:val="single" w:color="auto"/>
          <w:color w:val="auto"/>
        </w:rPr>
        <w:t>EXHIBIT 99.2</w:t>
      </w:r>
    </w:p>
    <w:p>
      <w:pPr>
        <w:spacing w:after="0" w:line="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u w:val="single" w:color="auto"/>
          <w:color w:val="auto"/>
        </w:rPr>
        <w:t>AGREEMENT OF REPORTING PERSONS</w:t>
      </w:r>
    </w:p>
    <w:p>
      <w:pPr>
        <w:spacing w:after="0" w:line="209"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1"/>
          <w:szCs w:val="21"/>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such person or entity knows or has reason to believe that such information is inaccurate. This agreement may be executed in any number of counterparts and all of such counterparts taken together shall constitute one and the same instrument.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12, 2021</w:t>
      </w:r>
    </w:p>
    <w:p>
      <w:pPr>
        <w:spacing w:after="0" w:line="2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SELECT EQUITY GROUP, L.P.</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Select Equity GP, LLC, its General Partner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 George S. Loening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-13970</wp:posOffset>
            </wp:positionV>
            <wp:extent cx="16814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2"/>
          <w:szCs w:val="22"/>
          <w:color w:val="auto"/>
        </w:rPr>
        <w:t>Name: George S. Loening</w:t>
      </w:r>
    </w:p>
    <w:p>
      <w:pPr>
        <w:ind w:left="422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/s/ George S. Loening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-13970</wp:posOffset>
            </wp:positionV>
            <wp:extent cx="19900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90090" cy="8255"/>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2"/>
          <w:szCs w:val="22"/>
          <w:color w:val="auto"/>
        </w:rPr>
        <w:t>George S. Loening, an individual</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decimal"/>
      <w:start w:val="12"/>
    </w:lvl>
  </w:abstractNum>
  <w:abstractNum w:abstractNumId="3">
    <w:nsid w:val="238E1F29"/>
    <w:multiLevelType w:val="hybridMultilevel"/>
    <w:lvl w:ilvl="0">
      <w:lvlJc w:val="left"/>
      <w:lvlText w:val="*"/>
      <w:numFmt w:val="bullet"/>
      <w:start w:val="1"/>
    </w:lvl>
    <w:lvl w:ilvl="1">
      <w:lvlJc w:val="left"/>
      <w:lvlText w:val="%2"/>
      <w:numFmt w:val="decimal"/>
      <w:start w:val="1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2021-02-12T15:52:53Z</dcterms:created>
  <dcterms:modified xsi:type="dcterms:W3CDTF">2021-02-12T15:52:53Z</dcterms:modified>
</cp:coreProperties>
</file>