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DAHL AMY 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00"/>
        <w:spacing w:after="0"/>
        <w:rPr>
          <w:sz w:val="20"/>
          <w:szCs w:val="20"/>
          <w:color w:val="auto"/>
        </w:rPr>
      </w:pPr>
      <w:r>
        <w:rPr>
          <w:rFonts w:ascii="Arial" w:cs="Arial" w:eastAsia="Arial" w:hAnsi="Arial"/>
          <w:sz w:val="17"/>
          <w:szCs w:val="17"/>
          <w:color w:val="0000FF"/>
        </w:rPr>
        <w:t>VP, HR &amp; GC</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908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90817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12/16/2020</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2,126</w:t>
            </w:r>
            <w:r>
              <w:rPr>
                <w:rFonts w:ascii="Arial" w:cs="Arial" w:eastAsia="Arial" w:hAnsi="Arial"/>
                <w:sz w:val="21"/>
                <w:szCs w:val="21"/>
                <w:color w:val="008000"/>
                <w:w w:val="83"/>
                <w:vertAlign w:val="superscript"/>
              </w:rPr>
              <w:t>(1)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7,074.852</w:t>
            </w:r>
            <w:r>
              <w:rPr>
                <w:rFonts w:ascii="Arial" w:cs="Arial" w:eastAsia="Arial" w:hAnsi="Arial"/>
                <w:sz w:val="21"/>
                <w:szCs w:val="21"/>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3,660.084</w:t>
            </w:r>
            <w:r>
              <w:rPr>
                <w:rFonts w:ascii="Arial" w:cs="Arial" w:eastAsia="Arial" w:hAnsi="Arial"/>
                <w:sz w:val="21"/>
                <w:szCs w:val="21"/>
                <w:color w:val="008000"/>
                <w:w w:val="84"/>
                <w:vertAlign w:val="superscript"/>
              </w:rPr>
              <w:t>(3)</w:t>
            </w:r>
          </w:p>
        </w:tc>
        <w:tc>
          <w:tcPr>
            <w:tcW w:w="340" w:type="dxa"/>
            <w:vAlign w:val="bottom"/>
          </w:tcPr>
          <w:p>
            <w:pPr>
              <w:spacing w:after="0"/>
              <w:rPr>
                <w:sz w:val="17"/>
                <w:szCs w:val="17"/>
                <w:color w:val="auto"/>
              </w:rPr>
            </w:pPr>
          </w:p>
        </w:tc>
        <w:tc>
          <w:tcPr>
            <w:tcW w:w="540" w:type="dxa"/>
            <w:vAlign w:val="bottom"/>
            <w:vMerge w:val="restart"/>
          </w:tcPr>
          <w:p>
            <w:pPr>
              <w:jc w:val="center"/>
              <w:ind w:right="294"/>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6"/>
              </w:rPr>
              <w:t>15,409.261</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93.33</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12/17/2020</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0000FF"/>
              </w:rPr>
              <w:t>21,300</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20" w:type="dxa"/>
            <w:vAlign w:val="bottom"/>
          </w:tcPr>
          <w:p>
            <w:pPr>
              <w:ind w:left="20"/>
              <w:spacing w:after="0"/>
              <w:rPr>
                <w:sz w:val="20"/>
                <w:szCs w:val="20"/>
                <w:color w:val="auto"/>
              </w:rPr>
            </w:pPr>
            <w:r>
              <w:rPr>
                <w:rFonts w:ascii="Arial" w:cs="Arial" w:eastAsia="Arial" w:hAnsi="Arial"/>
                <w:sz w:val="13"/>
                <w:szCs w:val="13"/>
                <w:color w:val="0000FF"/>
              </w:rPr>
              <w:t>12/17/2030</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21,300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gridSpan w:val="2"/>
          </w:tcPr>
          <w:p>
            <w:pPr>
              <w:ind w:left="220"/>
              <w:spacing w:after="0"/>
              <w:rPr>
                <w:sz w:val="20"/>
                <w:szCs w:val="20"/>
                <w:color w:val="auto"/>
              </w:rPr>
            </w:pPr>
            <w:r>
              <w:rPr>
                <w:rFonts w:ascii="Arial" w:cs="Arial" w:eastAsia="Arial" w:hAnsi="Arial"/>
                <w:sz w:val="13"/>
                <w:szCs w:val="13"/>
                <w:color w:val="0000FF"/>
              </w:rPr>
              <w:t>21,300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61"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2018 to Fiscal 2020 Performance Period under The Toro Company Amended and Restated 2010 Equity and Incentive Plan, as amended and restated, as approved by the Issuer's Compensation &amp; Human Resources Committee of its Board of Directors on December 1, 2020, and which was conditioned upon and subject to confirmation by the Issuer's Fiscal 2020 financial results that were released on December 16, 2020.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18"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14.096 performance share units acquired by the reporting person since the date of her last report under the dividend reinvestment feature of the Deferred Plan.</w:t>
      </w:r>
    </w:p>
    <w:p>
      <w:pPr>
        <w:spacing w:after="0" w:line="43" w:lineRule="exact"/>
        <w:rPr>
          <w:rFonts w:ascii="Arial" w:cs="Arial" w:eastAsia="Arial" w:hAnsi="Arial"/>
          <w:sz w:val="13"/>
          <w:szCs w:val="13"/>
          <w:color w:val="008000"/>
        </w:rPr>
      </w:pPr>
    </w:p>
    <w:p>
      <w:pPr>
        <w:ind w:left="40" w:right="14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0.869 shares acquired through regular individual and issuer matching contributions to The Toro Company Retirement Plan (the "Plan") and 10.372 net shares acquired under the dividend reinvestment feature of the Plan less quarterly non-discretionary administrative fees.</w:t>
      </w:r>
    </w:p>
    <w:p>
      <w:pPr>
        <w:spacing w:after="0" w:line="1"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12/18/2020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97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2020-12-18T16:02:59Z</dcterms:created>
  <dcterms:modified xsi:type="dcterms:W3CDTF">2020-12-18T16:02:59Z</dcterms:modified>
</cp:coreProperties>
</file>