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368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6829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Ellis Gary Lee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03/22/2023</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265"/>
              <w:spacing w:after="0"/>
              <w:rPr>
                <w:sz w:val="20"/>
                <w:szCs w:val="20"/>
                <w:color w:val="auto"/>
              </w:rPr>
            </w:pPr>
            <w:r>
              <w:rPr>
                <w:rFonts w:ascii="Times New Roman" w:cs="Times New Roman" w:eastAsia="Times New Roman" w:hAnsi="Times New Roman"/>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3"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40" w:type="dxa"/>
            <w:vAlign w:val="bottom"/>
            <w:gridSpan w:val="2"/>
          </w:tcPr>
          <w:p>
            <w:pPr>
              <w:ind w:left="5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22"/>
                <w:szCs w:val="22"/>
                <w:color w:val="auto"/>
              </w:rPr>
            </w:pP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03/22/2023</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5,104</w:t>
            </w:r>
          </w:p>
        </w:tc>
        <w:tc>
          <w:tcPr>
            <w:tcW w:w="5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ind w:left="1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29.23</w:t>
            </w:r>
          </w:p>
        </w:tc>
        <w:tc>
          <w:tcPr>
            <w:tcW w:w="200" w:type="dxa"/>
            <w:vAlign w:val="bottom"/>
          </w:tcPr>
          <w:p>
            <w:pPr>
              <w:spacing w:after="0"/>
              <w:rPr>
                <w:sz w:val="22"/>
                <w:szCs w:val="22"/>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37,212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03/22/2023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5,104</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110.524</w:t>
            </w:r>
            <w:r>
              <w:rPr>
                <w:rFonts w:ascii="Times New Roman" w:cs="Times New Roman" w:eastAsia="Times New Roman" w:hAnsi="Times New Roman"/>
                <w:sz w:val="21"/>
                <w:szCs w:val="21"/>
                <w:color w:val="008000"/>
                <w:vertAlign w:val="superscript"/>
              </w:rPr>
              <w:t>(1)</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32,108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w w:val="99"/>
              </w:rPr>
              <w:t>Common Stock Units</w:t>
            </w:r>
          </w:p>
        </w:tc>
        <w:tc>
          <w:tcPr>
            <w:tcW w:w="10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181"/>
              <w:spacing w:after="0"/>
              <w:rPr>
                <w:sz w:val="20"/>
                <w:szCs w:val="20"/>
                <w:color w:val="auto"/>
              </w:rPr>
            </w:pPr>
            <w:r>
              <w:rPr>
                <w:rFonts w:ascii="Times New Roman" w:cs="Times New Roman" w:eastAsia="Times New Roman" w:hAnsi="Times New Roman"/>
                <w:sz w:val="17"/>
                <w:szCs w:val="17"/>
                <w:color w:val="0000FF"/>
              </w:rPr>
              <w:t>3,966.02</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1"/>
          </w:tcPr>
          <w:p>
            <w:pPr>
              <w:ind w:left="9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8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29.23</w:t>
            </w:r>
          </w:p>
        </w:tc>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03/22/2023</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5,104</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11/01/2023</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5,104</w:t>
            </w:r>
          </w:p>
        </w:tc>
        <w:tc>
          <w:tcPr>
            <w:tcW w:w="20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$110.390 to $110.790,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11.535 common stock units acquired by the reporting person under the dividend reinvestment feature of The Toro Company Deferred Compensation Plan for Non-Employee Directors since the date of his last report.</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November 1, 2013 grant date.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03/24/2023</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01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2023-03-24T17:44:13Z</dcterms:created>
  <dcterms:modified xsi:type="dcterms:W3CDTF">2023-03-24T17:44:13Z</dcterms:modified>
</cp:coreProperties>
</file>