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22"/>
          <w:szCs w:val="22"/>
          <w:b w:val="1"/>
          <w:bCs w:val="1"/>
          <w:color w:val="auto"/>
        </w:rPr>
        <w:t>S</w:t>
      </w:r>
      <w:r>
        <w:rPr>
          <w:sz w:val="20"/>
          <w:szCs w:val="20"/>
          <w:color w:val="auto"/>
        </w:rPr>
        <w:tab/>
      </w:r>
      <w:r>
        <w:rPr>
          <w:rFonts w:ascii="Arial" w:cs="Arial" w:eastAsia="Arial" w:hAnsi="Arial"/>
          <w:sz w:val="19"/>
          <w:szCs w:val="19"/>
          <w:b w:val="1"/>
          <w:bCs w:val="1"/>
          <w:color w:val="auto"/>
        </w:rPr>
        <w:t>Quarterly Report 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1, 2015</w:t>
      </w:r>
    </w:p>
    <w:p>
      <w:pPr>
        <w:spacing w:after="0" w:line="216" w:lineRule="exact"/>
        <w:rPr>
          <w:sz w:val="24"/>
          <w:szCs w:val="24"/>
          <w:color w:val="auto"/>
        </w:rPr>
      </w:pPr>
    </w:p>
    <w:p>
      <w:pPr>
        <w:ind w:left="1800" w:hanging="333"/>
        <w:spacing w:after="0"/>
        <w:tabs>
          <w:tab w:leader="none" w:pos="180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250" w:lineRule="exact"/>
        <w:rPr>
          <w:sz w:val="24"/>
          <w:szCs w:val="24"/>
          <w:color w:val="auto"/>
        </w:rPr>
      </w:pPr>
    </w:p>
    <w:p>
      <w:pPr>
        <w:ind w:left="39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320" w:space="540"/>
            <w:col w:w="4560"/>
          </w:cols>
          <w:pgMar w:left="240" w:top="233" w:right="239" w:bottom="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2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tabs>
          <w:tab w:leader="none" w:pos="600" w:val="left"/>
        </w:tabs>
        <w:rPr>
          <w:sz w:val="20"/>
          <w:szCs w:val="20"/>
          <w:color w:val="auto"/>
        </w:rPr>
      </w:pPr>
      <w:r>
        <w:rPr>
          <w:rFonts w:ascii="Arial" w:cs="Arial" w:eastAsia="Arial" w:hAnsi="Arial"/>
          <w:sz w:val="18"/>
          <w:szCs w:val="18"/>
          <w:color w:val="auto"/>
        </w:rPr>
        <w:t>Yes x</w:t>
        <w:tab/>
        <w:t>No o</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1" w:lineRule="exact"/>
        <w:rPr>
          <w:sz w:val="24"/>
          <w:szCs w:val="24"/>
          <w:color w:val="auto"/>
        </w:rPr>
      </w:pPr>
    </w:p>
    <w:p>
      <w:pPr>
        <w:spacing w:after="0"/>
        <w:tabs>
          <w:tab w:leader="none" w:pos="620" w:val="left"/>
        </w:tabs>
        <w:rPr>
          <w:sz w:val="20"/>
          <w:szCs w:val="20"/>
          <w:color w:val="auto"/>
        </w:rPr>
      </w:pPr>
      <w:r>
        <w:rPr>
          <w:rFonts w:ascii="Arial" w:cs="Arial" w:eastAsia="Arial" w:hAnsi="Arial"/>
          <w:sz w:val="18"/>
          <w:szCs w:val="18"/>
          <w:color w:val="auto"/>
        </w:rPr>
        <w:t>Yes S</w:t>
        <w:tab/>
        <w:t>No £</w:t>
      </w:r>
    </w:p>
    <w:p>
      <w:pPr>
        <w:spacing w:after="0" w:line="225"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tbl>
      <w:tblPr>
        <w:tblLayout w:type="fixed"/>
        <w:tblInd w:w="1880" w:type="dxa"/>
        <w:tblCellMar>
          <w:top w:w="0" w:type="dxa"/>
          <w:left w:w="0" w:type="dxa"/>
          <w:bottom w:w="0" w:type="dxa"/>
          <w:right w:w="0" w:type="dxa"/>
        </w:tblCellMar>
      </w:tblPr>
      <w:tr>
        <w:trPr>
          <w:trHeight w:val="230"/>
        </w:trPr>
        <w:tc>
          <w:tcPr>
            <w:tcW w:w="3780" w:type="dxa"/>
            <w:vAlign w:val="bottom"/>
          </w:tcPr>
          <w:p>
            <w:pPr>
              <w:jc w:val="center"/>
              <w:ind w:right="1830"/>
              <w:spacing w:after="0"/>
              <w:rPr>
                <w:sz w:val="20"/>
                <w:szCs w:val="20"/>
                <w:color w:val="auto"/>
              </w:rPr>
            </w:pPr>
            <w:r>
              <w:rPr>
                <w:rFonts w:ascii="Arial" w:cs="Arial" w:eastAsia="Arial" w:hAnsi="Arial"/>
                <w:sz w:val="18"/>
                <w:szCs w:val="18"/>
                <w:color w:val="auto"/>
                <w:w w:val="90"/>
              </w:rPr>
              <w:t>Large accelerated filer x</w:t>
            </w:r>
          </w:p>
        </w:tc>
        <w:tc>
          <w:tcPr>
            <w:tcW w:w="4020" w:type="dxa"/>
            <w:vAlign w:val="bottom"/>
          </w:tcPr>
          <w:p>
            <w:pPr>
              <w:jc w:val="center"/>
              <w:ind w:left="1830"/>
              <w:spacing w:after="0"/>
              <w:rPr>
                <w:sz w:val="20"/>
                <w:szCs w:val="20"/>
                <w:color w:val="auto"/>
              </w:rPr>
            </w:pPr>
            <w:r>
              <w:rPr>
                <w:rFonts w:ascii="Arial" w:cs="Arial" w:eastAsia="Arial" w:hAnsi="Arial"/>
                <w:sz w:val="18"/>
                <w:szCs w:val="18"/>
                <w:color w:val="auto"/>
                <w:w w:val="92"/>
              </w:rPr>
              <w:t>Accelerated filer o</w:t>
            </w:r>
          </w:p>
        </w:tc>
      </w:tr>
      <w:tr>
        <w:trPr>
          <w:trHeight w:val="418"/>
        </w:trPr>
        <w:tc>
          <w:tcPr>
            <w:tcW w:w="3780" w:type="dxa"/>
            <w:vAlign w:val="bottom"/>
          </w:tcPr>
          <w:p>
            <w:pPr>
              <w:jc w:val="center"/>
              <w:ind w:right="1830"/>
              <w:spacing w:after="0"/>
              <w:rPr>
                <w:sz w:val="20"/>
                <w:szCs w:val="20"/>
                <w:color w:val="auto"/>
              </w:rPr>
            </w:pPr>
            <w:r>
              <w:rPr>
                <w:rFonts w:ascii="Arial" w:cs="Arial" w:eastAsia="Arial" w:hAnsi="Arial"/>
                <w:sz w:val="18"/>
                <w:szCs w:val="18"/>
                <w:color w:val="auto"/>
                <w:w w:val="91"/>
              </w:rPr>
              <w:t>Non-accelerated filer o</w:t>
            </w:r>
          </w:p>
        </w:tc>
        <w:tc>
          <w:tcPr>
            <w:tcW w:w="4020" w:type="dxa"/>
            <w:vAlign w:val="bottom"/>
          </w:tcPr>
          <w:p>
            <w:pPr>
              <w:jc w:val="center"/>
              <w:ind w:left="1830"/>
              <w:spacing w:after="0"/>
              <w:rPr>
                <w:sz w:val="20"/>
                <w:szCs w:val="20"/>
                <w:color w:val="auto"/>
              </w:rPr>
            </w:pPr>
            <w:r>
              <w:rPr>
                <w:rFonts w:ascii="Arial" w:cs="Arial" w:eastAsia="Arial" w:hAnsi="Arial"/>
                <w:sz w:val="18"/>
                <w:szCs w:val="18"/>
                <w:color w:val="auto"/>
                <w:w w:val="91"/>
              </w:rPr>
              <w:t>Smaller reporting company o</w:t>
            </w:r>
          </w:p>
        </w:tc>
      </w:tr>
      <w:tr>
        <w:trPr>
          <w:trHeight w:val="216"/>
        </w:trPr>
        <w:tc>
          <w:tcPr>
            <w:tcW w:w="3780" w:type="dxa"/>
            <w:vAlign w:val="bottom"/>
          </w:tcPr>
          <w:p>
            <w:pPr>
              <w:jc w:val="center"/>
              <w:ind w:right="1830"/>
              <w:spacing w:after="0"/>
              <w:rPr>
                <w:sz w:val="20"/>
                <w:szCs w:val="20"/>
                <w:color w:val="auto"/>
              </w:rPr>
            </w:pPr>
            <w:r>
              <w:rPr>
                <w:rFonts w:ascii="Arial" w:cs="Arial" w:eastAsia="Arial" w:hAnsi="Arial"/>
                <w:sz w:val="18"/>
                <w:szCs w:val="18"/>
                <w:color w:val="auto"/>
                <w:w w:val="91"/>
              </w:rPr>
              <w:t>(Do not check if a smaller</w:t>
            </w:r>
          </w:p>
        </w:tc>
        <w:tc>
          <w:tcPr>
            <w:tcW w:w="4020" w:type="dxa"/>
            <w:vAlign w:val="bottom"/>
          </w:tcPr>
          <w:p>
            <w:pPr>
              <w:spacing w:after="0"/>
              <w:rPr>
                <w:sz w:val="18"/>
                <w:szCs w:val="18"/>
                <w:color w:val="auto"/>
              </w:rPr>
            </w:pPr>
          </w:p>
        </w:tc>
      </w:tr>
      <w:tr>
        <w:trPr>
          <w:trHeight w:val="230"/>
        </w:trPr>
        <w:tc>
          <w:tcPr>
            <w:tcW w:w="3780" w:type="dxa"/>
            <w:vAlign w:val="bottom"/>
          </w:tcPr>
          <w:p>
            <w:pPr>
              <w:jc w:val="center"/>
              <w:ind w:right="1830"/>
              <w:spacing w:after="0"/>
              <w:rPr>
                <w:sz w:val="20"/>
                <w:szCs w:val="20"/>
                <w:color w:val="auto"/>
              </w:rPr>
            </w:pPr>
            <w:r>
              <w:rPr>
                <w:rFonts w:ascii="Arial" w:cs="Arial" w:eastAsia="Arial" w:hAnsi="Arial"/>
                <w:sz w:val="18"/>
                <w:szCs w:val="18"/>
                <w:color w:val="auto"/>
                <w:w w:val="91"/>
              </w:rPr>
              <w:t>reporting company)</w:t>
            </w:r>
          </w:p>
        </w:tc>
        <w:tc>
          <w:tcPr>
            <w:tcW w:w="4020" w:type="dxa"/>
            <w:vAlign w:val="bottom"/>
          </w:tcPr>
          <w:p>
            <w:pPr>
              <w:spacing w:after="0"/>
              <w:rPr>
                <w:sz w:val="20"/>
                <w:szCs w:val="20"/>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spacing w:after="0"/>
        <w:tabs>
          <w:tab w:leader="none" w:pos="600" w:val="left"/>
        </w:tabs>
        <w:rPr>
          <w:sz w:val="20"/>
          <w:szCs w:val="20"/>
          <w:color w:val="auto"/>
        </w:rPr>
      </w:pPr>
      <w:r>
        <w:rPr>
          <w:rFonts w:ascii="Arial" w:cs="Arial" w:eastAsia="Arial" w:hAnsi="Arial"/>
          <w:sz w:val="18"/>
          <w:szCs w:val="18"/>
          <w:color w:val="auto"/>
        </w:rPr>
        <w:t>Yes £</w:t>
        <w:tab/>
        <w:t>No 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May 27, 2015 was 55,038,136.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7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385"/>
        </w:trPr>
        <w:tc>
          <w:tcPr>
            <w:tcW w:w="64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380" w:type="dxa"/>
            <w:vAlign w:val="bottom"/>
          </w:tcPr>
          <w:p>
            <w:pPr>
              <w:spacing w:after="0"/>
              <w:rPr>
                <w:sz w:val="24"/>
                <w:szCs w:val="24"/>
                <w:color w:val="auto"/>
              </w:rPr>
            </w:pPr>
          </w:p>
        </w:tc>
        <w:tc>
          <w:tcPr>
            <w:tcW w:w="9260" w:type="dxa"/>
            <w:vAlign w:val="bottom"/>
            <w:gridSpan w:val="7"/>
          </w:tcPr>
          <w:p>
            <w:pPr>
              <w:ind w:left="38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114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380" w:type="dxa"/>
            <w:vAlign w:val="bottom"/>
          </w:tcPr>
          <w:p>
            <w:pPr>
              <w:spacing w:after="0"/>
              <w:rPr>
                <w:sz w:val="24"/>
                <w:szCs w:val="24"/>
                <w:color w:val="auto"/>
              </w:rPr>
            </w:pPr>
          </w:p>
        </w:tc>
        <w:tc>
          <w:tcPr>
            <w:tcW w:w="9260" w:type="dxa"/>
            <w:vAlign w:val="bottom"/>
            <w:gridSpan w:val="7"/>
          </w:tcPr>
          <w:p>
            <w:pPr>
              <w:ind w:left="380"/>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114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Condensed Consolidated Statements of Earnings (Unaudited) — Three and Six Months Ended May 1, 2015 and</w:t>
              </w:r>
            </w:hyperlink>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2">
              <w:r>
                <w:rPr>
                  <w:rFonts w:ascii="Arial" w:cs="Arial" w:eastAsia="Arial" w:hAnsi="Arial"/>
                  <w:sz w:val="18"/>
                  <w:szCs w:val="18"/>
                  <w:color w:val="0000EE"/>
                  <w:w w:val="92"/>
                </w:rPr>
                <w:t>May 2, 2014</w:t>
              </w:r>
            </w:hyperlink>
          </w:p>
        </w:tc>
        <w:tc>
          <w:tcPr>
            <w:tcW w:w="738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40" w:type="dxa"/>
            <w:vAlign w:val="bottom"/>
            <w:gridSpan w:val="25"/>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Condensed Consolidated Statements of Comprehensive Income (Unaudited) — Three and Six Months Ended May 1,</w:t>
              </w:r>
            </w:hyperlink>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340" w:type="dxa"/>
            <w:vAlign w:val="bottom"/>
            <w:tcBorders>
              <w:top w:val="single" w:sz="8" w:color="0000EE"/>
            </w:tcBorders>
            <w:gridSpan w:val="7"/>
          </w:tcPr>
          <w:p>
            <w:pPr>
              <w:jc w:val="right"/>
              <w:ind w:right="1645"/>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2015 and May 2, 2014</w:t>
              </w:r>
            </w:hyperlink>
          </w:p>
        </w:tc>
        <w:tc>
          <w:tcPr>
            <w:tcW w:w="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tcBorders>
              <w:left w:val="single" w:sz="8" w:color="0000EE"/>
            </w:tcBorders>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Balance Sheets (Unaudited) — May 1, 2015, May 2, 2014, and October 31, 2014</w:t>
              </w:r>
            </w:hyperlink>
          </w:p>
        </w:tc>
        <w:tc>
          <w:tcPr>
            <w:tcW w:w="5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0" w:type="dxa"/>
            <w:vAlign w:val="bottom"/>
            <w:gridSpan w:val="26"/>
          </w:tcPr>
          <w:p>
            <w:pPr>
              <w:ind w:left="36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Cash Flows (Unaudited) — Six Months Ended May 1, 2015 and May 2, 2014</w:t>
              </w:r>
            </w:hyperlink>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Condensed Consolidated Financial Statements (Unaudited)</w:t>
              </w:r>
            </w:hyperlink>
          </w:p>
        </w:tc>
        <w:tc>
          <w:tcPr>
            <w:tcW w:w="4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412"/>
        </w:trPr>
        <w:tc>
          <w:tcPr>
            <w:tcW w:w="1360" w:type="dxa"/>
            <w:vAlign w:val="bottom"/>
            <w:gridSpan w:val="6"/>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Item 2.</w:t>
              </w:r>
            </w:hyperlink>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20" w:type="dxa"/>
            <w:vAlign w:val="bottom"/>
            <w:gridSpan w:val="17"/>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Management’s Discussion and Analysis of Financial Condition and Results of Operations</w:t>
              </w:r>
            </w:hyperlink>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0000EE"/>
            </w:tcBorders>
            <w:gridSpan w:val="2"/>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540" w:type="dxa"/>
            <w:vAlign w:val="bottom"/>
            <w:tcBorders>
              <w:left w:val="single" w:sz="8" w:color="0000EE"/>
              <w:bottom w:val="single" w:sz="8" w:color="0000EE"/>
            </w:tcBorders>
            <w:gridSpan w:val="3"/>
            <w:shd w:val="clear" w:color="auto" w:fill="0000EE"/>
          </w:tcPr>
          <w:p>
            <w:pPr>
              <w:spacing w:after="0" w:line="20" w:lineRule="exact"/>
              <w:rPr>
                <w:sz w:val="1"/>
                <w:szCs w:val="1"/>
                <w:color w:val="auto"/>
              </w:rPr>
            </w:pPr>
          </w:p>
        </w:tc>
        <w:tc>
          <w:tcPr>
            <w:tcW w:w="580" w:type="dxa"/>
            <w:vAlign w:val="bottom"/>
            <w:tcBorders>
              <w:left w:val="single" w:sz="8" w:color="0000EE"/>
              <w:bottom w:val="single" w:sz="8" w:color="0000EE"/>
            </w:tcBorders>
            <w:gridSpan w:val="2"/>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460" w:type="dxa"/>
            <w:vAlign w:val="bottom"/>
            <w:tcBorders>
              <w:bottom w:val="single" w:sz="8" w:color="0000EE"/>
            </w:tcBorders>
            <w:shd w:val="clear" w:color="auto" w:fill="0000EE"/>
          </w:tcPr>
          <w:p>
            <w:pPr>
              <w:spacing w:after="0" w:line="20" w:lineRule="exact"/>
              <w:rPr>
                <w:sz w:val="1"/>
                <w:szCs w:val="1"/>
                <w:color w:val="auto"/>
              </w:rPr>
            </w:pPr>
          </w:p>
        </w:tc>
        <w:tc>
          <w:tcPr>
            <w:tcW w:w="90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360" w:type="dxa"/>
            <w:vAlign w:val="bottom"/>
            <w:gridSpan w:val="6"/>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3.</w:t>
              </w:r>
            </w:hyperlink>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gridSpan w:val="6"/>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4.</w:t>
              </w:r>
            </w:hyperlink>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7"/>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Controls and Procedures</w:t>
              </w:r>
            </w:hyperlink>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gridSpan w:val="6"/>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2180" w:type="dxa"/>
            <w:vAlign w:val="bottom"/>
            <w:gridSpan w:val="9"/>
          </w:tcPr>
          <w:p>
            <w:pPr>
              <w:ind w:left="40"/>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OTHER INFORMATION:</w:t>
              </w:r>
            </w:hyperlink>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1.</w:t>
              </w:r>
            </w:hyperlink>
          </w:p>
        </w:tc>
        <w:tc>
          <w:tcPr>
            <w:tcW w:w="6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gridSpan w:val="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rFonts w:ascii="Arial" w:cs="Arial" w:eastAsia="Arial" w:hAnsi="Arial"/>
                <w:sz w:val="18"/>
                <w:szCs w:val="18"/>
                <w:b w:val="1"/>
                <w:bCs w:val="1"/>
                <w:color w:val="0000EE"/>
                <w:w w:val="94"/>
              </w:rPr>
            </w:pPr>
            <w:hyperlink w:anchor="page21">
              <w:r>
                <w:rPr>
                  <w:rFonts w:ascii="Arial" w:cs="Arial" w:eastAsia="Arial" w:hAnsi="Arial"/>
                  <w:sz w:val="18"/>
                  <w:szCs w:val="18"/>
                  <w:b w:val="1"/>
                  <w:bCs w:val="1"/>
                  <w:color w:val="0000EE"/>
                  <w:w w:val="94"/>
                </w:rPr>
                <w:t>Item 1A.</w:t>
              </w:r>
            </w:hyperlink>
          </w:p>
        </w:tc>
        <w:tc>
          <w:tcPr>
            <w:tcW w:w="68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2.</w:t>
              </w:r>
            </w:hyperlink>
          </w:p>
        </w:tc>
        <w:tc>
          <w:tcPr>
            <w:tcW w:w="68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00" w:type="dxa"/>
            <w:vAlign w:val="bottom"/>
            <w:gridSpan w:val="1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0000EE"/>
            </w:tcBorders>
            <w:gridSpan w:val="2"/>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1020" w:type="dxa"/>
            <w:vAlign w:val="bottom"/>
            <w:tcBorders>
              <w:bottom w:val="single" w:sz="8" w:color="0000EE"/>
              <w:right w:val="single" w:sz="8" w:color="0000EE"/>
            </w:tcBorders>
            <w:gridSpan w:val="3"/>
            <w:shd w:val="clear" w:color="auto" w:fill="0000EE"/>
          </w:tcPr>
          <w:p>
            <w:pPr>
              <w:spacing w:after="0" w:line="20" w:lineRule="exact"/>
              <w:rPr>
                <w:sz w:val="1"/>
                <w:szCs w:val="1"/>
                <w:color w:val="auto"/>
              </w:rPr>
            </w:pPr>
          </w:p>
        </w:tc>
        <w:tc>
          <w:tcPr>
            <w:tcW w:w="146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280" w:type="dxa"/>
            <w:vAlign w:val="bottom"/>
            <w:tcBorders>
              <w:bottom w:val="single" w:sz="8" w:color="0000EE"/>
            </w:tcBorders>
            <w:shd w:val="clear" w:color="auto" w:fill="0000EE"/>
          </w:tcPr>
          <w:p>
            <w:pPr>
              <w:spacing w:after="0" w:line="20" w:lineRule="exact"/>
              <w:rPr>
                <w:sz w:val="1"/>
                <w:szCs w:val="1"/>
                <w:color w:val="auto"/>
              </w:rPr>
            </w:pPr>
          </w:p>
        </w:tc>
        <w:tc>
          <w:tcPr>
            <w:tcW w:w="800" w:type="dxa"/>
            <w:vAlign w:val="bottom"/>
            <w:tcBorders>
              <w:bottom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360" w:type="dxa"/>
            <w:vAlign w:val="bottom"/>
            <w:gridSpan w:val="6"/>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6.</w:t>
              </w:r>
            </w:hyperlink>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60" w:type="dxa"/>
            <w:vAlign w:val="bottom"/>
            <w:gridSpan w:val="6"/>
          </w:tcPr>
          <w:p>
            <w:pPr>
              <w:spacing w:after="0"/>
              <w:rPr>
                <w:rFonts w:ascii="Arial" w:cs="Arial" w:eastAsia="Arial" w:hAnsi="Arial"/>
                <w:sz w:val="18"/>
                <w:szCs w:val="18"/>
                <w:color w:val="0000EE"/>
                <w:w w:val="94"/>
              </w:rPr>
            </w:pPr>
            <w:hyperlink w:anchor="page1">
              <w:r>
                <w:rPr>
                  <w:rFonts w:ascii="Arial" w:cs="Arial" w:eastAsia="Arial" w:hAnsi="Arial"/>
                  <w:sz w:val="18"/>
                  <w:szCs w:val="18"/>
                  <w:color w:val="0000EE"/>
                  <w:w w:val="94"/>
                </w:rPr>
                <w:t>Table of Contents</w:t>
              </w:r>
            </w:hyperlink>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40" w:type="dxa"/>
            <w:vAlign w:val="bottom"/>
            <w:gridSpan w:val="10"/>
          </w:tcPr>
          <w:p>
            <w:pPr>
              <w:jc w:val="center"/>
              <w:ind w:right="400"/>
              <w:spacing w:after="0"/>
              <w:rPr>
                <w:sz w:val="20"/>
                <w:szCs w:val="20"/>
                <w:color w:val="auto"/>
              </w:rPr>
            </w:pPr>
            <w:r>
              <w:rPr>
                <w:rFonts w:ascii="Arial" w:cs="Arial" w:eastAsia="Arial" w:hAnsi="Arial"/>
                <w:sz w:val="18"/>
                <w:szCs w:val="18"/>
                <w:b w:val="1"/>
                <w:bCs w:val="1"/>
                <w:color w:val="auto"/>
              </w:rPr>
              <w:t>PART I. FINANCIAL INFORMATION</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0" w:type="dxa"/>
            <w:vAlign w:val="bottom"/>
            <w:gridSpan w:val="7"/>
          </w:tcPr>
          <w:p>
            <w:pPr>
              <w:jc w:val="center"/>
              <w:ind w:left="650"/>
              <w:spacing w:after="0"/>
              <w:rPr>
                <w:sz w:val="20"/>
                <w:szCs w:val="20"/>
                <w:color w:val="auto"/>
              </w:rPr>
            </w:pPr>
            <w:r>
              <w:rPr>
                <w:rFonts w:ascii="Arial" w:cs="Arial" w:eastAsia="Arial" w:hAnsi="Arial"/>
                <w:sz w:val="18"/>
                <w:szCs w:val="18"/>
                <w:b w:val="1"/>
                <w:bCs w:val="1"/>
                <w:color w:val="auto"/>
                <w:w w:val="99"/>
              </w:rPr>
              <w:t>Item 1. FINANCIAL STATEMENTS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40" w:type="dxa"/>
            <w:vAlign w:val="bottom"/>
            <w:gridSpan w:val="10"/>
          </w:tcPr>
          <w:p>
            <w:pPr>
              <w:jc w:val="center"/>
              <w:ind w:right="380"/>
              <w:spacing w:after="0"/>
              <w:rPr>
                <w:sz w:val="20"/>
                <w:szCs w:val="20"/>
                <w:color w:val="auto"/>
              </w:rPr>
            </w:pPr>
            <w:r>
              <w:rPr>
                <w:rFonts w:ascii="Arial" w:cs="Arial" w:eastAsia="Arial" w:hAnsi="Arial"/>
                <w:sz w:val="18"/>
                <w:szCs w:val="18"/>
                <w:b w:val="1"/>
                <w:bCs w:val="1"/>
                <w:color w:val="auto"/>
              </w:rPr>
              <w:t>THE TORO COMPANY AND SUBSIDIARIES</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80" w:type="dxa"/>
            <w:vAlign w:val="bottom"/>
            <w:gridSpan w:val="11"/>
          </w:tcPr>
          <w:p>
            <w:pPr>
              <w:jc w:val="center"/>
              <w:spacing w:after="0"/>
              <w:rPr>
                <w:sz w:val="20"/>
                <w:szCs w:val="20"/>
                <w:color w:val="auto"/>
              </w:rPr>
            </w:pPr>
            <w:r>
              <w:rPr>
                <w:rFonts w:ascii="Arial" w:cs="Arial" w:eastAsia="Arial" w:hAnsi="Arial"/>
                <w:sz w:val="18"/>
                <w:szCs w:val="18"/>
                <w:b w:val="1"/>
                <w:bCs w:val="1"/>
                <w:color w:val="auto"/>
                <w:w w:val="89"/>
              </w:rPr>
              <w:t>Condensed Consolidated Statements of Earnings (Unaudited)</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40" w:type="dxa"/>
            <w:vAlign w:val="bottom"/>
            <w:gridSpan w:val="10"/>
          </w:tcPr>
          <w:p>
            <w:pPr>
              <w:jc w:val="center"/>
              <w:ind w:right="400"/>
              <w:spacing w:after="0"/>
              <w:rPr>
                <w:sz w:val="20"/>
                <w:szCs w:val="20"/>
                <w:color w:val="auto"/>
              </w:rPr>
            </w:pPr>
            <w:r>
              <w:rPr>
                <w:rFonts w:ascii="Arial" w:cs="Arial" w:eastAsia="Arial" w:hAnsi="Arial"/>
                <w:sz w:val="18"/>
                <w:szCs w:val="18"/>
                <w:b w:val="1"/>
                <w:bCs w:val="1"/>
                <w:color w:val="auto"/>
                <w:w w:val="88"/>
              </w:rPr>
              <w:t>(Dollars and shares in thousands, except per share data)</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8"/>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gridSpan w:val="6"/>
          </w:tcPr>
          <w:p>
            <w:pPr>
              <w:ind w:left="560"/>
              <w:spacing w:after="0"/>
              <w:rPr>
                <w:sz w:val="20"/>
                <w:szCs w:val="20"/>
                <w:color w:val="auto"/>
              </w:rPr>
            </w:pPr>
            <w:r>
              <w:rPr>
                <w:rFonts w:ascii="Arial" w:cs="Arial" w:eastAsia="Arial" w:hAnsi="Arial"/>
                <w:sz w:val="14"/>
                <w:szCs w:val="14"/>
                <w:b w:val="1"/>
                <w:bCs w:val="1"/>
                <w:color w:val="auto"/>
                <w:w w:val="92"/>
              </w:rPr>
              <w:t>Six Months Ended</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May 1,</w:t>
            </w:r>
          </w:p>
        </w:tc>
        <w:tc>
          <w:tcPr>
            <w:tcW w:w="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394"/>
              <w:spacing w:after="0" w:line="119" w:lineRule="exact"/>
              <w:rPr>
                <w:sz w:val="20"/>
                <w:szCs w:val="20"/>
                <w:color w:val="auto"/>
              </w:rPr>
            </w:pPr>
            <w:r>
              <w:rPr>
                <w:rFonts w:ascii="Arial" w:cs="Arial" w:eastAsia="Arial" w:hAnsi="Arial"/>
                <w:sz w:val="13"/>
                <w:szCs w:val="13"/>
                <w:b w:val="1"/>
                <w:bCs w:val="1"/>
                <w:color w:val="auto"/>
              </w:rPr>
              <w:t>May 2,</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rPr>
              <w:t>May 1,</w:t>
            </w:r>
          </w:p>
        </w:tc>
        <w:tc>
          <w:tcPr>
            <w:tcW w:w="2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72"/>
              <w:spacing w:after="0" w:line="119" w:lineRule="exact"/>
              <w:rPr>
                <w:sz w:val="20"/>
                <w:szCs w:val="20"/>
                <w:color w:val="auto"/>
              </w:rPr>
            </w:pPr>
            <w:r>
              <w:rPr>
                <w:rFonts w:ascii="Arial" w:cs="Arial" w:eastAsia="Arial" w:hAnsi="Arial"/>
                <w:sz w:val="13"/>
                <w:szCs w:val="13"/>
                <w:b w:val="1"/>
                <w:bCs w:val="1"/>
                <w:color w:val="auto"/>
              </w:rPr>
              <w:t>May 2,</w:t>
            </w: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sales</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4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826,242</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745,030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1,300,453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8"/>
                <w:szCs w:val="18"/>
                <w:color w:val="auto"/>
              </w:rPr>
              <w:t>Cost of sales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544,270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480,490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849,482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762,957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right w:val="single" w:sz="8" w:color="CCEEFF"/>
            </w:tcBorders>
            <w:shd w:val="clear" w:color="auto" w:fill="CCEEFF"/>
          </w:tcPr>
          <w:p>
            <w:pPr>
              <w:spacing w:after="0"/>
              <w:rPr>
                <w:sz w:val="18"/>
                <w:szCs w:val="18"/>
                <w:color w:val="auto"/>
              </w:rPr>
            </w:pPr>
          </w:p>
        </w:tc>
        <w:tc>
          <w:tcPr>
            <w:tcW w:w="146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281,972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264,540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450,971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14"/>
          </w:tcPr>
          <w:p>
            <w:pPr>
              <w:spacing w:after="0"/>
              <w:rPr>
                <w:sz w:val="20"/>
                <w:szCs w:val="20"/>
                <w:color w:val="auto"/>
              </w:rPr>
            </w:pPr>
            <w:r>
              <w:rPr>
                <w:rFonts w:ascii="Arial" w:cs="Arial" w:eastAsia="Arial" w:hAnsi="Arial"/>
                <w:sz w:val="18"/>
                <w:szCs w:val="18"/>
                <w:color w:val="auto"/>
                <w:w w:val="98"/>
              </w:rPr>
              <w:t>Selling, general, and administrative expense</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143,517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133,661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268,094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256,577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right w:val="single" w:sz="8" w:color="CCEEFF"/>
            </w:tcBorders>
            <w:gridSpan w:val="14"/>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146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138,455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130,879</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182,877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8"/>
                <w:szCs w:val="18"/>
                <w:color w:val="auto"/>
                <w:w w:val="99"/>
              </w:rPr>
              <w:t>Interest expense</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(4,768)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(3,683)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(9,484)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Other income, net</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4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4,717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14"/>
          </w:tcPr>
          <w:p>
            <w:pPr>
              <w:ind w:left="160"/>
              <w:spacing w:after="0"/>
              <w:rPr>
                <w:sz w:val="20"/>
                <w:szCs w:val="20"/>
                <w:color w:val="auto"/>
              </w:rPr>
            </w:pPr>
            <w:r>
              <w:rPr>
                <w:rFonts w:ascii="Arial" w:cs="Arial" w:eastAsia="Arial" w:hAnsi="Arial"/>
                <w:sz w:val="18"/>
                <w:szCs w:val="18"/>
                <w:color w:val="auto"/>
              </w:rPr>
              <w:t>Earnings before income taxes</w:t>
            </w:r>
          </w:p>
        </w:tc>
        <w:tc>
          <w:tcPr>
            <w:tcW w:w="1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136,137</w:t>
            </w:r>
          </w:p>
        </w:tc>
        <w:tc>
          <w:tcPr>
            <w:tcW w:w="3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129,116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178,110</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right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42,374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42,030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53,397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54,916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tcBorders>
              <w:bottom w:val="single" w:sz="8" w:color="CCEEFF"/>
            </w:tcBorders>
            <w:gridSpan w:val="5"/>
          </w:tcPr>
          <w:p>
            <w:pPr>
              <w:ind w:left="160"/>
              <w:spacing w:after="0"/>
              <w:rPr>
                <w:sz w:val="20"/>
                <w:szCs w:val="20"/>
                <w:color w:val="auto"/>
              </w:rPr>
            </w:pPr>
            <w:r>
              <w:rPr>
                <w:rFonts w:ascii="Arial" w:cs="Arial" w:eastAsia="Arial" w:hAnsi="Arial"/>
                <w:sz w:val="18"/>
                <w:szCs w:val="18"/>
                <w:color w:val="auto"/>
              </w:rPr>
              <w:t>Net earnings</w:t>
            </w:r>
          </w:p>
        </w:tc>
        <w:tc>
          <w:tcPr>
            <w:tcW w:w="4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93,763</w:t>
            </w:r>
          </w:p>
        </w:tc>
        <w:tc>
          <w:tcPr>
            <w:tcW w:w="3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87,086</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124,713</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112,955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6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520" w:type="dxa"/>
            <w:vAlign w:val="bottom"/>
            <w:gridSpan w:val="14"/>
          </w:tcPr>
          <w:p>
            <w:pPr>
              <w:spacing w:after="0"/>
              <w:rPr>
                <w:sz w:val="20"/>
                <w:szCs w:val="20"/>
                <w:color w:val="auto"/>
              </w:rPr>
            </w:pPr>
            <w:r>
              <w:rPr>
                <w:rFonts w:ascii="Arial" w:cs="Arial" w:eastAsia="Arial" w:hAnsi="Arial"/>
                <w:sz w:val="18"/>
                <w:szCs w:val="18"/>
                <w:color w:val="auto"/>
                <w:w w:val="94"/>
              </w:rPr>
              <w:t>Basic net earnings per share of common stock</w:t>
            </w:r>
          </w:p>
        </w:tc>
        <w:tc>
          <w:tcPr>
            <w:tcW w:w="17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1.68</w:t>
            </w:r>
          </w:p>
        </w:tc>
        <w:tc>
          <w:tcPr>
            <w:tcW w:w="480" w:type="dxa"/>
            <w:vAlign w:val="bottom"/>
            <w:gridSpan w:val="2"/>
          </w:tcPr>
          <w:p>
            <w:pPr>
              <w:jc w:val="right"/>
              <w:ind w:right="3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22"/>
                <w:szCs w:val="22"/>
                <w:color w:val="auto"/>
              </w:rPr>
            </w:pPr>
          </w:p>
        </w:tc>
        <w:tc>
          <w:tcPr>
            <w:tcW w:w="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2.23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46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lef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520" w:type="dxa"/>
            <w:vAlign w:val="bottom"/>
            <w:gridSpan w:val="14"/>
          </w:tcPr>
          <w:p>
            <w:pPr>
              <w:spacing w:after="0"/>
              <w:rPr>
                <w:sz w:val="20"/>
                <w:szCs w:val="20"/>
                <w:color w:val="auto"/>
              </w:rPr>
            </w:pPr>
            <w:r>
              <w:rPr>
                <w:rFonts w:ascii="Arial" w:cs="Arial" w:eastAsia="Arial" w:hAnsi="Arial"/>
                <w:sz w:val="18"/>
                <w:szCs w:val="18"/>
                <w:color w:val="auto"/>
                <w:w w:val="91"/>
              </w:rPr>
              <w:t>Diluted net earnings per share of common stock</w:t>
            </w:r>
          </w:p>
        </w:tc>
        <w:tc>
          <w:tcPr>
            <w:tcW w:w="17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1.64</w:t>
            </w:r>
          </w:p>
        </w:tc>
        <w:tc>
          <w:tcPr>
            <w:tcW w:w="480" w:type="dxa"/>
            <w:vAlign w:val="bottom"/>
            <w:gridSpan w:val="2"/>
          </w:tcPr>
          <w:p>
            <w:pPr>
              <w:jc w:val="right"/>
              <w:ind w:right="3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2"/>
                <w:szCs w:val="22"/>
                <w:color w:val="auto"/>
              </w:rPr>
            </w:pPr>
          </w:p>
        </w:tc>
        <w:tc>
          <w:tcPr>
            <w:tcW w:w="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2.18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46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lef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gridSpan w:val="16"/>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gridSpan w:val="14"/>
          </w:tcPr>
          <w:p>
            <w:pPr>
              <w:ind w:left="160"/>
              <w:spacing w:after="0"/>
              <w:rPr>
                <w:sz w:val="20"/>
                <w:szCs w:val="20"/>
                <w:color w:val="auto"/>
              </w:rPr>
            </w:pPr>
            <w:r>
              <w:rPr>
                <w:rFonts w:ascii="Arial" w:cs="Arial" w:eastAsia="Arial" w:hAnsi="Arial"/>
                <w:sz w:val="18"/>
                <w:szCs w:val="18"/>
                <w:color w:val="auto"/>
              </w:rPr>
              <w:t>outstanding — Basic</w:t>
            </w: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55,864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56,493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55,954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56,758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4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gridSpan w:val="16"/>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gridSpan w:val="14"/>
          </w:tcPr>
          <w:p>
            <w:pPr>
              <w:ind w:left="160"/>
              <w:spacing w:after="0"/>
              <w:rPr>
                <w:sz w:val="20"/>
                <w:szCs w:val="20"/>
                <w:color w:val="auto"/>
              </w:rPr>
            </w:pPr>
            <w:r>
              <w:rPr>
                <w:rFonts w:ascii="Arial" w:cs="Arial" w:eastAsia="Arial" w:hAnsi="Arial"/>
                <w:sz w:val="18"/>
                <w:szCs w:val="18"/>
                <w:color w:val="auto"/>
              </w:rPr>
              <w:t>outstanding — Diluted</w:t>
            </w: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57,073</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57,773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57,157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58,040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40" w:type="dxa"/>
            <w:vAlign w:val="bottom"/>
            <w:gridSpan w:val="10"/>
          </w:tcPr>
          <w:p>
            <w:pPr>
              <w:jc w:val="center"/>
              <w:ind w:right="380"/>
              <w:spacing w:after="0"/>
              <w:rPr>
                <w:sz w:val="20"/>
                <w:szCs w:val="20"/>
                <w:color w:val="auto"/>
              </w:rPr>
            </w:pPr>
            <w:r>
              <w:rPr>
                <w:rFonts w:ascii="Arial" w:cs="Arial" w:eastAsia="Arial" w:hAnsi="Arial"/>
                <w:sz w:val="18"/>
                <w:szCs w:val="18"/>
                <w:b w:val="1"/>
                <w:bCs w:val="1"/>
                <w:color w:val="auto"/>
              </w:rPr>
              <w:t>THE TORO COMPANY AND SUBSIDIARIES</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40" w:type="dxa"/>
            <w:vAlign w:val="bottom"/>
            <w:gridSpan w:val="14"/>
          </w:tcPr>
          <w:p>
            <w:pPr>
              <w:jc w:val="center"/>
              <w:spacing w:after="0"/>
              <w:rPr>
                <w:sz w:val="20"/>
                <w:szCs w:val="20"/>
                <w:color w:val="auto"/>
              </w:rPr>
            </w:pPr>
            <w:r>
              <w:rPr>
                <w:rFonts w:ascii="Arial" w:cs="Arial" w:eastAsia="Arial" w:hAnsi="Arial"/>
                <w:sz w:val="18"/>
                <w:szCs w:val="18"/>
                <w:b w:val="1"/>
                <w:bCs w:val="1"/>
                <w:color w:val="auto"/>
                <w:w w:val="88"/>
              </w:rPr>
              <w:t>Condensed Consolidated Statements of Comprehensive Income (Unaudited)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gridSpan w:val="5"/>
          </w:tcPr>
          <w:p>
            <w:pPr>
              <w:jc w:val="center"/>
              <w:ind w:left="1130"/>
              <w:spacing w:after="0"/>
              <w:rPr>
                <w:sz w:val="20"/>
                <w:szCs w:val="20"/>
                <w:color w:val="auto"/>
              </w:rPr>
            </w:pPr>
            <w:r>
              <w:rPr>
                <w:rFonts w:ascii="Arial" w:cs="Arial" w:eastAsia="Arial" w:hAnsi="Arial"/>
                <w:sz w:val="18"/>
                <w:szCs w:val="18"/>
                <w:b w:val="1"/>
                <w:bCs w:val="1"/>
                <w:color w:val="auto"/>
                <w:w w:val="89"/>
              </w:rPr>
              <w:t>(Dollars in thousands)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8"/>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gridSpan w:val="6"/>
          </w:tcPr>
          <w:p>
            <w:pPr>
              <w:ind w:left="560"/>
              <w:spacing w:after="0"/>
              <w:rPr>
                <w:sz w:val="20"/>
                <w:szCs w:val="20"/>
                <w:color w:val="auto"/>
              </w:rPr>
            </w:pPr>
            <w:r>
              <w:rPr>
                <w:rFonts w:ascii="Arial" w:cs="Arial" w:eastAsia="Arial" w:hAnsi="Arial"/>
                <w:sz w:val="14"/>
                <w:szCs w:val="14"/>
                <w:b w:val="1"/>
                <w:bCs w:val="1"/>
                <w:color w:val="auto"/>
                <w:w w:val="92"/>
              </w:rPr>
              <w:t>Six Months Ended</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May 1,</w:t>
            </w:r>
          </w:p>
        </w:tc>
        <w:tc>
          <w:tcPr>
            <w:tcW w:w="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394"/>
              <w:spacing w:after="0" w:line="119" w:lineRule="exact"/>
              <w:rPr>
                <w:sz w:val="20"/>
                <w:szCs w:val="20"/>
                <w:color w:val="auto"/>
              </w:rPr>
            </w:pPr>
            <w:r>
              <w:rPr>
                <w:rFonts w:ascii="Arial" w:cs="Arial" w:eastAsia="Arial" w:hAnsi="Arial"/>
                <w:sz w:val="13"/>
                <w:szCs w:val="13"/>
                <w:b w:val="1"/>
                <w:bCs w:val="1"/>
                <w:color w:val="auto"/>
              </w:rPr>
              <w:t>May 2,</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rPr>
              <w:t>May 1,</w:t>
            </w:r>
          </w:p>
        </w:tc>
        <w:tc>
          <w:tcPr>
            <w:tcW w:w="2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72"/>
              <w:spacing w:after="0" w:line="119" w:lineRule="exact"/>
              <w:rPr>
                <w:sz w:val="20"/>
                <w:szCs w:val="20"/>
                <w:color w:val="auto"/>
              </w:rPr>
            </w:pPr>
            <w:r>
              <w:rPr>
                <w:rFonts w:ascii="Arial" w:cs="Arial" w:eastAsia="Arial" w:hAnsi="Arial"/>
                <w:sz w:val="13"/>
                <w:szCs w:val="13"/>
                <w:b w:val="1"/>
                <w:bCs w:val="1"/>
                <w:color w:val="auto"/>
              </w:rPr>
              <w:t>May 2,</w:t>
            </w:r>
          </w:p>
        </w:tc>
        <w:tc>
          <w:tcPr>
            <w:tcW w:w="14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earnings</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4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93,763</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14"/>
          </w:tcPr>
          <w:p>
            <w:pPr>
              <w:spacing w:after="0"/>
              <w:rPr>
                <w:sz w:val="20"/>
                <w:szCs w:val="20"/>
                <w:color w:val="auto"/>
              </w:rPr>
            </w:pPr>
            <w:r>
              <w:rPr>
                <w:rFonts w:ascii="Arial" w:cs="Arial" w:eastAsia="Arial" w:hAnsi="Arial"/>
                <w:sz w:val="18"/>
                <w:szCs w:val="18"/>
                <w:color w:val="auto"/>
                <w:w w:val="93"/>
              </w:rPr>
              <w:t>Other comprehensive (loss) income, net of tax:</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right w:val="single" w:sz="8" w:color="CCEEFF"/>
            </w:tcBorders>
            <w:gridSpan w:val="14"/>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4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(7,114)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gridSpan w:val="16"/>
          </w:tcPr>
          <w:p>
            <w:pPr>
              <w:ind w:left="160"/>
              <w:spacing w:after="0" w:line="201" w:lineRule="exact"/>
              <w:rPr>
                <w:sz w:val="20"/>
                <w:szCs w:val="20"/>
                <w:color w:val="auto"/>
              </w:rPr>
            </w:pPr>
            <w:r>
              <w:rPr>
                <w:rFonts w:ascii="Arial" w:cs="Arial" w:eastAsia="Arial" w:hAnsi="Arial"/>
                <w:sz w:val="18"/>
                <w:szCs w:val="18"/>
                <w:color w:val="auto"/>
              </w:rPr>
              <w:t>Derivative instruments, net of tax of $(2,598), $(482), $(148),</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gridSpan w:val="14"/>
          </w:tcPr>
          <w:p>
            <w:pPr>
              <w:ind w:left="340"/>
              <w:spacing w:after="0"/>
              <w:rPr>
                <w:sz w:val="20"/>
                <w:szCs w:val="20"/>
                <w:color w:val="auto"/>
              </w:rPr>
            </w:pPr>
            <w:r>
              <w:rPr>
                <w:rFonts w:ascii="Arial" w:cs="Arial" w:eastAsia="Arial" w:hAnsi="Arial"/>
                <w:sz w:val="18"/>
                <w:szCs w:val="18"/>
                <w:color w:val="auto"/>
              </w:rPr>
              <w:t>and $360, respectively</w:t>
            </w: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(4,117)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(719)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(1,339)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right w:val="single" w:sz="8" w:color="CCEEFF"/>
            </w:tcBorders>
            <w:gridSpan w:val="14"/>
            <w:shd w:val="clear" w:color="auto" w:fill="CCEEFF"/>
          </w:tcPr>
          <w:p>
            <w:pPr>
              <w:ind w:left="340"/>
              <w:spacing w:after="0"/>
              <w:rPr>
                <w:sz w:val="20"/>
                <w:szCs w:val="20"/>
                <w:color w:val="auto"/>
              </w:rPr>
            </w:pPr>
            <w:r>
              <w:rPr>
                <w:rFonts w:ascii="Arial" w:cs="Arial" w:eastAsia="Arial" w:hAnsi="Arial"/>
                <w:sz w:val="18"/>
                <w:szCs w:val="18"/>
                <w:color w:val="auto"/>
              </w:rPr>
              <w:t>Other comprehensive (loss) income</w:t>
            </w:r>
          </w:p>
        </w:tc>
        <w:tc>
          <w:tcPr>
            <w:tcW w:w="146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gridSpan w:val="15"/>
          </w:tcPr>
          <w:p>
            <w:pPr>
              <w:spacing w:after="0"/>
              <w:rPr>
                <w:sz w:val="20"/>
                <w:szCs w:val="20"/>
                <w:color w:val="auto"/>
              </w:rPr>
            </w:pPr>
            <w:r>
              <w:rPr>
                <w:rFonts w:ascii="Arial" w:cs="Arial" w:eastAsia="Arial" w:hAnsi="Arial"/>
                <w:sz w:val="18"/>
                <w:szCs w:val="18"/>
                <w:color w:val="auto"/>
              </w:rPr>
              <w:t>Comprehensive income</w:t>
            </w:r>
          </w:p>
        </w:tc>
        <w:tc>
          <w:tcPr>
            <w:tcW w:w="14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90,658</w:t>
            </w:r>
          </w:p>
        </w:tc>
        <w:tc>
          <w:tcPr>
            <w:tcW w:w="300" w:type="dxa"/>
            <w:vAlign w:val="bottom"/>
          </w:tcPr>
          <w:p>
            <w:pPr>
              <w:spacing w:after="0"/>
              <w:rPr>
                <w:sz w:val="18"/>
                <w:szCs w:val="18"/>
                <w:color w:val="auto"/>
              </w:rPr>
            </w:pPr>
          </w:p>
        </w:tc>
        <w:tc>
          <w:tcPr>
            <w:tcW w:w="4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89,755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116,260</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-6469380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-6469380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24" w:right="19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3321685</wp:posOffset>
            </wp:positionH>
            <wp:positionV relativeFrom="page">
              <wp:posOffset>97790</wp:posOffset>
            </wp:positionV>
            <wp:extent cx="4013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13200" cy="8890"/>
                    </a:xfrm>
                    <a:prstGeom prst="rect">
                      <a:avLst/>
                    </a:prstGeom>
                    <a:noFill/>
                  </pic:spPr>
                </pic:pic>
              </a:graphicData>
            </a:graphic>
          </wp:anchor>
        </w:drawing>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May 1,</w:t>
            </w:r>
          </w:p>
        </w:tc>
        <w:tc>
          <w:tcPr>
            <w:tcW w:w="28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May 2,</w:t>
            </w:r>
          </w:p>
        </w:tc>
        <w:tc>
          <w:tcPr>
            <w:tcW w:w="2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98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109,295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129,909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351,602</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313,489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341,440</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302,477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38,210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29,218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43,202</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39,261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42,822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883,749</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814,354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790,568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752,044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36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570,627</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559,293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554,997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219,941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192,751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deferred income taxes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26,416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25,942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29,625</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27,696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194,854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91,812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124,542</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26,691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23,829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1,479,127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29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23,444</w:t>
            </w:r>
          </w:p>
        </w:tc>
        <w:tc>
          <w:tcPr>
            <w:tcW w:w="280" w:type="dxa"/>
            <w:vAlign w:val="bottom"/>
            <w:tcBorders>
              <w:top w:val="single" w:sz="8" w:color="CCEEFF"/>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140</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24,900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256,391</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235,971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124,271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314,505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302,515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619,240</w:t>
            </w:r>
          </w:p>
        </w:tc>
        <w:tc>
          <w:tcPr>
            <w:tcW w:w="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538,626</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400,420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361,428</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223,855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10,891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5,969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14,355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tcPr>
          <w:p>
            <w:pPr>
              <w:spacing w:after="0" w:line="201" w:lineRule="exact"/>
              <w:rPr>
                <w:sz w:val="20"/>
                <w:szCs w:val="20"/>
                <w:color w:val="auto"/>
              </w:rPr>
            </w:pPr>
            <w:r>
              <w:rPr>
                <w:rFonts w:ascii="Arial" w:cs="Arial" w:eastAsia="Arial" w:hAnsi="Arial"/>
                <w:sz w:val="18"/>
                <w:szCs w:val="18"/>
                <w:color w:val="auto"/>
                <w:w w:val="97"/>
              </w:rPr>
              <w:t>Preferred stock, par value $1.00 per share, authorized 1,000,000 voting and 850,000</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non-voting shares, none issued and outstanding</w:t>
            </w:r>
          </w:p>
        </w:tc>
        <w:tc>
          <w:tcPr>
            <w:tcW w:w="28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par value $1.00 per share, authorized 175,000,000 shares; issued and</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outstanding 55,264,659 shares as of May 1, 2015, 55,887,096 shares as of May 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2014, and 55,678,419 shares as of October 31, 2014</w:t>
            </w:r>
          </w:p>
        </w:tc>
        <w:tc>
          <w:tcPr>
            <w:tcW w:w="2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55,265</w:t>
            </w:r>
          </w:p>
        </w:tc>
        <w:tc>
          <w:tcPr>
            <w:tcW w:w="2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55,887</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431,897</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340,482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368,754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(24,158)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463,004</w:t>
            </w:r>
          </w:p>
        </w:tc>
        <w:tc>
          <w:tcPr>
            <w:tcW w:w="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385,550</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408,727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1,479,127</w:t>
            </w:r>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1,179,246</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7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May 1,</w:t>
            </w:r>
          </w:p>
        </w:tc>
        <w:tc>
          <w:tcPr>
            <w:tcW w:w="440" w:type="dxa"/>
            <w:vAlign w:val="bottom"/>
          </w:tcPr>
          <w:p>
            <w:pPr>
              <w:spacing w:after="0"/>
              <w:rPr>
                <w:sz w:val="10"/>
                <w:szCs w:val="10"/>
                <w:color w:val="auto"/>
              </w:rPr>
            </w:pPr>
          </w:p>
        </w:tc>
        <w:tc>
          <w:tcPr>
            <w:tcW w:w="920" w:type="dxa"/>
            <w:vAlign w:val="bottom"/>
          </w:tcPr>
          <w:p>
            <w:pPr>
              <w:jc w:val="right"/>
              <w:ind w:right="396"/>
              <w:spacing w:after="0" w:line="119" w:lineRule="exact"/>
              <w:rPr>
                <w:sz w:val="20"/>
                <w:szCs w:val="20"/>
                <w:color w:val="auto"/>
              </w:rPr>
            </w:pPr>
            <w:r>
              <w:rPr>
                <w:rFonts w:ascii="Arial" w:cs="Arial" w:eastAsia="Arial" w:hAnsi="Arial"/>
                <w:sz w:val="13"/>
                <w:szCs w:val="13"/>
                <w:b w:val="1"/>
                <w:bCs w:val="1"/>
                <w:color w:val="auto"/>
              </w:rPr>
              <w:t>May 2,</w:t>
            </w:r>
          </w:p>
        </w:tc>
        <w:tc>
          <w:tcPr>
            <w:tcW w:w="100" w:type="dxa"/>
            <w:vAlign w:val="bottom"/>
          </w:tcPr>
          <w:p>
            <w:pPr>
              <w:spacing w:after="0"/>
              <w:rPr>
                <w:sz w:val="10"/>
                <w:szCs w:val="10"/>
                <w:color w:val="auto"/>
              </w:rPr>
            </w:pPr>
          </w:p>
        </w:tc>
      </w:tr>
      <w:tr>
        <w:trPr>
          <w:trHeight w:val="171"/>
        </w:trPr>
        <w:tc>
          <w:tcPr>
            <w:tcW w:w="72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Net earnings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124,713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112,955</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(3,709)</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(3,377)</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depreciation, amortization, and impairment loss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30,613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26,589</w:t>
            </w: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5,090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5,051</w:t>
            </w: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deferred income taxes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bl>
    <w:p>
      <w:pPr>
        <w:spacing w:after="0" w:line="20" w:lineRule="exact"/>
        <w:rPr>
          <w:sz w:val="20"/>
          <w:szCs w:val="20"/>
          <w:color w:val="auto"/>
        </w:rPr>
      </w:pPr>
    </w:p>
    <w:p>
      <w:pPr>
        <w:sectPr>
          <w:pgSz w:w="11900" w:h="16838" w:orient="portrait"/>
          <w:cols w:equalWidth="0" w:num="1">
            <w:col w:w="11420"/>
          </w:cols>
          <w:pgMar w:left="240" w:top="368"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(193,552)</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(156,423)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(56,099)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(5,168)</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194,514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95,248</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77,949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(27,261)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to finance affiliate, net</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(198,329)</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(230,045)</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short-term debt</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(1,283)</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increase in long-term debt</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5,057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(49,323)</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(81,694)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(27,975)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(68,632)</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(93,736)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(2,149)</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(205,578)</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314,873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20" w:type="dxa"/>
            <w:vAlign w:val="bottom"/>
            <w:gridSpan w:val="2"/>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88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109,295</w:t>
            </w:r>
          </w:p>
        </w:tc>
        <w:tc>
          <w:tcPr>
            <w:tcW w:w="2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129,909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issued in connection with an acquisition</w:t>
            </w:r>
          </w:p>
        </w:tc>
        <w:tc>
          <w:tcPr>
            <w:tcW w:w="13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31,161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20" w:type="dxa"/>
            <w:vAlign w:val="bottom"/>
            <w:gridSpan w:val="2"/>
          </w:tcPr>
          <w:p>
            <w:pPr>
              <w:jc w:val="right"/>
              <w:ind w:right="1570"/>
              <w:spacing w:after="0"/>
              <w:rPr>
                <w:sz w:val="20"/>
                <w:szCs w:val="20"/>
                <w:color w:val="auto"/>
              </w:rPr>
            </w:pPr>
            <w:r>
              <w:rPr>
                <w:rFonts w:ascii="Arial" w:cs="Arial" w:eastAsia="Arial" w:hAnsi="Arial"/>
                <w:sz w:val="18"/>
                <w:szCs w:val="18"/>
                <w:color w:val="auto"/>
              </w:rPr>
              <w:t>5</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4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May 1,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six months ended May 1, 2015 cannot be annualized to determine the expected results for the fiscal year ending October 31, 2015.</w:t>
      </w:r>
    </w:p>
    <w:p>
      <w:pPr>
        <w:spacing w:after="0" w:line="178"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ind w:right="380" w:firstLine="272"/>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2014.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incentive compensation accruals, inventory valuation, warranty reserves, earn-out 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ectPr>
          <w:pgSz w:w="11900" w:h="16838" w:orient="portrait"/>
          <w:cols w:equalWidth="0" w:num="1">
            <w:col w:w="11460"/>
          </w:cols>
          <w:pgMar w:left="240" w:top="125" w:right="199" w:bottom="171" w:gutter="0" w:footer="0" w:header="0"/>
        </w:sectPr>
      </w:pPr>
    </w:p>
    <w:bookmarkStart w:id="4" w:name="page5"/>
    <w:bookmarkEnd w:id="4"/>
    <w:p>
      <w:pPr>
        <w:ind w:right="140"/>
        <w:spacing w:after="0" w:line="271" w:lineRule="auto"/>
        <w:rPr>
          <w:sz w:val="20"/>
          <w:szCs w:val="20"/>
          <w:color w:val="auto"/>
        </w:rPr>
      </w:pPr>
      <w:r>
        <w:rPr>
          <w:rFonts w:ascii="Arial" w:cs="Arial" w:eastAsia="Arial" w:hAnsi="Arial"/>
          <w:sz w:val="17"/>
          <w:szCs w:val="17"/>
          <w:color w:val="auto"/>
        </w:rPr>
        <w:t>On November 14, 2014, during the first quarter of fiscal 2015, the company acquired substantially all of the assets (excluding accounts receivable) of the BOSS® professional snow and ice management business of privately held Northern Star Industries, Inc. Based in Iron Mountain, Michigan, BOSS designs, manufactures, and sells a broad line of snowplows, salt and sand spreaders, and related parts and accessories for light and medium duty trucks, all terrain vehicles (“ATVs”), utility terrain vehicles (“UTVs”), skid steers, and front-end loaders. Through this acquisition, the company added another professional contractor brand; a portfolio of counter-seasonal equipment; manufacturing and distribution facilities located in Iron Mountain, Michigan; and a distribution network for these products. Management believes that this acquisition positions the company to strengthen and grow its relationships with professional contractors, municipalities, and other customers by enabling the company to provide them with the innovative, durable equipment and high-quality service they need each season.</w:t>
      </w:r>
    </w:p>
    <w:p>
      <w:pPr>
        <w:spacing w:after="0" w:line="179"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The purchase price of this acquisition was $229.5 million, which included a cash payment of $198.3 million and issuance of a note payable at fair value of $31.2 million. The company funded the acquisition with cash on hand, a $130.0 million term loan, and short-term debt under the company’s revolving credit facility.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purchase price of this acquisition was accounted for as a business combination using the acquisition method, which requires that, among other things, assets acquired and liabilities assumed, be recorded at their fair value as of the acquisition date using independent appraisals and other analyses. The excess of the consideration transferred over those fair values is recorded as goodwill. The following table presents the allocation of the purchase price to the acquired assets, liabilities, and goodwill.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May 1,</w:t>
            </w:r>
          </w:p>
        </w:tc>
        <w:tc>
          <w:tcPr>
            <w:tcW w:w="0" w:type="dxa"/>
            <w:vAlign w:val="bottom"/>
          </w:tcPr>
          <w:p>
            <w:pPr>
              <w:spacing w:after="0"/>
              <w:rPr>
                <w:sz w:val="1"/>
                <w:szCs w:val="1"/>
                <w:color w:val="auto"/>
              </w:rPr>
            </w:pPr>
          </w:p>
        </w:tc>
      </w:tr>
      <w:tr>
        <w:trPr>
          <w:trHeight w:val="171"/>
        </w:trPr>
        <w:tc>
          <w:tcPr>
            <w:tcW w:w="43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107,700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103,028</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(9,299)</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price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The goodwill recorded as part of the acquisition primarily reflects the value of the assembled workforce, cost synergies, expected future cash flows, and sales growth from integrating and expanding existing product lines. The preliminary amount of goodwill that is expected to be deductible for income tax purposes is $101.9 million. The goodwill and intangible assets have been allocated to the Professional segment.</w:t>
      </w:r>
    </w:p>
    <w:p>
      <w:pPr>
        <w:spacing w:after="0" w:line="181"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During the first six months of fiscal 2015, the company expensed $0.3 million of acquisition-related costs, which was recorded in selling, general, and administrative expense. The company also capitalized $0.4 million of debt issuance costs in other assets related to the $130.0 million term loan, which will be amortized over the term of the loan.</w:t>
      </w:r>
    </w:p>
    <w:p>
      <w:pPr>
        <w:spacing w:after="0" w:line="181" w:lineRule="exact"/>
        <w:rPr>
          <w:sz w:val="20"/>
          <w:szCs w:val="20"/>
          <w:color w:val="auto"/>
        </w:rPr>
      </w:pPr>
    </w:p>
    <w:p>
      <w:pPr>
        <w:ind w:right="60" w:firstLine="270"/>
        <w:spacing w:after="0" w:line="279" w:lineRule="auto"/>
        <w:rPr>
          <w:sz w:val="20"/>
          <w:szCs w:val="20"/>
          <w:color w:val="auto"/>
        </w:rPr>
      </w:pPr>
      <w:r>
        <w:rPr>
          <w:rFonts w:ascii="Arial" w:cs="Arial" w:eastAsia="Arial" w:hAnsi="Arial"/>
          <w:sz w:val="17"/>
          <w:szCs w:val="17"/>
          <w:color w:val="auto"/>
        </w:rPr>
        <w:t>Operating results for this acquisition have been included in the company’s consolidated statements of earnings from the date of acquisition and are reflected in the Professional segment. The acquisition contributed $16.6 million and $45.3 million of net sales for the second quarter and year-to-date periods of fiscal 2015, respectively, and had an immaterial impact on net earnings for both the second quarter and year-to-date periods of fiscal 2015. Pro forma results are not presented, as the acquisition was not considered material to the company’s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company’s amended and restated equity and incentive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non-officer employees vest in full on the three-year anniversary of the date of grant and have a ten-year term. Compensation expense equal to the grant date fair value is generally recognized for these awards over the vesting period. Stock options granted to officers and other employees are subject to accelerated expensing if the option holder meets the retirement definition set forth in the company’s amended and restated equity and incentive plan. In that case, the fair value of the options is expensed in the fiscal year of grant because the option holder must be employed as of the end of the fiscal year in which the options are granted in order for the options to vest.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69" w:lineRule="exact"/>
        <w:rPr>
          <w:sz w:val="20"/>
          <w:szCs w:val="20"/>
          <w:color w:val="auto"/>
        </w:rPr>
      </w:pPr>
    </w:p>
    <w:p>
      <w:pPr>
        <w:ind w:right="80" w:firstLine="270"/>
        <w:spacing w:after="0" w:line="271" w:lineRule="auto"/>
        <w:rPr>
          <w:sz w:val="20"/>
          <w:szCs w:val="20"/>
          <w:color w:val="auto"/>
        </w:rPr>
      </w:pPr>
      <w:r>
        <w:rPr>
          <w:rFonts w:ascii="Arial" w:cs="Arial" w:eastAsia="Arial" w:hAnsi="Arial"/>
          <w:sz w:val="17"/>
          <w:szCs w:val="17"/>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officers, other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illustrates the assumptions for options granted in the following fiscal periods.</w:t>
      </w:r>
    </w:p>
    <w:p>
      <w:pPr>
        <w:sectPr>
          <w:pgSz w:w="11900" w:h="16838" w:orient="portrait"/>
          <w:cols w:equalWidth="0" w:num="1">
            <w:col w:w="11400"/>
          </w:cols>
          <w:pgMar w:left="240" w:top="125" w:right="25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980" w:type="dxa"/>
            <w:vAlign w:val="bottom"/>
            <w:gridSpan w:val="2"/>
          </w:tcPr>
          <w:p>
            <w:pPr>
              <w:ind w:left="500"/>
              <w:spacing w:after="0"/>
              <w:rPr>
                <w:sz w:val="20"/>
                <w:szCs w:val="20"/>
                <w:color w:val="auto"/>
              </w:rPr>
            </w:pPr>
            <w:r>
              <w:rPr>
                <w:rFonts w:ascii="Arial" w:cs="Arial" w:eastAsia="Arial" w:hAnsi="Arial"/>
                <w:sz w:val="14"/>
                <w:szCs w:val="14"/>
                <w:b w:val="1"/>
                <w:bCs w:val="1"/>
                <w:color w:val="auto"/>
              </w:rPr>
              <w:t>Fiscal 2015</w:t>
            </w:r>
          </w:p>
        </w:tc>
        <w:tc>
          <w:tcPr>
            <w:tcW w:w="1820" w:type="dxa"/>
            <w:vAlign w:val="bottom"/>
            <w:gridSpan w:val="2"/>
          </w:tcPr>
          <w:p>
            <w:pPr>
              <w:ind w:left="520"/>
              <w:spacing w:after="0"/>
              <w:rPr>
                <w:sz w:val="20"/>
                <w:szCs w:val="20"/>
                <w:color w:val="auto"/>
              </w:rPr>
            </w:pPr>
            <w:r>
              <w:rPr>
                <w:rFonts w:ascii="Arial" w:cs="Arial" w:eastAsia="Arial" w:hAnsi="Arial"/>
                <w:sz w:val="14"/>
                <w:szCs w:val="14"/>
                <w:b w:val="1"/>
                <w:bCs w:val="1"/>
                <w:color w:val="auto"/>
              </w:rPr>
              <w:t>Fiscal 2014</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5.95</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29.67%</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34.29%</w:t>
            </w: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1.61%</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1.92%</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1.29%</w:t>
            </w: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Grant date per share weighted-average fair value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$16.81</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$18.69</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fair value of performance share awards granted during the first quarter of each of fiscal 2015 and 2014 was $65.68 and $60.19, respectively. No performance share awards were granted during the second quarter of fiscal 2015 or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 Awards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company’s amended and restated equity and incentive plan, restricted stock and restricted stock unit awards are generally granted to certain non-officer employees. Occasionally, restricted stock or restricted stock unit awards may be granted, including to executive officers, in connection with hiring, mid-year promotions, leadership transition, or retention. Restricted stock and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 The per share weighted-average fair value of restricted stock and restricted stock unit awards granted during the first six months of fiscal 2015 and 2014 was $63.60 and $59.59,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0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3"/>
          </w:tcPr>
          <w:p>
            <w:pPr>
              <w:ind w:left="940"/>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660" w:type="dxa"/>
            <w:vAlign w:val="bottom"/>
            <w:tcBorders>
              <w:top w:val="single" w:sz="8" w:color="auto"/>
            </w:tcBorders>
            <w:gridSpan w:val="2"/>
          </w:tcPr>
          <w:p>
            <w:pPr>
              <w:ind w:left="480"/>
              <w:spacing w:after="0" w:line="119" w:lineRule="exact"/>
              <w:rPr>
                <w:sz w:val="20"/>
                <w:szCs w:val="20"/>
                <w:color w:val="auto"/>
              </w:rPr>
            </w:pPr>
            <w:r>
              <w:rPr>
                <w:rFonts w:ascii="Arial" w:cs="Arial" w:eastAsia="Arial" w:hAnsi="Arial"/>
                <w:sz w:val="13"/>
                <w:szCs w:val="13"/>
                <w:b w:val="1"/>
                <w:bCs w:val="1"/>
                <w:color w:val="auto"/>
              </w:rPr>
              <w:t>May 1,</w:t>
            </w:r>
          </w:p>
        </w:tc>
        <w:tc>
          <w:tcPr>
            <w:tcW w:w="1360" w:type="dxa"/>
            <w:vAlign w:val="bottom"/>
            <w:tcBorders>
              <w:top w:val="single" w:sz="8" w:color="auto"/>
            </w:tcBorders>
          </w:tcPr>
          <w:p>
            <w:pPr>
              <w:jc w:val="right"/>
              <w:ind w:right="375"/>
              <w:spacing w:after="0" w:line="119" w:lineRule="exact"/>
              <w:rPr>
                <w:sz w:val="20"/>
                <w:szCs w:val="20"/>
                <w:color w:val="auto"/>
              </w:rPr>
            </w:pPr>
            <w:r>
              <w:rPr>
                <w:rFonts w:ascii="Arial" w:cs="Arial" w:eastAsia="Arial" w:hAnsi="Arial"/>
                <w:sz w:val="13"/>
                <w:szCs w:val="13"/>
                <w:b w:val="1"/>
                <w:bCs w:val="1"/>
                <w:color w:val="auto"/>
              </w:rPr>
              <w:t>May 2,</w:t>
            </w:r>
          </w:p>
        </w:tc>
        <w:tc>
          <w:tcPr>
            <w:tcW w:w="280" w:type="dxa"/>
            <w:vAlign w:val="bottom"/>
          </w:tcPr>
          <w:p>
            <w:pPr>
              <w:spacing w:after="0"/>
              <w:rPr>
                <w:sz w:val="10"/>
                <w:szCs w:val="10"/>
                <w:color w:val="auto"/>
              </w:rPr>
            </w:pPr>
          </w:p>
        </w:tc>
        <w:tc>
          <w:tcPr>
            <w:tcW w:w="2100" w:type="dxa"/>
            <w:vAlign w:val="bottom"/>
            <w:tcBorders>
              <w:top w:val="single" w:sz="8" w:color="auto"/>
            </w:tcBorders>
            <w:gridSpan w:val="3"/>
          </w:tcPr>
          <w:p>
            <w:pPr>
              <w:ind w:left="480"/>
              <w:spacing w:after="0" w:line="119" w:lineRule="exact"/>
              <w:rPr>
                <w:sz w:val="20"/>
                <w:szCs w:val="20"/>
                <w:color w:val="auto"/>
              </w:rPr>
            </w:pPr>
            <w:r>
              <w:rPr>
                <w:rFonts w:ascii="Arial" w:cs="Arial" w:eastAsia="Arial" w:hAnsi="Arial"/>
                <w:sz w:val="13"/>
                <w:szCs w:val="13"/>
                <w:b w:val="1"/>
                <w:bCs w:val="1"/>
                <w:color w:val="auto"/>
              </w:rPr>
              <w:t>May 1,</w:t>
            </w:r>
          </w:p>
        </w:tc>
        <w:tc>
          <w:tcPr>
            <w:tcW w:w="920" w:type="dxa"/>
            <w:vAlign w:val="bottom"/>
            <w:tcBorders>
              <w:top w:val="single" w:sz="8" w:color="auto"/>
            </w:tcBorders>
          </w:tcPr>
          <w:p>
            <w:pPr>
              <w:jc w:val="right"/>
              <w:ind w:right="375"/>
              <w:spacing w:after="0" w:line="119" w:lineRule="exact"/>
              <w:rPr>
                <w:sz w:val="20"/>
                <w:szCs w:val="20"/>
                <w:color w:val="auto"/>
              </w:rPr>
            </w:pPr>
            <w:r>
              <w:rPr>
                <w:rFonts w:ascii="Arial" w:cs="Arial" w:eastAsia="Arial" w:hAnsi="Arial"/>
                <w:sz w:val="13"/>
                <w:szCs w:val="13"/>
                <w:b w:val="1"/>
                <w:bCs w:val="1"/>
                <w:color w:val="auto"/>
              </w:rPr>
              <w:t>May 2,</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0" w:type="dxa"/>
            <w:vAlign w:val="bottom"/>
            <w:gridSpan w:val="5"/>
            <w:vMerge w:val="continue"/>
          </w:tcPr>
          <w:p>
            <w:pPr>
              <w:spacing w:after="0"/>
              <w:rPr>
                <w:sz w:val="14"/>
                <w:szCs w:val="14"/>
                <w:color w:val="auto"/>
              </w:rPr>
            </w:pPr>
          </w:p>
        </w:tc>
        <w:tc>
          <w:tcPr>
            <w:tcW w:w="13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360" w:type="dxa"/>
            <w:vAlign w:val="bottom"/>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3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8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Basic</w:t>
            </w:r>
          </w:p>
        </w:tc>
        <w:tc>
          <w:tcPr>
            <w:tcW w:w="3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4"/>
          </w:tcPr>
          <w:p>
            <w:pPr>
              <w:spacing w:after="0"/>
              <w:rPr>
                <w:sz w:val="20"/>
                <w:szCs w:val="20"/>
                <w:color w:val="auto"/>
              </w:rPr>
            </w:pPr>
            <w:r>
              <w:rPr>
                <w:rFonts w:ascii="Arial" w:cs="Arial" w:eastAsia="Arial" w:hAnsi="Arial"/>
                <w:sz w:val="18"/>
                <w:szCs w:val="18"/>
                <w:color w:val="auto"/>
              </w:rPr>
              <w:t>Weighted-average number of shares of common stock</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55,864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56,493</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55,931</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56,732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gridSpan w:val="4"/>
            <w:vMerge w:val="restart"/>
          </w:tcPr>
          <w:p>
            <w:pPr>
              <w:spacing w:after="0" w:line="201" w:lineRule="exact"/>
              <w:rPr>
                <w:sz w:val="20"/>
                <w:szCs w:val="20"/>
                <w:color w:val="auto"/>
              </w:rPr>
            </w:pPr>
            <w:r>
              <w:rPr>
                <w:rFonts w:ascii="Arial" w:cs="Arial" w:eastAsia="Arial" w:hAnsi="Arial"/>
                <w:sz w:val="18"/>
                <w:szCs w:val="18"/>
                <w:color w:val="auto"/>
                <w:w w:val="97"/>
              </w:rPr>
              <w:t>Weighted-average number of shares of common stock and</w:t>
            </w: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4"/>
            <w:vMerge w:val="continue"/>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55,864</w:t>
            </w:r>
          </w:p>
        </w:tc>
        <w:tc>
          <w:tcPr>
            <w:tcW w:w="280" w:type="dxa"/>
            <w:vAlign w:val="bottom"/>
            <w:vMerge w:val="restart"/>
          </w:tcPr>
          <w:p>
            <w:pPr>
              <w:spacing w:after="0"/>
              <w:rPr>
                <w:sz w:val="15"/>
                <w:szCs w:val="15"/>
                <w:color w:val="auto"/>
              </w:rPr>
            </w:pP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56,493</w:t>
            </w:r>
          </w:p>
        </w:tc>
        <w:tc>
          <w:tcPr>
            <w:tcW w:w="16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55,954</w:t>
            </w:r>
          </w:p>
        </w:tc>
        <w:tc>
          <w:tcPr>
            <w:tcW w:w="440" w:type="dxa"/>
            <w:vAlign w:val="bottom"/>
          </w:tcPr>
          <w:p>
            <w:pPr>
              <w:spacing w:after="0"/>
              <w:rPr>
                <w:sz w:val="15"/>
                <w:szCs w:val="15"/>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56,758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gridSpan w:val="4"/>
          </w:tcPr>
          <w:p>
            <w:pPr>
              <w:ind w:left="160"/>
              <w:spacing w:after="0"/>
              <w:rPr>
                <w:sz w:val="20"/>
                <w:szCs w:val="20"/>
                <w:color w:val="auto"/>
              </w:rPr>
            </w:pPr>
            <w:r>
              <w:rPr>
                <w:rFonts w:ascii="Arial" w:cs="Arial" w:eastAsia="Arial" w:hAnsi="Arial"/>
                <w:sz w:val="18"/>
                <w:szCs w:val="18"/>
                <w:color w:val="auto"/>
              </w:rPr>
              <w:t>assumed issuance of contingent shares</w:t>
            </w:r>
          </w:p>
        </w:tc>
        <w:tc>
          <w:tcPr>
            <w:tcW w:w="138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660" w:type="dxa"/>
            <w:vAlign w:val="bottom"/>
            <w:gridSpan w:val="2"/>
            <w:vMerge w:val="continue"/>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Borders>
              <w:top w:val="single" w:sz="8" w:color="CCEEFF"/>
            </w:tcBorders>
            <w:gridSpan w:val="4"/>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1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80" w:type="dxa"/>
            <w:vAlign w:val="bottom"/>
            <w:gridSpan w:val="4"/>
          </w:tcPr>
          <w:p>
            <w:pPr>
              <w:spacing w:after="0" w:line="201" w:lineRule="exact"/>
              <w:rPr>
                <w:sz w:val="20"/>
                <w:szCs w:val="20"/>
                <w:color w:val="auto"/>
              </w:rPr>
            </w:pPr>
            <w:r>
              <w:rPr>
                <w:rFonts w:ascii="Arial" w:cs="Arial" w:eastAsia="Arial" w:hAnsi="Arial"/>
                <w:sz w:val="18"/>
                <w:szCs w:val="18"/>
                <w:color w:val="auto"/>
                <w:w w:val="97"/>
              </w:rPr>
              <w:t>Weighted-average number of shares of common stock and</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4"/>
          </w:tcPr>
          <w:p>
            <w:pPr>
              <w:ind w:left="160"/>
              <w:spacing w:after="0"/>
              <w:rPr>
                <w:sz w:val="20"/>
                <w:szCs w:val="20"/>
                <w:color w:val="auto"/>
              </w:rPr>
            </w:pPr>
            <w:r>
              <w:rPr>
                <w:rFonts w:ascii="Arial" w:cs="Arial" w:eastAsia="Arial" w:hAnsi="Arial"/>
                <w:sz w:val="18"/>
                <w:szCs w:val="18"/>
                <w:color w:val="auto"/>
              </w:rPr>
              <w:t>assumed issuance of contingent shares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55,864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56,493</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55,954</w:t>
            </w:r>
          </w:p>
        </w:tc>
        <w:tc>
          <w:tcPr>
            <w:tcW w:w="4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56,758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4"/>
          </w:tcPr>
          <w:p>
            <w:pPr>
              <w:spacing w:after="0" w:line="182" w:lineRule="exact"/>
              <w:rPr>
                <w:sz w:val="20"/>
                <w:szCs w:val="20"/>
                <w:color w:val="auto"/>
              </w:rPr>
            </w:pPr>
            <w:r>
              <w:rPr>
                <w:rFonts w:ascii="Arial" w:cs="Arial" w:eastAsia="Arial" w:hAnsi="Arial"/>
                <w:sz w:val="18"/>
                <w:szCs w:val="18"/>
                <w:color w:val="auto"/>
              </w:rPr>
              <w:t>Weighted-average number of shares of common stock,</w:t>
            </w:r>
          </w:p>
        </w:tc>
        <w:tc>
          <w:tcPr>
            <w:tcW w:w="13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4"/>
          </w:tcPr>
          <w:p>
            <w:pPr>
              <w:ind w:left="160"/>
              <w:spacing w:after="0"/>
              <w:rPr>
                <w:sz w:val="20"/>
                <w:szCs w:val="20"/>
                <w:color w:val="auto"/>
              </w:rPr>
            </w:pPr>
            <w:r>
              <w:rPr>
                <w:rFonts w:ascii="Arial" w:cs="Arial" w:eastAsia="Arial" w:hAnsi="Arial"/>
                <w:sz w:val="18"/>
                <w:szCs w:val="18"/>
                <w:color w:val="auto"/>
              </w:rPr>
              <w:t>assumed issuance of contingent shares, and effect of</w:t>
            </w:r>
          </w:p>
        </w:tc>
        <w:tc>
          <w:tcPr>
            <w:tcW w:w="16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57,073</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57,773</w:t>
            </w:r>
          </w:p>
        </w:tc>
        <w:tc>
          <w:tcPr>
            <w:tcW w:w="16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57,157</w:t>
            </w:r>
          </w:p>
        </w:tc>
        <w:tc>
          <w:tcPr>
            <w:tcW w:w="440" w:type="dxa"/>
            <w:vAlign w:val="bottom"/>
          </w:tcPr>
          <w:p>
            <w:pPr>
              <w:spacing w:after="0"/>
              <w:rPr>
                <w:sz w:val="18"/>
                <w:szCs w:val="18"/>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58,040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gridSpan w:val="4"/>
          </w:tcPr>
          <w:p>
            <w:pPr>
              <w:ind w:left="160"/>
              <w:spacing w:after="0"/>
              <w:rPr>
                <w:sz w:val="20"/>
                <w:szCs w:val="20"/>
                <w:color w:val="auto"/>
              </w:rPr>
            </w:pPr>
            <w:r>
              <w:rPr>
                <w:rFonts w:ascii="Arial" w:cs="Arial" w:eastAsia="Arial" w:hAnsi="Arial"/>
                <w:sz w:val="18"/>
                <w:szCs w:val="18"/>
                <w:color w:val="auto"/>
              </w:rPr>
              <w:t>dilutive securities</w:t>
            </w:r>
          </w:p>
        </w:tc>
        <w:tc>
          <w:tcPr>
            <w:tcW w:w="166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270"/>
        <w:spacing w:after="0" w:line="259" w:lineRule="auto"/>
        <w:rPr>
          <w:sz w:val="20"/>
          <w:szCs w:val="20"/>
          <w:color w:val="auto"/>
        </w:rPr>
      </w:pPr>
      <w:r>
        <w:rPr>
          <w:rFonts w:ascii="Arial" w:cs="Arial" w:eastAsia="Arial" w:hAnsi="Arial"/>
          <w:sz w:val="18"/>
          <w:szCs w:val="18"/>
          <w:color w:val="auto"/>
        </w:rPr>
        <w:t>Incremental shares from options, restricted stock, and restricted stock units are computed by the treasury stock method. Options of 268,298 and 272,183 shares during the second quarter of fiscal 2015 and 2014, respectively, were excluded from the diluted net earnings per share because they were anti-dilutive. For the year-to-date periods through the second quarter of fiscal 2015 and 2014, options of 247,379 and 222,542 shares, respectively, were excluded from the diluted net earnings per share because they were anti-dilutive.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May 1,</w:t>
            </w:r>
          </w:p>
        </w:tc>
        <w:tc>
          <w:tcPr>
            <w:tcW w:w="280" w:type="dxa"/>
            <w:vAlign w:val="bottom"/>
          </w:tcPr>
          <w:p>
            <w:pPr>
              <w:spacing w:after="0"/>
              <w:rPr>
                <w:sz w:val="14"/>
                <w:szCs w:val="1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May 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52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117,451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Finished goods and service parts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291,484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273,920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246,954</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408,935</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367,852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Less: adjustment to LIFO value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67,495</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65,375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67,495</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341,440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33" w:right="239" w:bottom="0" w:gutter="0" w:footer="0" w:header="0"/>
        </w:sectPr>
      </w:pPr>
    </w:p>
    <w:bookmarkStart w:id="6" w:name="page7"/>
    <w:bookmarkEnd w:id="6"/>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six months of fiscal 2015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9"/>
              </w:rPr>
              <w:t>Professional</w:t>
            </w:r>
          </w:p>
        </w:tc>
        <w:tc>
          <w:tcPr>
            <w:tcW w:w="2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2014</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91,851</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Goodwill acquired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103,028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103,028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Balance as of May 1, 2015</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183,973</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194,854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11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Net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May 1, 2015</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6,932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(5,930)</w:t>
            </w:r>
          </w:p>
        </w:tc>
        <w:tc>
          <w:tcPr>
            <w:tcW w:w="3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84,606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(8,008)</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76,598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28,813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(18,853)</w:t>
            </w:r>
          </w:p>
        </w:tc>
        <w:tc>
          <w:tcPr>
            <w:tcW w:w="3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9,960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(1,995)</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26,720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165,068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(45,407)</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119,661</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Non-amortizable - trade names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4,881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4,881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October 31, 2014</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24"/>
                <w:szCs w:val="24"/>
                <w:color w:val="auto"/>
              </w:rPr>
            </w:pPr>
          </w:p>
        </w:tc>
        <w:tc>
          <w:tcPr>
            <w:tcW w:w="11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Net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5.4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7,039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(5,315)</w:t>
            </w:r>
          </w:p>
        </w:tc>
        <w:tc>
          <w:tcPr>
            <w:tcW w:w="3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1,724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(5,517)</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28,841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(16,869)</w:t>
            </w:r>
          </w:p>
        </w:tc>
        <w:tc>
          <w:tcPr>
            <w:tcW w:w="3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11,972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(1,165)</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(38,608)</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18,948</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Non-amortizable - trade names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4,881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4,881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6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0"/>
        <w:spacing w:after="0" w:line="342" w:lineRule="auto"/>
        <w:rPr>
          <w:sz w:val="20"/>
          <w:szCs w:val="20"/>
          <w:color w:val="auto"/>
        </w:rPr>
      </w:pPr>
      <w:r>
        <w:rPr>
          <w:rFonts w:ascii="Arial" w:cs="Arial" w:eastAsia="Arial" w:hAnsi="Arial"/>
          <w:sz w:val="16"/>
          <w:szCs w:val="16"/>
          <w:color w:val="auto"/>
        </w:rPr>
        <w:t>During the second quarter of fiscal 2015, the company determined certain amortizable intangible assets were impaired based on its assessment that the carrying amount may not be recovered. Based on the company’s impairment analysis, the company wrote down $1.4 million of other intangible assets.</w:t>
      </w:r>
    </w:p>
    <w:p>
      <w:pPr>
        <w:spacing w:after="0" w:line="124"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color w:val="auto"/>
        </w:rPr>
        <w:t>Amortization expense for intangible assets during the first six months of fiscal 2015 was $5.3 million. Estimated amortization expense for the remainder of fiscal 2015 and succeeding fiscal years is as follows: fiscal 2015 (remainder), $5.5 million; fiscal 2016, $10.4 million; fiscal 2017, $9.5 million; fiscal 2018, $7.4 million; fiscal 2019, $6.6 million; and after fiscal 2019, $80.3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fiscal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The initial term of Red Iron will continue until October 31, 2017, subject to unlimited automatic two-year extensions thereafter. Either the company or TCFIF may elect not to extend the initial term or any subsequent term by giving one-year notice to the other party. Additionally, in connection with the joint venture, the company and an affiliate of TCFIF entered into an arrangement to provide inventory financing to dealers of the company’s products in Canada.</w:t>
      </w:r>
    </w:p>
    <w:p>
      <w:pPr>
        <w:spacing w:after="0" w:line="165" w:lineRule="exact"/>
        <w:rPr>
          <w:sz w:val="20"/>
          <w:szCs w:val="20"/>
          <w:color w:val="auto"/>
        </w:rPr>
      </w:pPr>
    </w:p>
    <w:p>
      <w:pPr>
        <w:ind w:right="80" w:firstLine="270"/>
        <w:spacing w:after="0" w:line="254" w:lineRule="auto"/>
        <w:rPr>
          <w:sz w:val="20"/>
          <w:szCs w:val="20"/>
          <w:color w:val="auto"/>
        </w:rPr>
      </w:pPr>
      <w:r>
        <w:rPr>
          <w:rFonts w:ascii="Arial" w:cs="Arial" w:eastAsia="Arial" w:hAnsi="Arial"/>
          <w:sz w:val="18"/>
          <w:szCs w:val="18"/>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May 1, 2015 was $23.1 million. The company has not guaranteed the outstanding indebtedness of Red Iron. The company has agreed to repurchase products repossessed by Red Iron and the TCFIF Canadian affiliate, up to a maximum aggregate amount of $7.5 million in a calendar year. In addition, the company has provided recourse to Red Iron for certain outstanding receivables, which amounted to a maximum amount of $5.4 million as of May 1, 2015.</w:t>
      </w:r>
    </w:p>
    <w:p>
      <w:pPr>
        <w:spacing w:after="0" w:line="192"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six months ended April 30, 2015 and April 30, 2014 was $711.9 million and $667.6 million, respectively.</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April 30, 2015, Red Iron’s total assets were $461.2 million and total liabilities were $409.8 million.</w:t>
      </w:r>
    </w:p>
    <w:p>
      <w:pPr>
        <w:sectPr>
          <w:pgSz w:w="11900" w:h="16874" w:orient="portrait"/>
          <w:cols w:equalWidth="0" w:num="1">
            <w:col w:w="11460"/>
          </w:cols>
          <w:pgMar w:left="240" w:top="121" w:right="19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sells extended warranty coverage on select products for a prescribed period after the factory warranty period expires.</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provisions, claims, and changes in estimates for the first six months of fiscal 2015 and 2014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May 1,</w:t>
            </w:r>
          </w:p>
        </w:tc>
        <w:tc>
          <w:tcPr>
            <w:tcW w:w="440" w:type="dxa"/>
            <w:vAlign w:val="bottom"/>
          </w:tcPr>
          <w:p>
            <w:pPr>
              <w:spacing w:after="0"/>
              <w:rPr>
                <w:sz w:val="10"/>
                <w:szCs w:val="10"/>
                <w:color w:val="auto"/>
              </w:rPr>
            </w:pPr>
          </w:p>
        </w:tc>
        <w:tc>
          <w:tcPr>
            <w:tcW w:w="920" w:type="dxa"/>
            <w:vAlign w:val="bottom"/>
          </w:tcPr>
          <w:p>
            <w:pPr>
              <w:jc w:val="right"/>
              <w:ind w:right="396"/>
              <w:spacing w:after="0" w:line="119" w:lineRule="exact"/>
              <w:rPr>
                <w:sz w:val="20"/>
                <w:szCs w:val="20"/>
                <w:color w:val="auto"/>
              </w:rPr>
            </w:pPr>
            <w:r>
              <w:rPr>
                <w:rFonts w:ascii="Arial" w:cs="Arial" w:eastAsia="Arial" w:hAnsi="Arial"/>
                <w:sz w:val="13"/>
                <w:szCs w:val="13"/>
                <w:b w:val="1"/>
                <w:bCs w:val="1"/>
                <w:color w:val="auto"/>
              </w:rPr>
              <w:t>May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Warranty provisions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23,763</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23,422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(13,861)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Changes in estimates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549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(“AOCL”), net of tax,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May 1,</w:t>
            </w:r>
          </w:p>
        </w:tc>
        <w:tc>
          <w:tcPr>
            <w:tcW w:w="28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May 2,</w:t>
            </w:r>
          </w:p>
        </w:tc>
        <w:tc>
          <w:tcPr>
            <w:tcW w:w="220" w:type="dxa"/>
            <w:vAlign w:val="bottom"/>
          </w:tcPr>
          <w:p>
            <w:pPr>
              <w:spacing w:after="0"/>
              <w:rPr>
                <w:sz w:val="14"/>
                <w:szCs w:val="14"/>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56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5,165</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3,751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Total accumulated other comprehensive loss</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24,158</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10,819</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six months of fiscal 2015 are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Pension and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Cash Flow</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Currency</w:t>
            </w: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30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Adjustments</w:t>
            </w:r>
          </w:p>
        </w:tc>
        <w:tc>
          <w:tcPr>
            <w:tcW w:w="16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Benefits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w w:val="99"/>
              </w:rPr>
              <w:t>Other comprehensive loss (income) before reclassifications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(5,393)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AOCL</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 period other comprehensive loss (income)</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7,215</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May 1, 2015</w:t>
            </w: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19,751</w:t>
            </w: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six months of fiscal 2014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Cash Flow</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Currency</w:t>
            </w: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Derivative</w:t>
            </w:r>
          </w:p>
        </w:tc>
        <w:tc>
          <w:tcPr>
            <w:tcW w:w="30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Adjustments</w:t>
            </w: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(1,229)</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376</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AOCL</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 period other comprehensive (income) loss</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May 2, 2014</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477"/>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700"/>
        <w:spacing w:after="0" w:line="30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company-owned domestic distributorships, has been combined with the company’s corporate activities and elimination of intersegment revenues and expenses that is shown as “Other” in the following tables due to the insignificance of the segment.</w:t>
      </w:r>
    </w:p>
    <w:p>
      <w:pPr>
        <w:sectPr>
          <w:pgSz w:w="11900" w:h="16838" w:orient="portrait"/>
          <w:cols w:equalWidth="0" w:num="1">
            <w:col w:w="11460"/>
          </w:cols>
          <w:pgMar w:left="240" w:top="337" w:right="199" w:bottom="0" w:gutter="0" w:footer="0" w:header="0"/>
        </w:sectPr>
      </w:pPr>
    </w:p>
    <w:bookmarkStart w:id="8" w:name="page9"/>
    <w:bookmarkEnd w:id="8"/>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Arial" w:cs="Arial" w:eastAsia="Arial" w:hAnsi="Arial"/>
                <w:sz w:val="14"/>
                <w:szCs w:val="14"/>
                <w:b w:val="1"/>
                <w:bCs w:val="1"/>
                <w:color w:val="auto"/>
              </w:rPr>
              <w:t>Three months ended May 1, 2015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552,774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267,867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826,242</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17,766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(17,870)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120,815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34,838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940" w:type="dxa"/>
            <w:vAlign w:val="bottom"/>
          </w:tcPr>
          <w:p>
            <w:pPr>
              <w:spacing w:after="0"/>
              <w:rPr>
                <w:sz w:val="20"/>
                <w:szCs w:val="20"/>
                <w:color w:val="auto"/>
              </w:rPr>
            </w:pPr>
            <w:r>
              <w:rPr>
                <w:rFonts w:ascii="Arial" w:cs="Arial" w:eastAsia="Arial" w:hAnsi="Arial"/>
                <w:sz w:val="14"/>
                <w:szCs w:val="14"/>
                <w:b w:val="1"/>
                <w:bCs w:val="1"/>
                <w:color w:val="auto"/>
              </w:rPr>
              <w:t>Three months ended May 2, 2014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528,561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210,377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745,030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14,438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(14,566)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122,367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23,822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129,116</w:t>
            </w:r>
          </w:p>
        </w:tc>
        <w:tc>
          <w:tcPr>
            <w:tcW w:w="0" w:type="dxa"/>
            <w:vAlign w:val="bottom"/>
          </w:tcPr>
          <w:p>
            <w:pPr>
              <w:spacing w:after="0"/>
              <w:rPr>
                <w:sz w:val="1"/>
                <w:szCs w:val="1"/>
                <w:color w:val="auto"/>
              </w:rPr>
            </w:pPr>
          </w:p>
        </w:tc>
      </w:tr>
      <w:tr>
        <w:trPr>
          <w:trHeight w:val="365"/>
        </w:trPr>
        <w:tc>
          <w:tcPr>
            <w:tcW w:w="3940" w:type="dxa"/>
            <w:vAlign w:val="bottom"/>
          </w:tcPr>
          <w:p>
            <w:pPr>
              <w:spacing w:after="0"/>
              <w:rPr>
                <w:sz w:val="20"/>
                <w:szCs w:val="20"/>
                <w:color w:val="auto"/>
              </w:rPr>
            </w:pPr>
            <w:r>
              <w:rPr>
                <w:rFonts w:ascii="Arial" w:cs="Arial" w:eastAsia="Arial" w:hAnsi="Arial"/>
                <w:sz w:val="14"/>
                <w:szCs w:val="14"/>
                <w:b w:val="1"/>
                <w:bCs w:val="1"/>
                <w:color w:val="auto"/>
              </w:rPr>
              <w:t>Six months ended May 1, 2015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892,480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1,300,453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28,286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(28,474)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176,474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48,565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178,110</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919,135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261,835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298,157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1,479,127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940" w:type="dxa"/>
            <w:vAlign w:val="bottom"/>
          </w:tcPr>
          <w:p>
            <w:pPr>
              <w:spacing w:after="0"/>
              <w:rPr>
                <w:sz w:val="20"/>
                <w:szCs w:val="20"/>
                <w:color w:val="auto"/>
              </w:rPr>
            </w:pPr>
            <w:r>
              <w:rPr>
                <w:rFonts w:ascii="Arial" w:cs="Arial" w:eastAsia="Arial" w:hAnsi="Arial"/>
                <w:sz w:val="14"/>
                <w:szCs w:val="14"/>
                <w:b w:val="1"/>
                <w:bCs w:val="1"/>
                <w:color w:val="auto"/>
              </w:rPr>
              <w:t>Six months ended May 2, 2014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824,029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357,947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1,191,011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19,914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(20,164)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169,830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41,956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670,723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238,156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270,367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1,179,246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May 1,</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97"/>
              <w:spacing w:after="0" w:line="119" w:lineRule="exact"/>
              <w:rPr>
                <w:sz w:val="20"/>
                <w:szCs w:val="20"/>
                <w:color w:val="auto"/>
              </w:rPr>
            </w:pPr>
            <w:r>
              <w:rPr>
                <w:rFonts w:ascii="Arial" w:cs="Arial" w:eastAsia="Arial" w:hAnsi="Arial"/>
                <w:sz w:val="13"/>
                <w:szCs w:val="13"/>
                <w:b w:val="1"/>
                <w:bCs w:val="1"/>
                <w:color w:val="auto"/>
              </w:rPr>
              <w:t>May 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May 1,</w:t>
            </w:r>
          </w:p>
        </w:tc>
        <w:tc>
          <w:tcPr>
            <w:tcW w:w="4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97"/>
              <w:spacing w:after="0" w:line="119" w:lineRule="exact"/>
              <w:rPr>
                <w:sz w:val="20"/>
                <w:szCs w:val="20"/>
                <w:color w:val="auto"/>
              </w:rPr>
            </w:pPr>
            <w:r>
              <w:rPr>
                <w:rFonts w:ascii="Arial" w:cs="Arial" w:eastAsia="Arial" w:hAnsi="Arial"/>
                <w:sz w:val="13"/>
                <w:szCs w:val="13"/>
                <w:b w:val="1"/>
                <w:bCs w:val="1"/>
                <w:color w:val="auto"/>
              </w:rPr>
              <w:t>May 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(4,768)</w:t>
            </w: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(9,484)</w:t>
            </w:r>
          </w:p>
        </w:tc>
        <w:tc>
          <w:tcPr>
            <w:tcW w:w="4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(46,929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77"/>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as well as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88"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the consolidated balance sheet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and foreign plant operations.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statements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169" w:lineRule="exact"/>
        <w:rPr>
          <w:sz w:val="20"/>
          <w:szCs w:val="20"/>
          <w:color w:val="auto"/>
        </w:rPr>
      </w:pPr>
    </w:p>
    <w:p>
      <w:pPr>
        <w:ind w:right="40" w:firstLine="270"/>
        <w:spacing w:after="0" w:line="287" w:lineRule="auto"/>
        <w:rPr>
          <w:sz w:val="20"/>
          <w:szCs w:val="20"/>
          <w:color w:val="auto"/>
        </w:rPr>
      </w:pPr>
      <w:r>
        <w:rPr>
          <w:rFonts w:ascii="Arial" w:cs="Arial" w:eastAsia="Arial" w:hAnsi="Arial"/>
          <w:sz w:val="16"/>
          <w:szCs w:val="16"/>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sheets, recognizing future changes in the fair value in other income, net. For the second quarter and year-to-date periods of fiscal 2015, there were immaterial losses on contracts reclassified into earnings as a result of the discontinuance of cash flow hedges. As of May 1, 2015 and May 2, 2014, the notional amount outstanding of forward contracts designated as cash flow</w:t>
      </w:r>
    </w:p>
    <w:p>
      <w:pPr>
        <w:sectPr>
          <w:pgSz w:w="11900" w:h="16899" w:orient="portrait"/>
          <w:cols w:equalWidth="0" w:num="1">
            <w:col w:w="11460"/>
          </w:cols>
          <w:pgMar w:left="240" w:top="125" w:right="199" w:bottom="0" w:gutter="0" w:footer="0" w:header="0"/>
        </w:sectPr>
      </w:pPr>
    </w:p>
    <w:bookmarkStart w:id="9" w:name="page10"/>
    <w:bookmarkEnd w:id="9"/>
    <w:p>
      <w:pPr>
        <w:spacing w:after="0" w:line="6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hedges was $101.8 million and $95.8 million, respectively. Additionally, as of May 1, 2015 and May 2, 2014, the company had one cross currency interest rate swap instrument outstanding for a fixed pay notional of 36.6 million Romanian New Leu and receive floating notional of 8.5 million Euros.</w:t>
      </w:r>
    </w:p>
    <w:p>
      <w:pPr>
        <w:spacing w:after="0" w:line="12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w:t>
      </w:r>
      <w:r>
        <w:rPr>
          <w:rFonts w:ascii="Arial" w:cs="Arial" w:eastAsia="Arial" w:hAnsi="Arial"/>
          <w:sz w:val="16"/>
          <w:szCs w:val="16"/>
          <w:color w:val="auto"/>
        </w:rPr>
        <w:t>The company also enters into foreign currency contracts that include forward currency contracts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 currency swaps to mitigate the remeasurement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Asset Derivatives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Liability Derivatives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Borders>
              <w:bottom w:val="single" w:sz="8" w:color="auto"/>
            </w:tcBorders>
            <w:gridSpan w:val="2"/>
          </w:tcPr>
          <w:p>
            <w:pPr>
              <w:ind w:left="740"/>
              <w:spacing w:after="0" w:line="129" w:lineRule="exact"/>
              <w:rPr>
                <w:sz w:val="20"/>
                <w:szCs w:val="20"/>
                <w:color w:val="auto"/>
              </w:rPr>
            </w:pPr>
            <w:r>
              <w:rPr>
                <w:rFonts w:ascii="Arial" w:cs="Arial" w:eastAsia="Arial" w:hAnsi="Arial"/>
                <w:sz w:val="13"/>
                <w:szCs w:val="13"/>
                <w:b w:val="1"/>
                <w:bCs w:val="1"/>
                <w:color w:val="auto"/>
                <w:w w:val="94"/>
              </w:rPr>
              <w:t>May 1, 2015</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Borders>
              <w:bottom w:val="single" w:sz="8" w:color="auto"/>
            </w:tcBorders>
            <w:gridSpan w:val="2"/>
          </w:tcPr>
          <w:p>
            <w:pPr>
              <w:ind w:left="740"/>
              <w:spacing w:after="0" w:line="129" w:lineRule="exact"/>
              <w:rPr>
                <w:sz w:val="20"/>
                <w:szCs w:val="20"/>
                <w:color w:val="auto"/>
              </w:rPr>
            </w:pPr>
            <w:r>
              <w:rPr>
                <w:rFonts w:ascii="Arial" w:cs="Arial" w:eastAsia="Arial" w:hAnsi="Arial"/>
                <w:sz w:val="13"/>
                <w:szCs w:val="13"/>
                <w:b w:val="1"/>
                <w:bCs w:val="1"/>
                <w:color w:val="auto"/>
                <w:w w:val="91"/>
              </w:rPr>
              <w:t>May 2, 2014</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Borders>
              <w:bottom w:val="single" w:sz="8" w:color="auto"/>
            </w:tcBorders>
            <w:gridSpan w:val="2"/>
          </w:tcPr>
          <w:p>
            <w:pPr>
              <w:ind w:left="720"/>
              <w:spacing w:after="0" w:line="129" w:lineRule="exact"/>
              <w:rPr>
                <w:sz w:val="20"/>
                <w:szCs w:val="20"/>
                <w:color w:val="auto"/>
              </w:rPr>
            </w:pPr>
            <w:r>
              <w:rPr>
                <w:rFonts w:ascii="Arial" w:cs="Arial" w:eastAsia="Arial" w:hAnsi="Arial"/>
                <w:sz w:val="13"/>
                <w:szCs w:val="13"/>
                <w:b w:val="1"/>
                <w:bCs w:val="1"/>
                <w:color w:val="auto"/>
                <w:w w:val="96"/>
              </w:rPr>
              <w:t>May 1, 2015</w:t>
            </w: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bottom w:val="single" w:sz="8" w:color="auto"/>
            </w:tcBorders>
            <w:gridSpan w:val="2"/>
          </w:tcPr>
          <w:p>
            <w:pPr>
              <w:ind w:left="700"/>
              <w:spacing w:after="0" w:line="129" w:lineRule="exact"/>
              <w:rPr>
                <w:sz w:val="20"/>
                <w:szCs w:val="20"/>
                <w:color w:val="auto"/>
              </w:rPr>
            </w:pPr>
            <w:r>
              <w:rPr>
                <w:rFonts w:ascii="Arial" w:cs="Arial" w:eastAsia="Arial" w:hAnsi="Arial"/>
                <w:sz w:val="13"/>
                <w:szCs w:val="13"/>
                <w:b w:val="1"/>
                <w:bCs w:val="1"/>
                <w:color w:val="auto"/>
                <w:w w:val="94"/>
              </w:rPr>
              <w:t>May 2, 2014</w:t>
            </w: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1"/>
              </w:rPr>
              <w:t>Balance</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Balance</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1"/>
              </w:rPr>
              <w:t>Balance</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1"/>
              </w:rPr>
              <w:t>Balance</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Sheet</w:t>
            </w:r>
          </w:p>
        </w:tc>
        <w:tc>
          <w:tcPr>
            <w:tcW w:w="120" w:type="dxa"/>
            <w:vAlign w:val="bottom"/>
          </w:tcPr>
          <w:p>
            <w:pPr>
              <w:spacing w:after="0"/>
              <w:rPr>
                <w:sz w:val="11"/>
                <w:szCs w:val="11"/>
                <w:color w:val="auto"/>
              </w:rPr>
            </w:pPr>
          </w:p>
        </w:tc>
        <w:tc>
          <w:tcPr>
            <w:tcW w:w="74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Fair</w:t>
            </w: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Sheet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1"/>
                <w:szCs w:val="11"/>
                <w:color w:val="auto"/>
              </w:rPr>
            </w:pPr>
          </w:p>
        </w:tc>
        <w:tc>
          <w:tcPr>
            <w:tcW w:w="14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Sheet</w:t>
            </w: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Fair</w:t>
            </w:r>
          </w:p>
        </w:tc>
        <w:tc>
          <w:tcPr>
            <w:tcW w:w="14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Sheet</w:t>
            </w:r>
          </w:p>
        </w:tc>
        <w:tc>
          <w:tcPr>
            <w:tcW w:w="120" w:type="dxa"/>
            <w:vAlign w:val="bottom"/>
          </w:tcPr>
          <w:p>
            <w:pPr>
              <w:spacing w:after="0"/>
              <w:rPr>
                <w:sz w:val="11"/>
                <w:szCs w:val="11"/>
                <w:color w:val="auto"/>
              </w:rPr>
            </w:pPr>
          </w:p>
        </w:tc>
        <w:tc>
          <w:tcPr>
            <w:tcW w:w="64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3"/>
        </w:trPr>
        <w:tc>
          <w:tcPr>
            <w:tcW w:w="1840" w:type="dxa"/>
            <w:vAlign w:val="bottom"/>
            <w:gridSpan w:val="2"/>
          </w:tcPr>
          <w:p>
            <w:pPr>
              <w:spacing w:after="0"/>
              <w:rPr>
                <w:sz w:val="20"/>
                <w:szCs w:val="20"/>
                <w:color w:val="auto"/>
              </w:rPr>
            </w:pPr>
            <w:r>
              <w:rPr>
                <w:rFonts w:ascii="Arial" w:cs="Arial" w:eastAsia="Arial" w:hAnsi="Arial"/>
                <w:sz w:val="13"/>
                <w:szCs w:val="13"/>
                <w:b w:val="1"/>
                <w:bCs w:val="1"/>
                <w:color w:val="auto"/>
              </w:rPr>
              <w:t>(Dollars in thousands)</w:t>
            </w:r>
          </w:p>
        </w:tc>
        <w:tc>
          <w:tcPr>
            <w:tcW w:w="160" w:type="dxa"/>
            <w:vAlign w:val="bottom"/>
          </w:tcPr>
          <w:p>
            <w:pPr>
              <w:spacing w:after="0"/>
              <w:rPr>
                <w:sz w:val="13"/>
                <w:szCs w:val="13"/>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Location</w:t>
            </w:r>
          </w:p>
        </w:tc>
        <w:tc>
          <w:tcPr>
            <w:tcW w:w="12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Value</w:t>
            </w:r>
          </w:p>
        </w:tc>
        <w:tc>
          <w:tcPr>
            <w:tcW w:w="14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Location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Arial" w:cs="Arial" w:eastAsia="Arial" w:hAnsi="Arial"/>
                <w:sz w:val="13"/>
                <w:szCs w:val="13"/>
                <w:b w:val="1"/>
                <w:bCs w:val="1"/>
                <w:color w:val="auto"/>
              </w:rPr>
              <w:t>Value</w:t>
            </w:r>
          </w:p>
        </w:tc>
        <w:tc>
          <w:tcPr>
            <w:tcW w:w="18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Location</w:t>
            </w:r>
          </w:p>
        </w:tc>
        <w:tc>
          <w:tcPr>
            <w:tcW w:w="1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Value</w:t>
            </w:r>
          </w:p>
        </w:tc>
        <w:tc>
          <w:tcPr>
            <w:tcW w:w="14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Location</w:t>
            </w:r>
          </w:p>
        </w:tc>
        <w:tc>
          <w:tcPr>
            <w:tcW w:w="12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820" w:type="dxa"/>
            <w:vAlign w:val="bottom"/>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Derivatives Designated as</w:t>
            </w: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Hedging Instruments</w:t>
            </w: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Forward currency contracts</w:t>
            </w:r>
          </w:p>
        </w:tc>
        <w:tc>
          <w:tcPr>
            <w:tcW w:w="1600" w:type="dxa"/>
            <w:vAlign w:val="bottom"/>
            <w:gridSpan w:val="3"/>
            <w:shd w:val="clear" w:color="auto" w:fill="CCEEFF"/>
          </w:tcPr>
          <w:p>
            <w:pPr>
              <w:jc w:val="right"/>
              <w:ind w:right="560"/>
              <w:spacing w:after="0" w:line="135" w:lineRule="exact"/>
              <w:rPr>
                <w:sz w:val="20"/>
                <w:szCs w:val="20"/>
                <w:color w:val="auto"/>
              </w:rPr>
            </w:pPr>
            <w:r>
              <w:rPr>
                <w:rFonts w:ascii="Arial" w:cs="Arial" w:eastAsia="Arial" w:hAnsi="Arial"/>
                <w:sz w:val="13"/>
                <w:szCs w:val="13"/>
                <w:color w:val="auto"/>
                <w:w w:val="97"/>
              </w:rPr>
              <w:t>Prepaid expenses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2,865</w:t>
            </w:r>
          </w:p>
        </w:tc>
        <w:tc>
          <w:tcPr>
            <w:tcW w:w="1420" w:type="dxa"/>
            <w:vAlign w:val="bottom"/>
            <w:gridSpan w:val="2"/>
            <w:shd w:val="clear" w:color="auto" w:fill="CCEEFF"/>
          </w:tcPr>
          <w:p>
            <w:pPr>
              <w:jc w:val="right"/>
              <w:ind w:right="540"/>
              <w:spacing w:after="0" w:line="135" w:lineRule="exact"/>
              <w:rPr>
                <w:sz w:val="20"/>
                <w:szCs w:val="20"/>
                <w:color w:val="auto"/>
              </w:rPr>
            </w:pPr>
            <w:r>
              <w:rPr>
                <w:rFonts w:ascii="Arial" w:cs="Arial" w:eastAsia="Arial" w:hAnsi="Arial"/>
                <w:sz w:val="13"/>
                <w:szCs w:val="13"/>
                <w:color w:val="auto"/>
                <w:w w:val="82"/>
              </w:rPr>
              <w:t>Prepaid expenses</w:t>
            </w:r>
          </w:p>
        </w:tc>
        <w:tc>
          <w:tcPr>
            <w:tcW w:w="1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76"/>
              </w:rPr>
              <w:t>—</w:t>
            </w: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1,427</w:t>
            </w:r>
          </w:p>
        </w:tc>
        <w:tc>
          <w:tcPr>
            <w:tcW w:w="1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Cross currency contract</w:t>
            </w:r>
          </w:p>
        </w:tc>
        <w:tc>
          <w:tcPr>
            <w:tcW w:w="1600" w:type="dxa"/>
            <w:vAlign w:val="bottom"/>
            <w:gridSpan w:val="3"/>
          </w:tcPr>
          <w:p>
            <w:pPr>
              <w:jc w:val="right"/>
              <w:ind w:right="560"/>
              <w:spacing w:after="0" w:line="135" w:lineRule="exact"/>
              <w:rPr>
                <w:sz w:val="20"/>
                <w:szCs w:val="20"/>
                <w:color w:val="auto"/>
              </w:rPr>
            </w:pPr>
            <w:r>
              <w:rPr>
                <w:rFonts w:ascii="Arial" w:cs="Arial" w:eastAsia="Arial" w:hAnsi="Arial"/>
                <w:sz w:val="13"/>
                <w:szCs w:val="13"/>
                <w:color w:val="auto"/>
                <w:w w:val="97"/>
              </w:rPr>
              <w:t>Prepaid expenses</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540"/>
              <w:spacing w:after="0" w:line="135" w:lineRule="exact"/>
              <w:rPr>
                <w:sz w:val="20"/>
                <w:szCs w:val="20"/>
                <w:color w:val="auto"/>
              </w:rPr>
            </w:pPr>
            <w:r>
              <w:rPr>
                <w:rFonts w:ascii="Arial" w:cs="Arial" w:eastAsia="Arial" w:hAnsi="Arial"/>
                <w:sz w:val="13"/>
                <w:szCs w:val="13"/>
                <w:color w:val="auto"/>
                <w:w w:val="82"/>
              </w:rPr>
              <w:t>Prepaid expenses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40"/>
              <w:spacing w:after="0" w:line="135" w:lineRule="exact"/>
              <w:rPr>
                <w:sz w:val="20"/>
                <w:szCs w:val="20"/>
                <w:color w:val="auto"/>
              </w:rPr>
            </w:pPr>
            <w:r>
              <w:rPr>
                <w:rFonts w:ascii="Arial" w:cs="Arial" w:eastAsia="Arial" w:hAnsi="Arial"/>
                <w:sz w:val="13"/>
                <w:szCs w:val="13"/>
                <w:color w:val="auto"/>
                <w:w w:val="76"/>
              </w:rPr>
              <w:t>—</w:t>
            </w:r>
          </w:p>
        </w:tc>
        <w:tc>
          <w:tcPr>
            <w:tcW w:w="180" w:type="dxa"/>
            <w:vAlign w:val="bottom"/>
          </w:tcPr>
          <w:p>
            <w:pPr>
              <w:spacing w:after="0"/>
              <w:rPr>
                <w:sz w:val="11"/>
                <w:szCs w:val="11"/>
                <w:color w:val="auto"/>
              </w:rPr>
            </w:pPr>
          </w:p>
        </w:tc>
        <w:tc>
          <w:tcPr>
            <w:tcW w:w="1440" w:type="dxa"/>
            <w:vAlign w:val="bottom"/>
            <w:gridSpan w:val="2"/>
          </w:tcPr>
          <w:p>
            <w:pPr>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319</w:t>
            </w:r>
          </w:p>
        </w:tc>
        <w:tc>
          <w:tcPr>
            <w:tcW w:w="1400" w:type="dxa"/>
            <w:vAlign w:val="bottom"/>
            <w:gridSpan w:val="2"/>
          </w:tcPr>
          <w:p>
            <w:pPr>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820" w:type="dxa"/>
            <w:vAlign w:val="bottom"/>
          </w:tcPr>
          <w:p>
            <w:pPr>
              <w:spacing w:after="0" w:line="117" w:lineRule="exact"/>
              <w:rPr>
                <w:sz w:val="20"/>
                <w:szCs w:val="20"/>
                <w:color w:val="auto"/>
              </w:rPr>
            </w:pPr>
            <w:r>
              <w:rPr>
                <w:rFonts w:ascii="Arial" w:cs="Arial" w:eastAsia="Arial" w:hAnsi="Arial"/>
                <w:sz w:val="13"/>
                <w:szCs w:val="13"/>
                <w:b w:val="1"/>
                <w:bCs w:val="1"/>
                <w:color w:val="auto"/>
                <w:w w:val="96"/>
              </w:rPr>
              <w:t>Derivatives Not Designated as</w:t>
            </w: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20" w:type="dxa"/>
            <w:vAlign w:val="bottom"/>
          </w:tcPr>
          <w:p>
            <w:pPr>
              <w:ind w:left="160"/>
              <w:spacing w:after="0"/>
              <w:rPr>
                <w:sz w:val="20"/>
                <w:szCs w:val="20"/>
                <w:color w:val="auto"/>
              </w:rPr>
            </w:pPr>
            <w:r>
              <w:rPr>
                <w:rFonts w:ascii="Arial" w:cs="Arial" w:eastAsia="Arial" w:hAnsi="Arial"/>
                <w:sz w:val="13"/>
                <w:szCs w:val="13"/>
                <w:b w:val="1"/>
                <w:bCs w:val="1"/>
                <w:color w:val="auto"/>
              </w:rPr>
              <w:t>Hedging Instruments</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Forward currency contracts</w:t>
            </w:r>
          </w:p>
        </w:tc>
        <w:tc>
          <w:tcPr>
            <w:tcW w:w="1600" w:type="dxa"/>
            <w:vAlign w:val="bottom"/>
            <w:gridSpan w:val="3"/>
          </w:tcPr>
          <w:p>
            <w:pPr>
              <w:jc w:val="right"/>
              <w:ind w:right="560"/>
              <w:spacing w:after="0" w:line="135" w:lineRule="exact"/>
              <w:rPr>
                <w:sz w:val="20"/>
                <w:szCs w:val="20"/>
                <w:color w:val="auto"/>
              </w:rPr>
            </w:pPr>
            <w:r>
              <w:rPr>
                <w:rFonts w:ascii="Arial" w:cs="Arial" w:eastAsia="Arial" w:hAnsi="Arial"/>
                <w:sz w:val="13"/>
                <w:szCs w:val="13"/>
                <w:color w:val="auto"/>
                <w:w w:val="97"/>
              </w:rPr>
              <w:t>Prepaid expenses</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4,965</w:t>
            </w:r>
          </w:p>
        </w:tc>
        <w:tc>
          <w:tcPr>
            <w:tcW w:w="1420" w:type="dxa"/>
            <w:vAlign w:val="bottom"/>
            <w:gridSpan w:val="2"/>
          </w:tcPr>
          <w:p>
            <w:pPr>
              <w:jc w:val="right"/>
              <w:ind w:right="540"/>
              <w:spacing w:after="0" w:line="135" w:lineRule="exact"/>
              <w:rPr>
                <w:sz w:val="20"/>
                <w:szCs w:val="20"/>
                <w:color w:val="auto"/>
              </w:rPr>
            </w:pPr>
            <w:r>
              <w:rPr>
                <w:rFonts w:ascii="Arial" w:cs="Arial" w:eastAsia="Arial" w:hAnsi="Arial"/>
                <w:sz w:val="13"/>
                <w:szCs w:val="13"/>
                <w:color w:val="auto"/>
                <w:w w:val="82"/>
              </w:rPr>
              <w:t>Prepaid expenses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40"/>
              <w:spacing w:after="0" w:line="135" w:lineRule="exact"/>
              <w:rPr>
                <w:sz w:val="20"/>
                <w:szCs w:val="20"/>
                <w:color w:val="auto"/>
              </w:rPr>
            </w:pPr>
            <w:r>
              <w:rPr>
                <w:rFonts w:ascii="Arial" w:cs="Arial" w:eastAsia="Arial" w:hAnsi="Arial"/>
                <w:sz w:val="13"/>
                <w:szCs w:val="13"/>
                <w:color w:val="auto"/>
                <w:w w:val="76"/>
              </w:rPr>
              <w:t>—</w:t>
            </w:r>
          </w:p>
        </w:tc>
        <w:tc>
          <w:tcPr>
            <w:tcW w:w="180" w:type="dxa"/>
            <w:vAlign w:val="bottom"/>
          </w:tcPr>
          <w:p>
            <w:pPr>
              <w:spacing w:after="0"/>
              <w:rPr>
                <w:sz w:val="11"/>
                <w:szCs w:val="11"/>
                <w:color w:val="auto"/>
              </w:rPr>
            </w:pPr>
          </w:p>
        </w:tc>
        <w:tc>
          <w:tcPr>
            <w:tcW w:w="1440" w:type="dxa"/>
            <w:vAlign w:val="bottom"/>
            <w:gridSpan w:val="2"/>
          </w:tcPr>
          <w:p>
            <w:pPr>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(442)</w:t>
            </w:r>
          </w:p>
        </w:tc>
        <w:tc>
          <w:tcPr>
            <w:tcW w:w="1400" w:type="dxa"/>
            <w:vAlign w:val="bottom"/>
            <w:gridSpan w:val="2"/>
          </w:tcPr>
          <w:p>
            <w:pPr>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w:t>
            </w:r>
          </w:p>
        </w:tc>
        <w:tc>
          <w:tcPr>
            <w:tcW w:w="1600" w:type="dxa"/>
            <w:vAlign w:val="bottom"/>
            <w:gridSpan w:val="3"/>
            <w:shd w:val="clear" w:color="auto" w:fill="CCEEFF"/>
          </w:tcPr>
          <w:p>
            <w:pPr>
              <w:jc w:val="right"/>
              <w:ind w:right="560"/>
              <w:spacing w:after="0" w:line="135" w:lineRule="exact"/>
              <w:rPr>
                <w:sz w:val="20"/>
                <w:szCs w:val="20"/>
                <w:color w:val="auto"/>
              </w:rPr>
            </w:pPr>
            <w:r>
              <w:rPr>
                <w:rFonts w:ascii="Arial" w:cs="Arial" w:eastAsia="Arial" w:hAnsi="Arial"/>
                <w:sz w:val="13"/>
                <w:szCs w:val="13"/>
                <w:color w:val="auto"/>
                <w:w w:val="97"/>
              </w:rPr>
              <w:t>Prepaid expenses</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2,070</w:t>
            </w:r>
          </w:p>
        </w:tc>
        <w:tc>
          <w:tcPr>
            <w:tcW w:w="1420" w:type="dxa"/>
            <w:vAlign w:val="bottom"/>
            <w:gridSpan w:val="2"/>
            <w:shd w:val="clear" w:color="auto" w:fill="CCEEFF"/>
          </w:tcPr>
          <w:p>
            <w:pPr>
              <w:jc w:val="right"/>
              <w:ind w:right="540"/>
              <w:spacing w:after="0" w:line="135" w:lineRule="exact"/>
              <w:rPr>
                <w:sz w:val="20"/>
                <w:szCs w:val="20"/>
                <w:color w:val="auto"/>
              </w:rPr>
            </w:pPr>
            <w:r>
              <w:rPr>
                <w:rFonts w:ascii="Arial" w:cs="Arial" w:eastAsia="Arial" w:hAnsi="Arial"/>
                <w:sz w:val="13"/>
                <w:szCs w:val="13"/>
                <w:color w:val="auto"/>
                <w:w w:val="82"/>
              </w:rPr>
              <w:t>Prepaid expenses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76"/>
              </w:rPr>
              <w:t>—</w:t>
            </w: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Derivatives</w:t>
            </w: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9,900</w:t>
            </w: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76"/>
              </w:rPr>
              <w:t>—</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1,304</w:t>
            </w: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designated as cash flow hedging instruments for the three and six months ended May 1, 2015 and May 2, 2014,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Location of Gain (Loss)</w:t>
            </w:r>
          </w:p>
        </w:tc>
        <w:tc>
          <w:tcPr>
            <w:tcW w:w="100" w:type="dxa"/>
            <w:vAlign w:val="bottom"/>
          </w:tcPr>
          <w:p>
            <w:pPr>
              <w:spacing w:after="0"/>
              <w:rPr>
                <w:sz w:val="12"/>
                <w:szCs w:val="12"/>
                <w:color w:val="auto"/>
              </w:rPr>
            </w:pPr>
          </w:p>
        </w:tc>
        <w:tc>
          <w:tcPr>
            <w:tcW w:w="1480" w:type="dxa"/>
            <w:vAlign w:val="bottom"/>
            <w:gridSpan w:val="6"/>
          </w:tcPr>
          <w:p>
            <w:pPr>
              <w:jc w:val="center"/>
              <w:ind w:right="118"/>
              <w:spacing w:after="0"/>
              <w:rPr>
                <w:sz w:val="20"/>
                <w:szCs w:val="20"/>
                <w:color w:val="auto"/>
              </w:rPr>
            </w:pPr>
            <w:r>
              <w:rPr>
                <w:rFonts w:ascii="Arial" w:cs="Arial" w:eastAsia="Arial" w:hAnsi="Arial"/>
                <w:sz w:val="13"/>
                <w:szCs w:val="13"/>
                <w:b w:val="1"/>
                <w:bCs w:val="1"/>
                <w:color w:val="auto"/>
                <w:w w:val="89"/>
              </w:rPr>
              <w:t>Gain (Loss)</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Location of Gain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100" w:type="dxa"/>
            <w:vAlign w:val="bottom"/>
          </w:tcPr>
          <w:p>
            <w:pPr>
              <w:spacing w:after="0"/>
              <w:rPr>
                <w:sz w:val="11"/>
                <w:szCs w:val="11"/>
                <w:color w:val="auto"/>
              </w:rPr>
            </w:pPr>
          </w:p>
        </w:tc>
        <w:tc>
          <w:tcPr>
            <w:tcW w:w="1480" w:type="dxa"/>
            <w:vAlign w:val="bottom"/>
            <w:gridSpan w:val="6"/>
          </w:tcPr>
          <w:p>
            <w:pPr>
              <w:jc w:val="center"/>
              <w:ind w:right="118"/>
              <w:spacing w:after="0" w:line="135" w:lineRule="exact"/>
              <w:rPr>
                <w:sz w:val="20"/>
                <w:szCs w:val="20"/>
                <w:color w:val="auto"/>
              </w:rPr>
            </w:pPr>
            <w:r>
              <w:rPr>
                <w:rFonts w:ascii="Arial" w:cs="Arial" w:eastAsia="Arial" w:hAnsi="Arial"/>
                <w:sz w:val="13"/>
                <w:szCs w:val="13"/>
                <w:b w:val="1"/>
                <w:bCs w:val="1"/>
                <w:color w:val="auto"/>
                <w:w w:val="87"/>
              </w:rPr>
              <w:t>Recognized in Income</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6"/>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Gain (Loss)</w:t>
            </w:r>
          </w:p>
        </w:tc>
        <w:tc>
          <w:tcPr>
            <w:tcW w:w="15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(Loss) Reclassified</w:t>
            </w:r>
          </w:p>
        </w:tc>
        <w:tc>
          <w:tcPr>
            <w:tcW w:w="120" w:type="dxa"/>
            <w:vAlign w:val="bottom"/>
          </w:tcPr>
          <w:p>
            <w:pPr>
              <w:spacing w:after="0"/>
              <w:rPr>
                <w:sz w:val="11"/>
                <w:szCs w:val="11"/>
                <w:color w:val="auto"/>
              </w:rPr>
            </w:pPr>
          </w:p>
        </w:tc>
        <w:tc>
          <w:tcPr>
            <w:tcW w:w="1500" w:type="dxa"/>
            <w:vAlign w:val="bottom"/>
            <w:gridSpan w:val="5"/>
          </w:tcPr>
          <w:p>
            <w:pPr>
              <w:ind w:left="320"/>
              <w:spacing w:after="0" w:line="135" w:lineRule="exact"/>
              <w:rPr>
                <w:sz w:val="20"/>
                <w:szCs w:val="20"/>
                <w:color w:val="auto"/>
              </w:rPr>
            </w:pPr>
            <w:r>
              <w:rPr>
                <w:rFonts w:ascii="Arial" w:cs="Arial" w:eastAsia="Arial" w:hAnsi="Arial"/>
                <w:sz w:val="13"/>
                <w:szCs w:val="13"/>
                <w:b w:val="1"/>
                <w:bCs w:val="1"/>
                <w:color w:val="auto"/>
              </w:rPr>
              <w:t>Gain (Loss)</w:t>
            </w:r>
          </w:p>
        </w:tc>
        <w:tc>
          <w:tcPr>
            <w:tcW w:w="60" w:type="dxa"/>
            <w:vAlign w:val="bottom"/>
          </w:tcPr>
          <w:p>
            <w:pPr>
              <w:spacing w:after="0"/>
              <w:rPr>
                <w:sz w:val="11"/>
                <w:szCs w:val="11"/>
                <w:color w:val="auto"/>
              </w:rPr>
            </w:pPr>
          </w:p>
        </w:tc>
        <w:tc>
          <w:tcPr>
            <w:tcW w:w="17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100" w:type="dxa"/>
            <w:vAlign w:val="bottom"/>
          </w:tcPr>
          <w:p>
            <w:pPr>
              <w:spacing w:after="0"/>
              <w:rPr>
                <w:sz w:val="11"/>
                <w:szCs w:val="11"/>
                <w:color w:val="auto"/>
              </w:rPr>
            </w:pPr>
          </w:p>
        </w:tc>
        <w:tc>
          <w:tcPr>
            <w:tcW w:w="1480" w:type="dxa"/>
            <w:vAlign w:val="bottom"/>
            <w:gridSpan w:val="6"/>
          </w:tcPr>
          <w:p>
            <w:pPr>
              <w:jc w:val="center"/>
              <w:ind w:right="118"/>
              <w:spacing w:after="0" w:line="135" w:lineRule="exact"/>
              <w:rPr>
                <w:sz w:val="20"/>
                <w:szCs w:val="20"/>
                <w:color w:val="auto"/>
              </w:rPr>
            </w:pPr>
            <w:r>
              <w:rPr>
                <w:rFonts w:ascii="Arial" w:cs="Arial" w:eastAsia="Arial" w:hAnsi="Arial"/>
                <w:sz w:val="13"/>
                <w:szCs w:val="13"/>
                <w:b w:val="1"/>
                <w:bCs w:val="1"/>
                <w:color w:val="auto"/>
                <w:w w:val="85"/>
              </w:rPr>
              <w:t>on Derivatives</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6"/>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Recognized in OCI on</w:t>
            </w:r>
          </w:p>
        </w:tc>
        <w:tc>
          <w:tcPr>
            <w:tcW w:w="15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from AOCL</w:t>
            </w:r>
          </w:p>
        </w:tc>
        <w:tc>
          <w:tcPr>
            <w:tcW w:w="120" w:type="dxa"/>
            <w:vAlign w:val="bottom"/>
          </w:tcPr>
          <w:p>
            <w:pPr>
              <w:spacing w:after="0"/>
              <w:rPr>
                <w:sz w:val="11"/>
                <w:szCs w:val="11"/>
                <w:color w:val="auto"/>
              </w:rPr>
            </w:pPr>
          </w:p>
        </w:tc>
        <w:tc>
          <w:tcPr>
            <w:tcW w:w="150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Reclassified from</w:t>
            </w:r>
          </w:p>
        </w:tc>
        <w:tc>
          <w:tcPr>
            <w:tcW w:w="6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(Ineffective Portion</w:t>
            </w:r>
          </w:p>
        </w:tc>
        <w:tc>
          <w:tcPr>
            <w:tcW w:w="100" w:type="dxa"/>
            <w:vAlign w:val="bottom"/>
          </w:tcPr>
          <w:p>
            <w:pPr>
              <w:spacing w:after="0"/>
              <w:rPr>
                <w:sz w:val="11"/>
                <w:szCs w:val="11"/>
                <w:color w:val="auto"/>
              </w:rPr>
            </w:pPr>
          </w:p>
        </w:tc>
        <w:tc>
          <w:tcPr>
            <w:tcW w:w="1480" w:type="dxa"/>
            <w:vAlign w:val="bottom"/>
            <w:gridSpan w:val="6"/>
          </w:tcPr>
          <w:p>
            <w:pPr>
              <w:jc w:val="center"/>
              <w:ind w:right="118"/>
              <w:spacing w:after="0" w:line="135" w:lineRule="exact"/>
              <w:rPr>
                <w:sz w:val="20"/>
                <w:szCs w:val="20"/>
                <w:color w:val="auto"/>
              </w:rPr>
            </w:pPr>
            <w:r>
              <w:rPr>
                <w:rFonts w:ascii="Arial" w:cs="Arial" w:eastAsia="Arial" w:hAnsi="Arial"/>
                <w:sz w:val="13"/>
                <w:szCs w:val="13"/>
                <w:b w:val="1"/>
                <w:bCs w:val="1"/>
                <w:color w:val="auto"/>
                <w:w w:val="88"/>
              </w:rPr>
              <w:t>(Ineffective Portion and</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6"/>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Derivatives</w:t>
            </w:r>
          </w:p>
        </w:tc>
        <w:tc>
          <w:tcPr>
            <w:tcW w:w="15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into Income</w:t>
            </w:r>
          </w:p>
        </w:tc>
        <w:tc>
          <w:tcPr>
            <w:tcW w:w="120" w:type="dxa"/>
            <w:vAlign w:val="bottom"/>
          </w:tcPr>
          <w:p>
            <w:pPr>
              <w:spacing w:after="0"/>
              <w:rPr>
                <w:sz w:val="11"/>
                <w:szCs w:val="11"/>
                <w:color w:val="auto"/>
              </w:rPr>
            </w:pPr>
          </w:p>
        </w:tc>
        <w:tc>
          <w:tcPr>
            <w:tcW w:w="150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AOCL into Income</w:t>
            </w:r>
          </w:p>
        </w:tc>
        <w:tc>
          <w:tcPr>
            <w:tcW w:w="6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and excluded from</w:t>
            </w:r>
          </w:p>
        </w:tc>
        <w:tc>
          <w:tcPr>
            <w:tcW w:w="100" w:type="dxa"/>
            <w:vAlign w:val="bottom"/>
          </w:tcPr>
          <w:p>
            <w:pPr>
              <w:spacing w:after="0"/>
              <w:rPr>
                <w:sz w:val="11"/>
                <w:szCs w:val="11"/>
                <w:color w:val="auto"/>
              </w:rPr>
            </w:pPr>
          </w:p>
        </w:tc>
        <w:tc>
          <w:tcPr>
            <w:tcW w:w="1480" w:type="dxa"/>
            <w:vAlign w:val="bottom"/>
            <w:gridSpan w:val="6"/>
          </w:tcPr>
          <w:p>
            <w:pPr>
              <w:jc w:val="center"/>
              <w:ind w:right="118"/>
              <w:spacing w:after="0" w:line="135" w:lineRule="exact"/>
              <w:rPr>
                <w:sz w:val="20"/>
                <w:szCs w:val="20"/>
                <w:color w:val="auto"/>
              </w:rPr>
            </w:pPr>
            <w:r>
              <w:rPr>
                <w:rFonts w:ascii="Arial" w:cs="Arial" w:eastAsia="Arial" w:hAnsi="Arial"/>
                <w:sz w:val="13"/>
                <w:szCs w:val="13"/>
                <w:b w:val="1"/>
                <w:bCs w:val="1"/>
                <w:color w:val="auto"/>
                <w:w w:val="88"/>
              </w:rPr>
              <w:t>Excluded from</w:t>
            </w:r>
          </w:p>
        </w:tc>
        <w:tc>
          <w:tcPr>
            <w:tcW w:w="0" w:type="dxa"/>
            <w:vAlign w:val="bottom"/>
          </w:tcPr>
          <w:p>
            <w:pPr>
              <w:spacing w:after="0"/>
              <w:rPr>
                <w:sz w:val="1"/>
                <w:szCs w:val="1"/>
                <w:color w:val="auto"/>
              </w:rPr>
            </w:pPr>
          </w:p>
        </w:tc>
      </w:tr>
      <w:tr>
        <w:trPr>
          <w:trHeight w:val="153"/>
        </w:trPr>
        <w:tc>
          <w:tcPr>
            <w:tcW w:w="2200" w:type="dxa"/>
            <w:vAlign w:val="bottom"/>
            <w:vMerge w:val="restart"/>
          </w:tcPr>
          <w:p>
            <w:pPr>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89"/>
              </w:rPr>
              <w:t>(Effective Portion)</w:t>
            </w:r>
          </w:p>
        </w:tc>
        <w:tc>
          <w:tcPr>
            <w:tcW w:w="15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(Effective Portion)</w:t>
            </w:r>
          </w:p>
        </w:tc>
        <w:tc>
          <w:tcPr>
            <w:tcW w:w="120" w:type="dxa"/>
            <w:vAlign w:val="bottom"/>
          </w:tcPr>
          <w:p>
            <w:pPr>
              <w:spacing w:after="0"/>
              <w:rPr>
                <w:sz w:val="13"/>
                <w:szCs w:val="13"/>
                <w:color w:val="auto"/>
              </w:rPr>
            </w:pPr>
          </w:p>
        </w:tc>
        <w:tc>
          <w:tcPr>
            <w:tcW w:w="150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89"/>
              </w:rPr>
              <w:t>(Effective Portion)</w:t>
            </w:r>
          </w:p>
        </w:tc>
        <w:tc>
          <w:tcPr>
            <w:tcW w:w="60" w:type="dxa"/>
            <w:vAlign w:val="bottom"/>
          </w:tcPr>
          <w:p>
            <w:pPr>
              <w:spacing w:after="0"/>
              <w:rPr>
                <w:sz w:val="13"/>
                <w:szCs w:val="13"/>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Effectiveness Testing)</w:t>
            </w:r>
          </w:p>
        </w:tc>
        <w:tc>
          <w:tcPr>
            <w:tcW w:w="100" w:type="dxa"/>
            <w:vAlign w:val="bottom"/>
          </w:tcPr>
          <w:p>
            <w:pPr>
              <w:spacing w:after="0"/>
              <w:rPr>
                <w:sz w:val="13"/>
                <w:szCs w:val="13"/>
                <w:color w:val="auto"/>
              </w:rPr>
            </w:pPr>
          </w:p>
        </w:tc>
        <w:tc>
          <w:tcPr>
            <w:tcW w:w="1480" w:type="dxa"/>
            <w:vAlign w:val="bottom"/>
            <w:gridSpan w:val="6"/>
          </w:tcPr>
          <w:p>
            <w:pPr>
              <w:jc w:val="center"/>
              <w:ind w:right="118"/>
              <w:spacing w:after="0"/>
              <w:rPr>
                <w:sz w:val="20"/>
                <w:szCs w:val="20"/>
                <w:color w:val="auto"/>
              </w:rPr>
            </w:pPr>
            <w:r>
              <w:rPr>
                <w:rFonts w:ascii="Arial" w:cs="Arial" w:eastAsia="Arial" w:hAnsi="Arial"/>
                <w:sz w:val="13"/>
                <w:szCs w:val="13"/>
                <w:b w:val="1"/>
                <w:bCs w:val="1"/>
                <w:color w:val="auto"/>
                <w:w w:val="84"/>
              </w:rPr>
              <w:t>Effectiveness Testing)</w:t>
            </w:r>
          </w:p>
        </w:tc>
        <w:tc>
          <w:tcPr>
            <w:tcW w:w="0" w:type="dxa"/>
            <w:vAlign w:val="bottom"/>
          </w:tcPr>
          <w:p>
            <w:pPr>
              <w:spacing w:after="0"/>
              <w:rPr>
                <w:sz w:val="1"/>
                <w:szCs w:val="1"/>
                <w:color w:val="auto"/>
              </w:rPr>
            </w:pPr>
          </w:p>
        </w:tc>
      </w:tr>
      <w:tr>
        <w:trPr>
          <w:trHeight w:val="110"/>
        </w:trPr>
        <w:tc>
          <w:tcPr>
            <w:tcW w:w="22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7"/>
              </w:rPr>
              <w:t>May 1,</w:t>
            </w: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ind w:right="57"/>
              <w:spacing w:after="0" w:line="110" w:lineRule="exact"/>
              <w:rPr>
                <w:sz w:val="20"/>
                <w:szCs w:val="20"/>
                <w:color w:val="auto"/>
              </w:rPr>
            </w:pPr>
            <w:r>
              <w:rPr>
                <w:rFonts w:ascii="Arial" w:cs="Arial" w:eastAsia="Arial" w:hAnsi="Arial"/>
                <w:sz w:val="12"/>
                <w:szCs w:val="12"/>
                <w:b w:val="1"/>
                <w:bCs w:val="1"/>
                <w:color w:val="auto"/>
                <w:w w:val="97"/>
              </w:rPr>
              <w:t>May 2,</w:t>
            </w:r>
          </w:p>
        </w:tc>
        <w:tc>
          <w:tcPr>
            <w:tcW w:w="160" w:type="dxa"/>
            <w:vAlign w:val="bottom"/>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7"/>
              </w:rPr>
              <w:t>May 1,</w:t>
            </w: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center"/>
              <w:ind w:right="37"/>
              <w:spacing w:after="0" w:line="110" w:lineRule="exact"/>
              <w:rPr>
                <w:sz w:val="20"/>
                <w:szCs w:val="20"/>
                <w:color w:val="auto"/>
              </w:rPr>
            </w:pPr>
            <w:r>
              <w:rPr>
                <w:rFonts w:ascii="Arial" w:cs="Arial" w:eastAsia="Arial" w:hAnsi="Arial"/>
                <w:sz w:val="12"/>
                <w:szCs w:val="12"/>
                <w:b w:val="1"/>
                <w:bCs w:val="1"/>
                <w:color w:val="auto"/>
              </w:rPr>
              <w:t>May 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7"/>
              </w:rPr>
              <w:t>May 1,</w:t>
            </w: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ind w:right="38"/>
              <w:spacing w:after="0" w:line="110" w:lineRule="exact"/>
              <w:rPr>
                <w:sz w:val="20"/>
                <w:szCs w:val="20"/>
                <w:color w:val="auto"/>
              </w:rPr>
            </w:pPr>
            <w:r>
              <w:rPr>
                <w:rFonts w:ascii="Arial" w:cs="Arial" w:eastAsia="Arial" w:hAnsi="Arial"/>
                <w:sz w:val="12"/>
                <w:szCs w:val="12"/>
                <w:b w:val="1"/>
                <w:bCs w:val="1"/>
                <w:color w:val="auto"/>
                <w:w w:val="97"/>
              </w:rPr>
              <w:t>May 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For the three months ended</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2015</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2014</w:t>
            </w:r>
          </w:p>
        </w:tc>
        <w:tc>
          <w:tcPr>
            <w:tcW w:w="16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2015</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2015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2"/>
              </w:rPr>
              <w:t>2014</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(4,474)</w:t>
            </w: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(1,152)</w:t>
            </w:r>
          </w:p>
        </w:tc>
        <w:tc>
          <w:tcPr>
            <w:tcW w:w="16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Net sales</w:t>
            </w:r>
          </w:p>
        </w:tc>
        <w:tc>
          <w:tcPr>
            <w:tcW w:w="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CCEEFF"/>
            </w:tcBorders>
            <w:shd w:val="clear" w:color="auto" w:fill="CCEEFF"/>
          </w:tcPr>
          <w:p>
            <w:pPr>
              <w:ind w:left="280"/>
              <w:spacing w:after="0" w:line="129" w:lineRule="exact"/>
              <w:rPr>
                <w:sz w:val="20"/>
                <w:szCs w:val="20"/>
                <w:color w:val="auto"/>
              </w:rPr>
            </w:pPr>
            <w:r>
              <w:rPr>
                <w:rFonts w:ascii="Arial" w:cs="Arial" w:eastAsia="Arial" w:hAnsi="Arial"/>
                <w:sz w:val="13"/>
                <w:szCs w:val="13"/>
                <w:color w:val="auto"/>
                <w:w w:val="79"/>
              </w:rPr>
              <w:t>5,926</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(318)</w:t>
            </w:r>
          </w:p>
        </w:tc>
        <w:tc>
          <w:tcPr>
            <w:tcW w:w="100" w:type="dxa"/>
            <w:vAlign w:val="bottom"/>
            <w:tcBorders>
              <w:bottom w:val="single" w:sz="8" w:color="CCEEFF"/>
            </w:tcBorders>
            <w:shd w:val="clear" w:color="auto" w:fill="CCEEFF"/>
          </w:tcPr>
          <w:p>
            <w:pPr>
              <w:spacing w:after="0"/>
              <w:rPr>
                <w:sz w:val="11"/>
                <w:szCs w:val="11"/>
                <w:color w:val="auto"/>
              </w:rPr>
            </w:pPr>
          </w:p>
        </w:tc>
        <w:tc>
          <w:tcPr>
            <w:tcW w:w="1820" w:type="dxa"/>
            <w:vAlign w:val="bottom"/>
            <w:tcBorders>
              <w:bottom w:val="single" w:sz="8" w:color="CCEEFF"/>
            </w:tcBorders>
            <w:gridSpan w:val="3"/>
            <w:shd w:val="clear" w:color="auto" w:fill="CCEEFF"/>
          </w:tcPr>
          <w:p>
            <w:pPr>
              <w:ind w:left="60"/>
              <w:spacing w:after="0" w:line="129" w:lineRule="exact"/>
              <w:rPr>
                <w:sz w:val="20"/>
                <w:szCs w:val="20"/>
                <w:color w:val="auto"/>
              </w:rPr>
            </w:pPr>
            <w:r>
              <w:rPr>
                <w:rFonts w:ascii="Arial" w:cs="Arial" w:eastAsia="Arial" w:hAnsi="Arial"/>
                <w:sz w:val="13"/>
                <w:szCs w:val="13"/>
                <w:color w:val="auto"/>
              </w:rPr>
              <w:t>Other income,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(230)</w:t>
            </w:r>
          </w:p>
        </w:tc>
        <w:tc>
          <w:tcPr>
            <w:tcW w:w="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line="129" w:lineRule="exact"/>
              <w:rPr>
                <w:sz w:val="20"/>
                <w:szCs w:val="20"/>
                <w:color w:val="auto"/>
              </w:rPr>
            </w:pPr>
            <w:r>
              <w:rPr>
                <w:rFonts w:ascii="Arial" w:cs="Arial" w:eastAsia="Arial" w:hAnsi="Arial"/>
                <w:sz w:val="13"/>
                <w:szCs w:val="13"/>
                <w:color w:val="auto"/>
              </w:rPr>
              <w:t>202</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jc w:val="right"/>
              <w:ind w:right="160"/>
              <w:spacing w:after="0" w:line="129" w:lineRule="exact"/>
              <w:rPr>
                <w:sz w:val="20"/>
                <w:szCs w:val="20"/>
                <w:color w:val="auto"/>
              </w:rPr>
            </w:pPr>
            <w:r>
              <w:rPr>
                <w:rFonts w:ascii="Arial" w:cs="Arial" w:eastAsia="Arial" w:hAnsi="Arial"/>
                <w:sz w:val="13"/>
                <w:szCs w:val="13"/>
                <w:color w:val="auto"/>
              </w:rPr>
              <w:t>282</w:t>
            </w:r>
          </w:p>
        </w:tc>
        <w:tc>
          <w:tcPr>
            <w:tcW w:w="152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Cost of sales</w:t>
            </w: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340"/>
              <w:spacing w:after="0" w:line="129" w:lineRule="exact"/>
              <w:rPr>
                <w:sz w:val="20"/>
                <w:szCs w:val="20"/>
                <w:color w:val="auto"/>
              </w:rPr>
            </w:pPr>
            <w:r>
              <w:rPr>
                <w:rFonts w:ascii="Arial" w:cs="Arial" w:eastAsia="Arial" w:hAnsi="Arial"/>
                <w:sz w:val="13"/>
                <w:szCs w:val="13"/>
                <w:color w:val="auto"/>
              </w:rPr>
              <w:t>(678)</w:t>
            </w: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line="129" w:lineRule="exact"/>
              <w:rPr>
                <w:sz w:val="20"/>
                <w:szCs w:val="20"/>
                <w:color w:val="auto"/>
              </w:rPr>
            </w:pPr>
            <w:r>
              <w:rPr>
                <w:rFonts w:ascii="Arial" w:cs="Arial" w:eastAsia="Arial" w:hAnsi="Arial"/>
                <w:sz w:val="13"/>
                <w:szCs w:val="13"/>
                <w:color w:val="auto"/>
              </w:rPr>
              <w:t>(15)</w:t>
            </w: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contracts</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148</w:t>
            </w: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Other income, net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(350)</w:t>
            </w:r>
          </w:p>
        </w:tc>
        <w:tc>
          <w:tcPr>
            <w:tcW w:w="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line="129" w:lineRule="exact"/>
              <w:rPr>
                <w:sz w:val="20"/>
                <w:szCs w:val="20"/>
                <w:color w:val="auto"/>
              </w:rPr>
            </w:pPr>
            <w:r>
              <w:rPr>
                <w:rFonts w:ascii="Arial" w:cs="Arial" w:eastAsia="Arial" w:hAnsi="Arial"/>
                <w:sz w:val="13"/>
                <w:szCs w:val="13"/>
                <w:color w:val="auto"/>
              </w:rPr>
              <w:t>Total</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(4,118)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(722)</w:t>
            </w: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ind w:left="280"/>
              <w:spacing w:after="0" w:line="129" w:lineRule="exact"/>
              <w:rPr>
                <w:sz w:val="20"/>
                <w:szCs w:val="20"/>
                <w:color w:val="auto"/>
              </w:rPr>
            </w:pPr>
            <w:r>
              <w:rPr>
                <w:rFonts w:ascii="Arial" w:cs="Arial" w:eastAsia="Arial" w:hAnsi="Arial"/>
                <w:sz w:val="13"/>
                <w:szCs w:val="13"/>
                <w:color w:val="auto"/>
                <w:w w:val="79"/>
              </w:rPr>
              <w:t>5,054</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(683)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May 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May 2,</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May 1,</w:t>
            </w:r>
          </w:p>
        </w:tc>
        <w:tc>
          <w:tcPr>
            <w:tcW w:w="100" w:type="dxa"/>
            <w:vAlign w:val="bottom"/>
          </w:tcPr>
          <w:p>
            <w:pPr>
              <w:spacing w:after="0"/>
              <w:rPr>
                <w:sz w:val="24"/>
                <w:szCs w:val="2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May 2,</w:t>
            </w: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May 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90"/>
              </w:rPr>
              <w:t>May 2,</w:t>
            </w:r>
          </w:p>
        </w:tc>
        <w:tc>
          <w:tcPr>
            <w:tcW w:w="0" w:type="dxa"/>
            <w:vAlign w:val="bottom"/>
          </w:tcPr>
          <w:p>
            <w:pPr>
              <w:spacing w:after="0"/>
              <w:rPr>
                <w:sz w:val="1"/>
                <w:szCs w:val="1"/>
                <w:color w:val="auto"/>
              </w:rPr>
            </w:pPr>
          </w:p>
        </w:tc>
      </w:tr>
      <w:tr>
        <w:trPr>
          <w:trHeight w:val="153"/>
        </w:trPr>
        <w:tc>
          <w:tcPr>
            <w:tcW w:w="2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For the six months ended</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2015</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2014</w:t>
            </w:r>
          </w:p>
        </w:tc>
        <w:tc>
          <w:tcPr>
            <w:tcW w:w="16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2015</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2015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2"/>
              </w:rPr>
              <w:t>2014</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(296)</w:t>
            </w: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742</w:t>
            </w:r>
          </w:p>
        </w:tc>
        <w:tc>
          <w:tcPr>
            <w:tcW w:w="16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Net sales</w:t>
            </w:r>
          </w:p>
        </w:tc>
        <w:tc>
          <w:tcPr>
            <w:tcW w:w="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CCEEFF"/>
            </w:tcBorders>
            <w:shd w:val="clear" w:color="auto" w:fill="CCEEFF"/>
          </w:tcPr>
          <w:p>
            <w:pPr>
              <w:ind w:left="280"/>
              <w:spacing w:after="0" w:line="129" w:lineRule="exact"/>
              <w:rPr>
                <w:sz w:val="20"/>
                <w:szCs w:val="20"/>
                <w:color w:val="auto"/>
              </w:rPr>
            </w:pPr>
            <w:r>
              <w:rPr>
                <w:rFonts w:ascii="Arial" w:cs="Arial" w:eastAsia="Arial" w:hAnsi="Arial"/>
                <w:sz w:val="13"/>
                <w:szCs w:val="13"/>
                <w:color w:val="auto"/>
                <w:w w:val="79"/>
              </w:rPr>
              <w:t>7,930</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(771)</w:t>
            </w:r>
          </w:p>
        </w:tc>
        <w:tc>
          <w:tcPr>
            <w:tcW w:w="100" w:type="dxa"/>
            <w:vAlign w:val="bottom"/>
            <w:tcBorders>
              <w:bottom w:val="single" w:sz="8" w:color="CCEEFF"/>
            </w:tcBorders>
            <w:shd w:val="clear" w:color="auto" w:fill="CCEEFF"/>
          </w:tcPr>
          <w:p>
            <w:pPr>
              <w:spacing w:after="0"/>
              <w:rPr>
                <w:sz w:val="11"/>
                <w:szCs w:val="11"/>
                <w:color w:val="auto"/>
              </w:rPr>
            </w:pPr>
          </w:p>
        </w:tc>
        <w:tc>
          <w:tcPr>
            <w:tcW w:w="1820" w:type="dxa"/>
            <w:vAlign w:val="bottom"/>
            <w:tcBorders>
              <w:bottom w:val="single" w:sz="8" w:color="CCEEFF"/>
            </w:tcBorders>
            <w:gridSpan w:val="3"/>
            <w:shd w:val="clear" w:color="auto" w:fill="CCEEFF"/>
          </w:tcPr>
          <w:p>
            <w:pPr>
              <w:ind w:left="60"/>
              <w:spacing w:after="0" w:line="129" w:lineRule="exact"/>
              <w:rPr>
                <w:sz w:val="20"/>
                <w:szCs w:val="20"/>
                <w:color w:val="auto"/>
              </w:rPr>
            </w:pPr>
            <w:r>
              <w:rPr>
                <w:rFonts w:ascii="Arial" w:cs="Arial" w:eastAsia="Arial" w:hAnsi="Arial"/>
                <w:sz w:val="13"/>
                <w:szCs w:val="13"/>
                <w:color w:val="auto"/>
              </w:rPr>
              <w:t>Other income,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restart"/>
          </w:tcPr>
          <w:p>
            <w:pPr>
              <w:jc w:val="right"/>
              <w:ind w:right="60"/>
              <w:spacing w:after="0" w:line="129" w:lineRule="exact"/>
              <w:rPr>
                <w:sz w:val="20"/>
                <w:szCs w:val="20"/>
                <w:color w:val="auto"/>
              </w:rPr>
            </w:pPr>
            <w:r>
              <w:rPr>
                <w:rFonts w:ascii="Arial" w:cs="Arial" w:eastAsia="Arial" w:hAnsi="Arial"/>
                <w:sz w:val="13"/>
                <w:szCs w:val="13"/>
                <w:color w:val="auto"/>
              </w:rPr>
              <w:t>(1,182)</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jc w:val="right"/>
              <w:ind w:right="120"/>
              <w:spacing w:after="0" w:line="129" w:lineRule="exact"/>
              <w:rPr>
                <w:sz w:val="20"/>
                <w:szCs w:val="20"/>
                <w:color w:val="auto"/>
              </w:rPr>
            </w:pPr>
            <w:r>
              <w:rPr>
                <w:rFonts w:ascii="Arial" w:cs="Arial" w:eastAsia="Arial" w:hAnsi="Arial"/>
                <w:sz w:val="13"/>
                <w:szCs w:val="13"/>
                <w:color w:val="auto"/>
              </w:rPr>
              <w:t>(117)</w:t>
            </w:r>
          </w:p>
        </w:tc>
        <w:tc>
          <w:tcPr>
            <w:tcW w:w="152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Cost of sales</w:t>
            </w: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340"/>
              <w:spacing w:after="0" w:line="129" w:lineRule="exact"/>
              <w:rPr>
                <w:sz w:val="20"/>
                <w:szCs w:val="20"/>
                <w:color w:val="auto"/>
              </w:rPr>
            </w:pPr>
            <w:r>
              <w:rPr>
                <w:rFonts w:ascii="Arial" w:cs="Arial" w:eastAsia="Arial" w:hAnsi="Arial"/>
                <w:sz w:val="13"/>
                <w:szCs w:val="13"/>
                <w:color w:val="auto"/>
              </w:rPr>
              <w:t>(991)</w:t>
            </w:r>
          </w:p>
        </w:tc>
        <w:tc>
          <w:tcPr>
            <w:tcW w:w="100" w:type="dxa"/>
            <w:vAlign w:val="bottom"/>
          </w:tcPr>
          <w:p>
            <w:pPr>
              <w:spacing w:after="0" w:line="20" w:lineRule="exact"/>
              <w:rPr>
                <w:sz w:val="1"/>
                <w:szCs w:val="1"/>
                <w:color w:val="auto"/>
              </w:rPr>
            </w:pPr>
          </w:p>
        </w:tc>
        <w:tc>
          <w:tcPr>
            <w:tcW w:w="560" w:type="dxa"/>
            <w:vAlign w:val="bottom"/>
            <w:vMerge w:val="restart"/>
          </w:tcPr>
          <w:p>
            <w:pPr>
              <w:jc w:val="right"/>
              <w:spacing w:after="0" w:line="129" w:lineRule="exact"/>
              <w:rPr>
                <w:sz w:val="20"/>
                <w:szCs w:val="20"/>
                <w:color w:val="auto"/>
              </w:rPr>
            </w:pPr>
            <w:r>
              <w:rPr>
                <w:rFonts w:ascii="Arial" w:cs="Arial" w:eastAsia="Arial" w:hAnsi="Arial"/>
                <w:sz w:val="13"/>
                <w:szCs w:val="13"/>
                <w:color w:val="auto"/>
              </w:rPr>
              <w:t>32</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contracts</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(38)</w:t>
            </w:r>
          </w:p>
        </w:tc>
        <w:tc>
          <w:tcPr>
            <w:tcW w:w="15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Other income, net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(207)</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(227)</w:t>
            </w:r>
          </w:p>
        </w:tc>
        <w:tc>
          <w:tcPr>
            <w:tcW w:w="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line="129" w:lineRule="exact"/>
              <w:rPr>
                <w:sz w:val="20"/>
                <w:szCs w:val="20"/>
                <w:color w:val="auto"/>
              </w:rPr>
            </w:pPr>
            <w:r>
              <w:rPr>
                <w:rFonts w:ascii="Arial" w:cs="Arial" w:eastAsia="Arial" w:hAnsi="Arial"/>
                <w:sz w:val="13"/>
                <w:szCs w:val="13"/>
                <w:color w:val="auto"/>
              </w:rPr>
              <w:t>Total</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(1,342)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587</w:t>
            </w: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ind w:left="280"/>
              <w:spacing w:after="0" w:line="129" w:lineRule="exact"/>
              <w:rPr>
                <w:sz w:val="20"/>
                <w:szCs w:val="20"/>
                <w:color w:val="auto"/>
              </w:rPr>
            </w:pPr>
            <w:r>
              <w:rPr>
                <w:rFonts w:ascii="Arial" w:cs="Arial" w:eastAsia="Arial" w:hAnsi="Arial"/>
                <w:sz w:val="13"/>
                <w:szCs w:val="13"/>
                <w:color w:val="auto"/>
                <w:w w:val="79"/>
              </w:rPr>
              <w:t>6,732</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(966)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 of May 1, 2015, the company expects to reclassify approximately $2.1 million of gains from AOCL to earnings during the next twelve months.</w:t>
      </w:r>
    </w:p>
    <w:p>
      <w:pPr>
        <w:spacing w:after="0" w:line="237"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4"/>
              </w:rPr>
              <w:t>Gain (Loss) Recognized in Net Earnings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Location of Gain (Loss)</w:t>
            </w:r>
          </w:p>
        </w:tc>
        <w:tc>
          <w:tcPr>
            <w:tcW w:w="180" w:type="dxa"/>
            <w:vAlign w:val="bottom"/>
          </w:tcPr>
          <w:p>
            <w:pPr>
              <w:spacing w:after="0"/>
              <w:rPr>
                <w:sz w:val="12"/>
                <w:szCs w:val="12"/>
                <w:color w:val="auto"/>
              </w:rPr>
            </w:pPr>
          </w:p>
        </w:tc>
        <w:tc>
          <w:tcPr>
            <w:tcW w:w="2320" w:type="dxa"/>
            <w:vAlign w:val="bottom"/>
            <w:gridSpan w:val="6"/>
          </w:tcPr>
          <w:p>
            <w:pPr>
              <w:jc w:val="right"/>
              <w:ind w:right="660"/>
              <w:spacing w:after="0" w:line="142" w:lineRule="exact"/>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2"/>
                <w:szCs w:val="12"/>
                <w:color w:val="auto"/>
              </w:rPr>
            </w:pPr>
          </w:p>
        </w:tc>
        <w:tc>
          <w:tcPr>
            <w:tcW w:w="2140" w:type="dxa"/>
            <w:vAlign w:val="bottom"/>
            <w:gridSpan w:val="5"/>
          </w:tcPr>
          <w:p>
            <w:pPr>
              <w:jc w:val="right"/>
              <w:ind w:right="518"/>
              <w:spacing w:after="0" w:line="142" w:lineRule="exact"/>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0" w:type="dxa"/>
            <w:vAlign w:val="bottom"/>
            <w:gridSpan w:val="2"/>
            <w:vMerge w:val="continue"/>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May 1,</w:t>
            </w: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78"/>
              <w:spacing w:after="0" w:line="119" w:lineRule="exact"/>
              <w:rPr>
                <w:sz w:val="20"/>
                <w:szCs w:val="20"/>
                <w:color w:val="auto"/>
              </w:rPr>
            </w:pPr>
            <w:r>
              <w:rPr>
                <w:rFonts w:ascii="Arial" w:cs="Arial" w:eastAsia="Arial" w:hAnsi="Arial"/>
                <w:sz w:val="13"/>
                <w:szCs w:val="13"/>
                <w:b w:val="1"/>
                <w:bCs w:val="1"/>
                <w:color w:val="auto"/>
              </w:rPr>
              <w:t>May 2,</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May 1,</w:t>
            </w:r>
          </w:p>
        </w:tc>
        <w:tc>
          <w:tcPr>
            <w:tcW w:w="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38"/>
              <w:spacing w:after="0" w:line="119" w:lineRule="exact"/>
              <w:rPr>
                <w:sz w:val="20"/>
                <w:szCs w:val="20"/>
                <w:color w:val="auto"/>
              </w:rPr>
            </w:pPr>
            <w:r>
              <w:rPr>
                <w:rFonts w:ascii="Arial" w:cs="Arial" w:eastAsia="Arial" w:hAnsi="Arial"/>
                <w:sz w:val="13"/>
                <w:szCs w:val="13"/>
                <w:b w:val="1"/>
                <w:bCs w:val="1"/>
                <w:color w:val="auto"/>
              </w:rPr>
              <w:t>May 2,</w:t>
            </w: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2"/>
            <w:vMerge w:val="continue"/>
          </w:tcPr>
          <w:p>
            <w:pPr>
              <w:spacing w:after="0"/>
              <w:rPr>
                <w:sz w:val="14"/>
                <w:szCs w:val="14"/>
                <w:color w:val="auto"/>
              </w:rPr>
            </w:pPr>
          </w:p>
        </w:tc>
        <w:tc>
          <w:tcPr>
            <w:tcW w:w="2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Recognized in Net Earnings</w:t>
            </w:r>
          </w:p>
        </w:tc>
        <w:tc>
          <w:tcPr>
            <w:tcW w:w="180" w:type="dxa"/>
            <w:vAlign w:val="bottom"/>
          </w:tcPr>
          <w:p>
            <w:pPr>
              <w:spacing w:after="0"/>
              <w:rPr>
                <w:sz w:val="14"/>
                <w:szCs w:val="14"/>
                <w:color w:val="auto"/>
              </w:rPr>
            </w:pPr>
          </w:p>
        </w:tc>
        <w:tc>
          <w:tcPr>
            <w:tcW w:w="800" w:type="dxa"/>
            <w:vAlign w:val="bottom"/>
          </w:tcPr>
          <w:p>
            <w:pPr>
              <w:jc w:val="right"/>
              <w:ind w:right="27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58"/>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98"/>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Forward currency contracts</w:t>
            </w:r>
          </w:p>
        </w:tc>
        <w:tc>
          <w:tcPr>
            <w:tcW w:w="2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6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7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contracts at the net amount in its consolidated balance sheets.</w:t>
      </w:r>
    </w:p>
    <w:p>
      <w:pPr>
        <w:spacing w:after="0" w:line="158"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The following tables show the effects of the master netting arrangements on the fair value of the company’s derivative contracts that are recorded in the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Assets</w:t>
            </w:r>
          </w:p>
        </w:tc>
        <w:tc>
          <w:tcPr>
            <w:tcW w:w="1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Liabilities</w:t>
            </w:r>
          </w:p>
        </w:tc>
        <w:tc>
          <w:tcPr>
            <w:tcW w:w="1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Gross Amounts</w:t>
            </w:r>
          </w:p>
        </w:tc>
        <w:tc>
          <w:tcPr>
            <w:tcW w:w="14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Gross Liabilities</w:t>
            </w:r>
          </w:p>
        </w:tc>
        <w:tc>
          <w:tcPr>
            <w:tcW w:w="1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Net Amounts</w:t>
            </w:r>
          </w:p>
        </w:tc>
        <w:tc>
          <w:tcPr>
            <w:tcW w:w="180" w:type="dxa"/>
            <w:vAlign w:val="bottom"/>
          </w:tcPr>
          <w:p>
            <w:pPr>
              <w:spacing w:after="0"/>
              <w:rPr>
                <w:sz w:val="10"/>
                <w:szCs w:val="10"/>
                <w:color w:val="auto"/>
              </w:rPr>
            </w:pPr>
          </w:p>
        </w:tc>
        <w:tc>
          <w:tcPr>
            <w:tcW w:w="13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Gross Amounts</w:t>
            </w:r>
          </w:p>
        </w:tc>
        <w:tc>
          <w:tcPr>
            <w:tcW w:w="12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3"/>
              </w:rPr>
              <w:t>Gross Assets</w:t>
            </w:r>
          </w:p>
        </w:tc>
        <w:tc>
          <w:tcPr>
            <w:tcW w:w="1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Net Amounts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gridSpan w:val="2"/>
            <w:vMerge w:val="continue"/>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of Assets Presented</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Liabilities Presented</w:t>
            </w:r>
          </w:p>
        </w:tc>
        <w:tc>
          <w:tcPr>
            <w:tcW w:w="0" w:type="dxa"/>
            <w:vAlign w:val="bottom"/>
          </w:tcPr>
          <w:p>
            <w:pPr>
              <w:spacing w:after="0"/>
              <w:rPr>
                <w:sz w:val="1"/>
                <w:szCs w:val="1"/>
                <w:color w:val="auto"/>
              </w:rPr>
            </w:pPr>
          </w:p>
        </w:tc>
      </w:tr>
      <w:tr>
        <w:trPr>
          <w:trHeight w:val="171"/>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May 1, 2015</w:t>
            </w: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Assets</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 the Balance Sheet</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Liabilities</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Balance Sheet</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 the Balance Sheet</w:t>
            </w:r>
          </w:p>
        </w:tc>
        <w:tc>
          <w:tcPr>
            <w:tcW w:w="0" w:type="dxa"/>
            <w:vAlign w:val="bottom"/>
          </w:tcPr>
          <w:p>
            <w:pPr>
              <w:spacing w:after="0"/>
              <w:rPr>
                <w:sz w:val="1"/>
                <w:szCs w:val="1"/>
                <w:color w:val="auto"/>
              </w:rPr>
            </w:pPr>
          </w:p>
        </w:tc>
      </w:tr>
      <w:tr>
        <w:trPr>
          <w:trHeight w:val="104"/>
        </w:trPr>
        <w:tc>
          <w:tcPr>
            <w:tcW w:w="18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4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10" w:name="page11"/>
    <w:bookmarkEnd w:id="10"/>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Forward currency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w w:val="91"/>
              </w:rPr>
              <w:t>Cross currency contracts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Assets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Gross Amounts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Gross Liabilities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w w:val="98"/>
              </w:rPr>
              <w:t>Net Amounts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Gross Amounts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3"/>
              </w:rPr>
              <w:t>Gross Assets</w:t>
            </w:r>
          </w:p>
        </w:tc>
        <w:tc>
          <w:tcPr>
            <w:tcW w:w="100" w:type="dxa"/>
            <w:vAlign w:val="bottom"/>
          </w:tcPr>
          <w:p>
            <w:pPr>
              <w:spacing w:after="0"/>
              <w:rPr>
                <w:sz w:val="10"/>
                <w:szCs w:val="10"/>
                <w:color w:val="auto"/>
              </w:rPr>
            </w:pPr>
          </w:p>
        </w:tc>
        <w:tc>
          <w:tcPr>
            <w:tcW w:w="1380" w:type="dxa"/>
            <w:vAlign w:val="bottom"/>
          </w:tcPr>
          <w:p>
            <w:pPr>
              <w:jc w:val="right"/>
              <w:ind w:right="177"/>
              <w:spacing w:after="0" w:line="119" w:lineRule="exact"/>
              <w:rPr>
                <w:sz w:val="20"/>
                <w:szCs w:val="20"/>
                <w:color w:val="auto"/>
              </w:rPr>
            </w:pPr>
            <w:r>
              <w:rPr>
                <w:rFonts w:ascii="Arial" w:cs="Arial" w:eastAsia="Arial" w:hAnsi="Arial"/>
                <w:sz w:val="13"/>
                <w:szCs w:val="13"/>
                <w:b w:val="1"/>
                <w:bCs w:val="1"/>
                <w:color w:val="auto"/>
              </w:rPr>
              <w:t>Net Amounts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of Assets Presented</w:t>
            </w: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100" w:type="dxa"/>
            <w:vAlign w:val="bottom"/>
          </w:tcPr>
          <w:p>
            <w:pPr>
              <w:spacing w:after="0"/>
              <w:rPr>
                <w:sz w:val="12"/>
                <w:szCs w:val="12"/>
                <w:color w:val="auto"/>
              </w:rPr>
            </w:pPr>
          </w:p>
        </w:tc>
        <w:tc>
          <w:tcPr>
            <w:tcW w:w="15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Liabilities Presented</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20"/>
                <w:szCs w:val="20"/>
                <w:color w:val="auto"/>
              </w:rPr>
            </w:pPr>
            <w:r>
              <w:rPr>
                <w:rFonts w:ascii="Arial" w:cs="Arial" w:eastAsia="Arial" w:hAnsi="Arial"/>
                <w:sz w:val="14"/>
                <w:szCs w:val="14"/>
                <w:b w:val="1"/>
                <w:bCs w:val="1"/>
                <w:color w:val="auto"/>
              </w:rPr>
              <w:t>May 2, 2014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Assets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 the Balance Sheet</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Liabilities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4"/>
                <w:szCs w:val="14"/>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in the Balance Sheet</w:t>
            </w:r>
          </w:p>
        </w:tc>
        <w:tc>
          <w:tcPr>
            <w:tcW w:w="0" w:type="dxa"/>
            <w:vAlign w:val="bottom"/>
          </w:tcPr>
          <w:p>
            <w:pPr>
              <w:spacing w:after="0"/>
              <w:rPr>
                <w:sz w:val="1"/>
                <w:szCs w:val="1"/>
                <w:color w:val="auto"/>
              </w:rPr>
            </w:pPr>
          </w:p>
        </w:tc>
      </w:tr>
      <w:tr>
        <w:trPr>
          <w:trHeight w:val="195"/>
        </w:trPr>
        <w:tc>
          <w:tcPr>
            <w:tcW w:w="1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Forward currency</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w w:val="91"/>
              </w:rPr>
              <w:t>Cross currency contracts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3"/>
        </w:trPr>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ind w:firstLine="216"/>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Cash balances are valued at their carrying amounts in the consolidated balance sheets, which are reasonable estimates of their fair value due to their short-term nature.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Assets and liabilities measured at fair value on a recurring basis, as of May 1, 2015, May 2, 2014, and October 31, 2014 are summarized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Level 2</w:t>
            </w:r>
          </w:p>
        </w:tc>
        <w:tc>
          <w:tcPr>
            <w:tcW w:w="15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Arial" w:cs="Arial" w:eastAsia="Arial" w:hAnsi="Arial"/>
                <w:sz w:val="14"/>
                <w:szCs w:val="14"/>
                <w:b w:val="1"/>
                <w:bCs w:val="1"/>
                <w:color w:val="auto"/>
              </w:rPr>
              <w:t>May 1, 2015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109,295</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109,295</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7,830</w:t>
            </w: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Cross currency contracts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2,070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2,070</w:t>
            </w: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985</w:t>
            </w: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Cross currency contracts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319</w:t>
            </w: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1,896</w:t>
            </w: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40" w:type="dxa"/>
            <w:vAlign w:val="bottom"/>
          </w:tcPr>
          <w:p>
            <w:pPr>
              <w:spacing w:after="0"/>
              <w:rPr>
                <w:sz w:val="20"/>
                <w:szCs w:val="20"/>
                <w:color w:val="auto"/>
              </w:rPr>
            </w:pPr>
            <w:r>
              <w:rPr>
                <w:rFonts w:ascii="Arial" w:cs="Arial" w:eastAsia="Arial" w:hAnsi="Arial"/>
                <w:sz w:val="14"/>
                <w:szCs w:val="14"/>
                <w:b w:val="1"/>
                <w:bCs w:val="1"/>
                <w:color w:val="auto"/>
              </w:rPr>
              <w:t>May 2, 2014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2</w:t>
            </w:r>
          </w:p>
        </w:tc>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129,909</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129,909</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2,043</w:t>
            </w: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Cross currency contracts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653</w:t>
            </w: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2,439</w:t>
            </w: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40" w:type="dxa"/>
            <w:vAlign w:val="bottom"/>
          </w:tcPr>
          <w:p>
            <w:pPr>
              <w:spacing w:after="0"/>
              <w:rPr>
                <w:sz w:val="20"/>
                <w:szCs w:val="20"/>
                <w:color w:val="auto"/>
              </w:rPr>
            </w:pPr>
            <w:r>
              <w:rPr>
                <w:rFonts w:ascii="Arial" w:cs="Arial" w:eastAsia="Arial" w:hAnsi="Arial"/>
                <w:sz w:val="14"/>
                <w:szCs w:val="14"/>
                <w:b w:val="1"/>
                <w:bCs w:val="1"/>
                <w:color w:val="auto"/>
              </w:rPr>
              <w:t>October 31, 2014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2</w:t>
            </w:r>
          </w:p>
        </w:tc>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314,873</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314,873</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6,030</w:t>
            </w: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Cross currency contracts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831</w:t>
            </w: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00"/>
          </w:cols>
          <w:pgMar w:left="240" w:top="134" w:right="259" w:bottom="0" w:gutter="0" w:footer="0" w:header="0"/>
        </w:sectPr>
      </w:pPr>
    </w:p>
    <w:bookmarkStart w:id="11" w:name="page12"/>
    <w:bookmarkEnd w:id="11"/>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Liabilities:</w:t>
            </w:r>
          </w:p>
        </w:tc>
        <w:tc>
          <w:tcPr>
            <w:tcW w:w="8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13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8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Cross currency contracts</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536</w:t>
            </w: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536</w:t>
            </w: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2,141</w:t>
            </w: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2,141</w:t>
            </w: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10"/>
        </w:trPr>
        <w:tc>
          <w:tcPr>
            <w:tcW w:w="34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8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The company measures certain assets and liabilities at fair value on a nonrecurring basis. Assets acquired and liabilities assumed as part of acquisitions are measured at fair value. Refer to Acquisition Note for additional information. There were no transfers between Level 1 and Level 2 during the three and six months ended May 1, 2015 and May 2, 2014, or the twelve months ended October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 Litigation</w:t>
      </w:r>
    </w:p>
    <w:p>
      <w:pPr>
        <w:spacing w:after="0" w:line="22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records a liability in its consolidated financial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consolidated financial statements or disclosure in the notes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irrigation systems, landscaping equipment and lighting, agricultural micro-irrigation systems, rental and specialty construction equipment, and residential yard and snow thrower products. Beginning in fiscal 2015 with our acquisition of BOSS®, we also design, manufacture, and market professional snow and ice management products. Through this acquisition, we added another professional contractor brand; a portfolio of counter-seasonal equipment; manufacturing and distribution facilities located in Iron Mountain, Michigan; and a distribution network for these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We strive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69"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2014. This discussion contains various “Forward-Looking Statements” within the meaning of the Private Securities Litigation Reform Act of 1995 and we refer readers to the section titled “Forward-Looking Information” located at the end of Part I, Item 2 of this report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results for the second quarter of fiscal 2015 were positive with a net sales increase of 10.9 percent and a net earnings increase of 7.7 percent, each as compared to the second quarter of fiscal 2014. Year-to-date net earnings increased 10.4 percent in fiscal 2015 compared to the same period in the prior fiscal year on a net sales increase of 9.2 percent. Residential segment net sales were significantly up, by 27.3 percent and 12.5 percent for our second quarter and year-to-date periods of fiscal 2015, respectively, compared to the same periods last fiscal year, driven by strong shipments and demand for our newly introduced riding and walk power mower products and expanded product placement, partially offset by unfavorable foreign currency exchange rate fluctuations. Professional segment net sales increased 4.6 percent and 8.3 percent for our second quarter and year-to-date periods of fiscal 2015, respectively, compared to the same periods last fiscal year. The acquisition of the BOSS business resulted in incremental net sales for our professional segment of $16.6 million and $45.3 million for the second quarter and year-to-date periods of fiscal 2015, respectively. Professional segment net sales were also up due to continued growth and demand for our innovative landscape contractor products and higher worldwide shipments of golf and grounds equipment, partially offset by a decrease in sales of micro-irrigation and residential/commercial irrigation products, as well as unfavorable foreign currency exchange rate fluctuations that hindered our sales growth for both the second quarter and year-to-date periods of fiscal 2015. Our overall international net sales were down</w:t>
      </w:r>
    </w:p>
    <w:p>
      <w:pPr>
        <w:sectPr>
          <w:pgSz w:w="11900" w:h="16913" w:orient="portrait"/>
          <w:cols w:equalWidth="0" w:num="1">
            <w:col w:w="11420"/>
          </w:cols>
          <w:pgMar w:left="240" w:top="120" w:right="239" w:bottom="0" w:gutter="0" w:footer="0" w:header="0"/>
        </w:sectPr>
      </w:pPr>
    </w:p>
    <w:bookmarkStart w:id="12" w:name="page13"/>
    <w:bookmarkEnd w:id="12"/>
    <w:p>
      <w:pPr>
        <w:ind w:right="240"/>
        <w:spacing w:after="0" w:line="277" w:lineRule="auto"/>
        <w:rPr>
          <w:sz w:val="20"/>
          <w:szCs w:val="20"/>
          <w:color w:val="auto"/>
        </w:rPr>
      </w:pPr>
      <w:r>
        <w:rPr>
          <w:rFonts w:ascii="Arial" w:cs="Arial" w:eastAsia="Arial" w:hAnsi="Arial"/>
          <w:sz w:val="18"/>
          <w:szCs w:val="18"/>
          <w:color w:val="auto"/>
        </w:rPr>
        <w:t>4.7 percent and 5.1 percent for our second quarter and year-to-date periods of fiscal 2015, respectively, compared to the same periods last fiscal year due to unfavorable foreign currency exchange rates.</w:t>
      </w:r>
    </w:p>
    <w:p>
      <w:pPr>
        <w:spacing w:after="0" w:line="170" w:lineRule="exact"/>
        <w:rPr>
          <w:sz w:val="20"/>
          <w:szCs w:val="20"/>
          <w:color w:val="auto"/>
        </w:rPr>
      </w:pPr>
    </w:p>
    <w:p>
      <w:pPr>
        <w:ind w:right="260" w:firstLine="270"/>
        <w:spacing w:after="0" w:line="264" w:lineRule="auto"/>
        <w:rPr>
          <w:sz w:val="20"/>
          <w:szCs w:val="20"/>
          <w:color w:val="auto"/>
        </w:rPr>
      </w:pPr>
      <w:r>
        <w:rPr>
          <w:rFonts w:ascii="Arial" w:cs="Arial" w:eastAsia="Arial" w:hAnsi="Arial"/>
          <w:sz w:val="18"/>
          <w:szCs w:val="18"/>
          <w:color w:val="auto"/>
        </w:rPr>
        <w:t>Our net earnings growth in the second quarter and year-to-date periods of fiscal 2015 was primarily attributable to leveraging selling, general, and administrative (“SG&amp;A”) costs over higher sales volumes and a decline in our effective tax rate mainly due to the retroactive re-enactment of the domestic research tax credit in the first quarter of fiscal 2015 for calendar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2014. However, our net earnings were hampered by a decrease in our gross margin rate and an increase in interest expense. We increased our second quarter cash dividend by 25 percent to $0.25 per share compared to the $0.20 per share quarterly cash dividend paid in the second quarter of fiscal 2014.</w:t>
      </w:r>
    </w:p>
    <w:p>
      <w:pPr>
        <w:spacing w:after="0" w:line="124" w:lineRule="exact"/>
        <w:rPr>
          <w:sz w:val="20"/>
          <w:szCs w:val="20"/>
          <w:color w:val="auto"/>
        </w:rPr>
      </w:pPr>
    </w:p>
    <w:p>
      <w:pPr>
        <w:ind w:right="20" w:firstLine="270"/>
        <w:spacing w:after="0" w:line="272" w:lineRule="auto"/>
        <w:rPr>
          <w:sz w:val="20"/>
          <w:szCs w:val="20"/>
          <w:color w:val="auto"/>
        </w:rPr>
      </w:pPr>
      <w:r>
        <w:rPr>
          <w:rFonts w:ascii="Arial" w:cs="Arial" w:eastAsia="Arial" w:hAnsi="Arial"/>
          <w:sz w:val="17"/>
          <w:szCs w:val="17"/>
          <w:color w:val="auto"/>
        </w:rPr>
        <w:t>Our overall financial condition remains strong. Inventory levels increased $39.0 million, or 12.9 percent, as of the end of the second quarter of fiscal 2015 compared to the end of the second quarter of fiscal 2014 due to incremental inventory of $23.3 million from the acquisition of the BOSS business and increased work in process inventory mainly due to the timing of production at certain key production facilities in anticipation of strong demand. Receivables also increased $38.1 million, or 12.2 percent, due to higher sales volumes and the addition of receivables from the acquisition of the BOSS business, which was partially offset by a decrease in international receivables primarily due to lower foreign currency exchange rates. Field inventory levels were also up as of the end of the second quarter of fiscal 2015 compared to the end of the second quarter of fiscal 2014 primarily due to strong sales of new products we introduced and anticipated retail demand in the second half of fiscal 2015.</w:t>
      </w:r>
    </w:p>
    <w:p>
      <w:pPr>
        <w:spacing w:after="0" w:line="178"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Our new multi-year initiative, “Destination PRIME,” begins our journey into our second century. Similar to our previous Destination 2014 initiative, this new three-year initiative is intended to help us drive revenue and earnings growth and further improve productivity, while also continuing our century-long commitment to innovation, relationships, and excellence. Through our Destination PRIME initiative, we will strive to achieve our goals by pursuing a progression of annual milestones. Each fiscal year we will set forth organic revenue growth and operating earnings goals, while continuing to focus on the progress we made through our previous initiatives, such as working capital. Our organic revenue growth goal is to achieve five percent or more of organic revenue growth each fiscal year during this initiative. We define organic revenue growth as the increase in net sales, less net sales from acquisitions that occurred in the current fiscal year. Our operating earnings goal is to raise operating earnings as a percentage of net sales to more than 13 percent by the end of fiscal 2017. Additionally, our working capital goal is to drive down average net working capital as a percentage of net sales to less than 13 percent by the end of fiscal 2017. We define average net working capital as accounts receivable plus inventory less trade payables as a percentage of net sales for a twelve month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Net earnings for the second quarter of fiscal 2015 were $93.8 million, or $1.64 per diluted share, compared to $87.1 million, or $1.51 per diluted share, for the second quarter of fiscal 2014, resulting in a net earnings per diluted share increase of 8.6 percent. Year-to-date net earnings in fiscal 2015 were $124.7 million, or $2.18 per diluted share, compared to $113.0 million, or $1.95 per diluted share, in the same comparable period last fiscal year, resulting in a net earnings per diluted share increase of 11.8 percent. The primary factors contributing to our earnings improvements were leveraging SG&amp;A costs over higher sales volumes and a decline in the effective tax rate, somewhat offset by a decrease in gross margin rates and an increase in interest expense. In addition, second quarter and year-to-date fiscal 2015 net earnings per diluted share were benefited by approximately $0.02 per share and $0.03 per share, respectively, compared to the same periods in fiscal 2014, as a result of reduced shares outstanding from repurchases of our common stock.</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58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19"/>
        </w:trPr>
        <w:tc>
          <w:tcPr>
            <w:tcW w:w="4180" w:type="dxa"/>
            <w:vAlign w:val="bottom"/>
          </w:tcPr>
          <w:p>
            <w:pPr>
              <w:spacing w:after="0"/>
              <w:rPr>
                <w:sz w:val="10"/>
                <w:szCs w:val="10"/>
                <w:color w:val="auto"/>
              </w:rPr>
            </w:pPr>
          </w:p>
        </w:tc>
        <w:tc>
          <w:tcPr>
            <w:tcW w:w="920" w:type="dxa"/>
            <w:vAlign w:val="bottom"/>
          </w:tcPr>
          <w:p>
            <w:pPr>
              <w:jc w:val="center"/>
              <w:ind w:left="390"/>
              <w:spacing w:after="0" w:line="119" w:lineRule="exact"/>
              <w:rPr>
                <w:sz w:val="20"/>
                <w:szCs w:val="20"/>
                <w:color w:val="auto"/>
              </w:rPr>
            </w:pPr>
            <w:r>
              <w:rPr>
                <w:rFonts w:ascii="Arial" w:cs="Arial" w:eastAsia="Arial" w:hAnsi="Arial"/>
                <w:sz w:val="13"/>
                <w:szCs w:val="13"/>
                <w:b w:val="1"/>
                <w:bCs w:val="1"/>
                <w:color w:val="auto"/>
              </w:rPr>
              <w:t>May 1,</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center"/>
              <w:ind w:left="371"/>
              <w:spacing w:after="0" w:line="119" w:lineRule="exact"/>
              <w:rPr>
                <w:sz w:val="20"/>
                <w:szCs w:val="20"/>
                <w:color w:val="auto"/>
              </w:rPr>
            </w:pPr>
            <w:r>
              <w:rPr>
                <w:rFonts w:ascii="Arial" w:cs="Arial" w:eastAsia="Arial" w:hAnsi="Arial"/>
                <w:sz w:val="13"/>
                <w:szCs w:val="13"/>
                <w:b w:val="1"/>
                <w:bCs w:val="1"/>
                <w:color w:val="auto"/>
              </w:rPr>
              <w:t>May 2,</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00" w:type="dxa"/>
            <w:vAlign w:val="bottom"/>
            <w:gridSpan w:val="3"/>
          </w:tcPr>
          <w:p>
            <w:pPr>
              <w:ind w:left="460"/>
              <w:spacing w:after="0" w:line="119" w:lineRule="exact"/>
              <w:rPr>
                <w:sz w:val="20"/>
                <w:szCs w:val="20"/>
                <w:color w:val="auto"/>
              </w:rPr>
            </w:pPr>
            <w:r>
              <w:rPr>
                <w:rFonts w:ascii="Arial" w:cs="Arial" w:eastAsia="Arial" w:hAnsi="Arial"/>
                <w:sz w:val="13"/>
                <w:szCs w:val="13"/>
                <w:b w:val="1"/>
                <w:bCs w:val="1"/>
                <w:color w:val="auto"/>
              </w:rPr>
              <w:t>May 1,</w:t>
            </w:r>
          </w:p>
        </w:tc>
        <w:tc>
          <w:tcPr>
            <w:tcW w:w="900" w:type="dxa"/>
            <w:vAlign w:val="bottom"/>
          </w:tcPr>
          <w:p>
            <w:pPr>
              <w:jc w:val="right"/>
              <w:ind w:right="374"/>
              <w:spacing w:after="0" w:line="119" w:lineRule="exact"/>
              <w:rPr>
                <w:sz w:val="20"/>
                <w:szCs w:val="20"/>
                <w:color w:val="auto"/>
              </w:rPr>
            </w:pPr>
            <w:r>
              <w:rPr>
                <w:rFonts w:ascii="Arial" w:cs="Arial" w:eastAsia="Arial" w:hAnsi="Arial"/>
                <w:sz w:val="13"/>
                <w:szCs w:val="13"/>
                <w:b w:val="1"/>
                <w:bCs w:val="1"/>
                <w:color w:val="auto"/>
              </w:rPr>
              <w:t>May 2,</w:t>
            </w:r>
          </w:p>
        </w:tc>
        <w:tc>
          <w:tcPr>
            <w:tcW w:w="180" w:type="dxa"/>
            <w:vAlign w:val="bottom"/>
          </w:tcPr>
          <w:p>
            <w:pPr>
              <w:spacing w:after="0"/>
              <w:rPr>
                <w:sz w:val="10"/>
                <w:szCs w:val="10"/>
                <w:color w:val="auto"/>
              </w:rPr>
            </w:pPr>
          </w:p>
        </w:tc>
      </w:tr>
      <w:tr>
        <w:trPr>
          <w:trHeight w:val="171"/>
        </w:trPr>
        <w:tc>
          <w:tcPr>
            <w:tcW w:w="4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4"/>
              </w:rPr>
              <w:t>100.0%</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1"/>
              </w:rPr>
              <w:t>100.0%</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(65.9)</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(64.5)</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(65.3)</w:t>
            </w:r>
          </w:p>
        </w:tc>
        <w:tc>
          <w:tcPr>
            <w:tcW w:w="4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(64.1)</w:t>
            </w:r>
          </w:p>
        </w:tc>
      </w:tr>
      <w:tr>
        <w:trPr>
          <w:trHeight w:val="210"/>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SG&amp;A expense</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(17.3)</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(17.9)</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(20.6)</w:t>
            </w:r>
          </w:p>
        </w:tc>
        <w:tc>
          <w:tcPr>
            <w:tcW w:w="4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(21.5)</w:t>
            </w:r>
          </w:p>
        </w:tc>
      </w:tr>
      <w:tr>
        <w:trPr>
          <w:trHeight w:val="210"/>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(0.5)</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4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(0.6)</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(5.2)</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(5.6)</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(4.6)</w:t>
            </w:r>
          </w:p>
        </w:tc>
      </w:tr>
      <w:tr>
        <w:trPr>
          <w:trHeight w:val="223"/>
        </w:trPr>
        <w:tc>
          <w:tcPr>
            <w:tcW w:w="4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Worldwide consolidated net sales for the second quarter of fiscal 2015 were $826.2 million, up 10.9 percent compared to the second quarter of fiscal 2014. For the year-to-date period of fiscal 2015, net sales were $1.3 billion, up 9.2 percent from the same period in the prior fiscal year. Residential segment net sales were up 27.3 percent and 12.5 percent for the second quarter and year-to-date periods of fiscal 2015, respectively, compared to the same periods in the prior fiscal year. The sales increases in both periods for the residential segment were largely due to higher shipments from strong retail demand for our new platform of zero-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turn riding mowers and walk power mowers, as well as expanded product placement for these new innovative products. However, these net sales increases were somewhat offset by unfavorable foreign currency exchange rate fluctuations.</w:t>
      </w:r>
    </w:p>
    <w:p>
      <w:pPr>
        <w:sectPr>
          <w:pgSz w:w="11900" w:h="16838" w:orient="portrait"/>
          <w:cols w:equalWidth="0" w:num="1">
            <w:col w:w="11420"/>
          </w:cols>
          <w:pgMar w:left="240" w:top="125" w:right="239" w:bottom="58" w:gutter="0" w:footer="0" w:header="0"/>
        </w:sectPr>
      </w:pPr>
    </w:p>
    <w:bookmarkStart w:id="13" w:name="page14"/>
    <w:bookmarkEnd w:id="13"/>
    <w:p>
      <w:pPr>
        <w:ind w:right="40" w:firstLine="270"/>
        <w:spacing w:after="0" w:line="290" w:lineRule="auto"/>
        <w:rPr>
          <w:sz w:val="20"/>
          <w:szCs w:val="20"/>
          <w:color w:val="auto"/>
        </w:rPr>
      </w:pPr>
      <w:r>
        <w:rPr>
          <w:rFonts w:ascii="Arial" w:cs="Arial" w:eastAsia="Arial" w:hAnsi="Arial"/>
          <w:sz w:val="16"/>
          <w:szCs w:val="16"/>
          <w:color w:val="auto"/>
        </w:rPr>
        <w:t>Worldwide professional segment net sales were up 4.6 percent and 8.3 percent for the second quarter and year-to-date periods of fiscal 2015, respectively, compared to the same periods in the prior fiscal year. The acquisition of the BOSS business added $16.6 million and $45.3 million of net sales for the professional segment in the second quarter and year-to-date periods of fiscal 2015, respectively. Our professional segment sales were also positively impacted by higher shipments of landscape contractor equipment and golf and grounds equipment due to continued strong demand for our innovative product offerings and newly introduced products. Partially offsetting the sales growth in both the second quarter and year-to-date periods of fiscal 2015 compared to the same periods last fiscal year were unfavorable foreign currency exchange rate fluctuations, lower sales of micro-irrigation products, which was primarily due to foreign currency exchange rate changes and continued adverse political and economic conditions in certain key international regions, and a decrease in sales of residential/commercial irrigation products mainly due to poor weather conditions in key markets.</w:t>
      </w:r>
    </w:p>
    <w:p>
      <w:pPr>
        <w:spacing w:after="0" w:line="166" w:lineRule="exact"/>
        <w:rPr>
          <w:sz w:val="20"/>
          <w:szCs w:val="20"/>
          <w:color w:val="auto"/>
        </w:rPr>
      </w:pPr>
    </w:p>
    <w:p>
      <w:pPr>
        <w:ind w:right="40" w:firstLine="270"/>
        <w:spacing w:after="0" w:line="271" w:lineRule="auto"/>
        <w:rPr>
          <w:sz w:val="20"/>
          <w:szCs w:val="20"/>
          <w:color w:val="auto"/>
        </w:rPr>
      </w:pPr>
      <w:r>
        <w:rPr>
          <w:rFonts w:ascii="Arial" w:cs="Arial" w:eastAsia="Arial" w:hAnsi="Arial"/>
          <w:sz w:val="17"/>
          <w:szCs w:val="17"/>
          <w:color w:val="auto"/>
        </w:rPr>
        <w:t>Net sales for our other segment were down by $0.5 million for the second quarter of fiscal 2015 and $3.7 million for the year-to-date period of fiscal 2015 compared to the same periods last fiscal year due to an increase in sales that are eliminated from higher shipments to our company-owned distribution companies, partially offset by higher sales volumes at our company-owned distributors. International net sales were down, by 4.7 percent and 5.1 percent, for the second quarter and year-to-date periods of fiscal 2015, respectively, compared to the same periods in the prior fiscal year due primarily to unfavorable foreign currency exchange rate fluctuations. Changes in foreign currency exchange rates resulted in a reduction of our net sales of approximately $13.6 million and $18.7 million for the second quarter and year-to-date periods of fiscal 2015, respectively. Field inventory levels were up as of the end of the second quarter of fiscal 2015 compared to the end of the second quarter of fiscal 2014 primarily due to strong sales of new products we introduced and anticipated retail demand in the second half of fiscal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 a percentage of net sales, gross profit for the second quarter of fiscal 2015 decreased 140 basis points to 34.1 percent compared to 35.5 percent in the second quarter of fiscal 2014. Gross profit as a percent of net sales for the year-to-date period of fiscal 2015 decreased 120 basis points to 34.7 percent compared to 35.9 percent for the year-to-date period of fiscal 2014. The decrease for the second quarter comparison was due to unfavorable foreign currency exchange rate fluctuations and a higher proportion of residential segment sales that carry lower average gross margins than our professional segment. For the year-to-date period, our gross profit decrease was also primarily attributable to unfavorable foreign currency exchange rate fluctuations and the purchase accounting impact of the incremental charge for the sale of inventory that was written-up to fair value as a result of the acquisition of the BOSS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SG&amp;A expense increased $9.9 million, or 7.4 percent, for the second quarter of fiscal 2015 compared to the second quarter of fiscal 2014 and increased $11.5 million, or 4.5 percent, for the year-to-date period of fiscal 2015 compared to the year-to-date period of fiscal 2014. As a percentage of net sales, SG&amp;A expense decreased 60 basis points and 90 basis points for the second quarter and year-to-date periods of fiscal 2015, respectively, compared to the same periods in the prior fiscal year. These decreases as a percentage of net sales were largely due to leveraging SG&amp;A expense over higher sales volumes and lower incentive compensation expense, partially offset by incremental SG&amp;A costs from the acquisition of the BOSS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Interest expense for the second quarter and year-to-date periods of fiscal 2015 increased $1.1 million, or 29.4 percent, and $2.0 million, or 27.5 percent, respectively, compared to the same periods last fiscal year due to higher levels of debt as a result of borrowings that were used to pay the purchase price for the BOSS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Other income, net for the second quarter and year-to-date periods of fiscal 2015 increased $0.5 million and $0.9 million, respectively, compared to the same periods last fiscal year primarily due to a decrease in foreign currency exchange rate losses and higher earnings from our equity investment in Red Iron.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The effective tax rate for the second quarter of fiscal 2015 was 31.1 percent compared to 32.6 percent in the second quarter of 2014. This decline was mainly due to higher earnings in lower tax jurisdictions. The effective tax rate for the year-to-date periods of fiscal 2015 and 2014 was 30.0 percent and 32.7 percent, respectively. The decrease in the effective tax rate for the year-to-date comparison was primarily the result of the benefit in the first quarter of fiscal 2015 for the retroactive re-enactment of the domestic research tax credit for calendar year 2014, as well as higher earnings in lower tax jurisdictions.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described previously, we operate in three reportable business segments: Professional, Residential, and Distribution. Our Distribution segment, which consists of our company-owned domestic distributorships,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126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rPr>
              <w:t>May 1,</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rPr>
              <w:t>May 2,</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89"/>
              </w:rPr>
              <w:t>Change</w:t>
            </w:r>
          </w:p>
        </w:tc>
        <w:tc>
          <w:tcPr>
            <w:tcW w:w="16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8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ind w:left="26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552,774</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6"/>
              </w:rPr>
              <w:t>528,561</w:t>
            </w:r>
          </w:p>
        </w:tc>
        <w:tc>
          <w:tcPr>
            <w:tcW w:w="320" w:type="dxa"/>
            <w:vAlign w:val="bottom"/>
            <w:tcBorders>
              <w:right w:val="single" w:sz="8" w:color="CCEEFF"/>
            </w:tcBorders>
            <w:vMerge w:val="continue"/>
            <w:shd w:val="clear" w:color="auto" w:fill="CCEEFF"/>
          </w:tcPr>
          <w:p>
            <w:pPr>
              <w:spacing w:after="0"/>
              <w:rPr>
                <w:sz w:val="18"/>
                <w:szCs w:val="18"/>
                <w:color w:val="auto"/>
              </w:rPr>
            </w:pPr>
          </w:p>
        </w:tc>
        <w:tc>
          <w:tcPr>
            <w:tcW w:w="460" w:type="dxa"/>
            <w:vAlign w:val="bottom"/>
            <w:shd w:val="clear" w:color="auto" w:fill="CCEEFF"/>
          </w:tcPr>
          <w:p>
            <w:pPr>
              <w:jc w:val="right"/>
              <w:ind w:right="344"/>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24,213</w:t>
            </w:r>
          </w:p>
        </w:tc>
        <w:tc>
          <w:tcPr>
            <w:tcW w:w="28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267,867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210,377</w:t>
            </w:r>
          </w:p>
        </w:tc>
        <w:tc>
          <w:tcPr>
            <w:tcW w:w="4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57,490</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5,601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6,092</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6"/>
              </w:rPr>
              <w:t>826,242</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6"/>
              </w:rPr>
              <w:t>745,030</w:t>
            </w:r>
          </w:p>
        </w:tc>
        <w:tc>
          <w:tcPr>
            <w:tcW w:w="3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81,212</w:t>
            </w:r>
          </w:p>
        </w:tc>
        <w:tc>
          <w:tcPr>
            <w:tcW w:w="28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195,384</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205,117</w:t>
            </w:r>
          </w:p>
        </w:tc>
        <w:tc>
          <w:tcPr>
            <w:tcW w:w="460" w:type="dxa"/>
            <w:vAlign w:val="bottom"/>
          </w:tcPr>
          <w:p>
            <w:pPr>
              <w:jc w:val="right"/>
              <w:ind w:right="344"/>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(9,733)</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140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rPr>
              <w:t>May 1,</w:t>
            </w:r>
          </w:p>
        </w:tc>
        <w:tc>
          <w:tcPr>
            <w:tcW w:w="280" w:type="dxa"/>
            <w:vAlign w:val="bottom"/>
          </w:tcPr>
          <w:p>
            <w:pPr>
              <w:spacing w:after="0"/>
              <w:rPr>
                <w:sz w:val="10"/>
                <w:szCs w:val="10"/>
                <w:color w:val="auto"/>
              </w:rPr>
            </w:pPr>
          </w:p>
        </w:tc>
        <w:tc>
          <w:tcPr>
            <w:tcW w:w="136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May 2,</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89"/>
              </w:rPr>
              <w:t>Change</w:t>
            </w: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8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892,480</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824,029</w:t>
            </w:r>
          </w:p>
        </w:tc>
        <w:tc>
          <w:tcPr>
            <w:tcW w:w="2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68,451</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402,610</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357,947</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44,663</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5,363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9,035</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1,300,453</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1,191,011</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109,442</w:t>
            </w:r>
          </w:p>
        </w:tc>
        <w:tc>
          <w:tcPr>
            <w:tcW w:w="28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338,285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356,380</w:t>
            </w: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(18,095)</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gridSpan w:val="2"/>
            <w:vMerge w:val="restart"/>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3"/>
          </w:tcPr>
          <w:p>
            <w:pPr>
              <w:jc w:val="right"/>
              <w:ind w:right="780"/>
              <w:spacing w:after="0" w:line="119" w:lineRule="exact"/>
              <w:rPr>
                <w:sz w:val="20"/>
                <w:szCs w:val="20"/>
                <w:color w:val="auto"/>
              </w:rPr>
            </w:pPr>
            <w:r>
              <w:rPr>
                <w:rFonts w:ascii="Arial" w:cs="Arial" w:eastAsia="Arial" w:hAnsi="Arial"/>
                <w:sz w:val="13"/>
                <w:szCs w:val="13"/>
                <w:b w:val="1"/>
                <w:bCs w:val="1"/>
                <w:color w:val="auto"/>
              </w:rPr>
              <w:t>May 1,</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May 2,</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300" w:type="dxa"/>
            <w:vAlign w:val="bottom"/>
            <w:gridSpan w:val="2"/>
            <w:vMerge w:val="restart"/>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 Change</w:t>
            </w:r>
          </w:p>
        </w:tc>
        <w:tc>
          <w:tcPr>
            <w:tcW w:w="280" w:type="dxa"/>
            <w:vAlign w:val="bottom"/>
            <w:gridSpan w:val="2"/>
            <w:vMerge w:val="restart"/>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122,367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34,838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23,822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11,016</w:t>
            </w:r>
          </w:p>
        </w:tc>
        <w:tc>
          <w:tcPr>
            <w:tcW w:w="2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(19,516)</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(17,073)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(2,443)</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136,137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3"/>
          </w:tcPr>
          <w:p>
            <w:pPr>
              <w:ind w:left="220"/>
              <w:spacing w:after="0" w:line="119" w:lineRule="exact"/>
              <w:rPr>
                <w:sz w:val="20"/>
                <w:szCs w:val="20"/>
                <w:color w:val="auto"/>
              </w:rPr>
            </w:pPr>
            <w:r>
              <w:rPr>
                <w:rFonts w:ascii="Arial" w:cs="Arial" w:eastAsia="Arial" w:hAnsi="Arial"/>
                <w:sz w:val="13"/>
                <w:szCs w:val="13"/>
                <w:b w:val="1"/>
                <w:bCs w:val="1"/>
                <w:color w:val="auto"/>
              </w:rPr>
              <w:t>May 1,</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3"/>
          </w:tcPr>
          <w:p>
            <w:pPr>
              <w:ind w:left="220"/>
              <w:spacing w:after="0" w:line="119" w:lineRule="exact"/>
              <w:rPr>
                <w:sz w:val="20"/>
                <w:szCs w:val="20"/>
                <w:color w:val="auto"/>
              </w:rPr>
            </w:pPr>
            <w:r>
              <w:rPr>
                <w:rFonts w:ascii="Arial" w:cs="Arial" w:eastAsia="Arial" w:hAnsi="Arial"/>
                <w:sz w:val="13"/>
                <w:szCs w:val="13"/>
                <w:b w:val="1"/>
                <w:bCs w:val="1"/>
                <w:color w:val="auto"/>
              </w:rPr>
              <w:t>May 2,</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176,474</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169,830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48,565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41,956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6,609</w:t>
            </w:r>
          </w:p>
        </w:tc>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(46,929)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(43,915)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(3,014)</w:t>
            </w:r>
          </w:p>
        </w:tc>
        <w:tc>
          <w:tcPr>
            <w:tcW w:w="16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178,110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167,871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10,239</w:t>
            </w:r>
          </w:p>
        </w:tc>
        <w:tc>
          <w:tcPr>
            <w:tcW w:w="220" w:type="dxa"/>
            <w:vAlign w:val="bottom"/>
          </w:tcPr>
          <w:p>
            <w:pPr>
              <w:spacing w:after="0"/>
              <w:rPr>
                <w:sz w:val="18"/>
                <w:szCs w:val="18"/>
                <w:color w:val="auto"/>
              </w:rPr>
            </w:pPr>
          </w:p>
        </w:tc>
        <w:tc>
          <w:tcPr>
            <w:tcW w:w="1640" w:type="dxa"/>
            <w:vAlign w:val="bottom"/>
            <w:gridSpan w:val="4"/>
          </w:tcPr>
          <w:p>
            <w:pPr>
              <w:jc w:val="right"/>
              <w:ind w:right="6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6"/>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5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professional segment in the second quarter and year-to-date periods of fiscal 2015 increased 4.6 percent and 8.3</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respectively, compared to the same periods in the prior fiscal year. The acquisition of the BOSS business added $16.6 million and $45.3 million of net sales for the second quarter and year-to-date periods of fiscal 2015, respectively. Sales and demand of landscape contractor equipment were also up for the second quarter and year-to-date periods of fiscal 2015 compared to the same periods last fiscal year as contractors continued to invest capital in our new turf management and productivity-enhancing product offerings. Professional segment sales were also positively impacted by increased shipments of our golf and grounds equipment due to worldwide demand for our innovative product offerings and the successful introduction of new products. However, sales growth in both the second quarter and year-to-date periods of fiscal 2015 were hampered by the impact of unfavorable foreign currency exchange rate fluctuations. Sales of micro-irrigation products declined due to foreign currency exchange rate changes, as well as continued adverse political and economic conditions in certain key international regions, and residential/commercial irrigation products decreased mainly due to poor weather conditions in key markets.</w:t>
      </w:r>
    </w:p>
    <w:p>
      <w:pPr>
        <w:spacing w:after="0" w:line="16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professional segment in the second quarter of fiscal 2015 decreased slightly by 1.3 percent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of fiscal 2014 and decreased to 21.9 percent as a percentage of net sales in the second quarter of fiscal 2015 compared to 23.2 percent in the second quarter of fiscal 2014. These declines were due to lower gross margins primarily from unfavorable foreign currency exchange rate fluctuations and incremental SG&amp;A costs from the acquisition of the BOSS business. For the year-to-date period of fiscal 2015, professional segment operating earnings increased 3.9 percent compared to the same period in the prior fiscal year mainly due to higher sales volumes. However, as a percentage of net sales, professional segment operating earnings decreased to 19.8 percent for the year-to-date period of fiscal 2015 compared to 20.6 percent in the same period last fiscal year. This decrease was due to lower gross margins primarily from the impact of unfavorable currency exchange rate fluctuations and the purchase accounting impact of the acquisition of the BOSS business, as previously discussed, partially offset by leveraging SG&amp;A costs over higher sales volumes and lower warranty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residential segment in the second quarter and year-to-date periods of fiscal 2015 increased 27.3 percent and 12.5</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respectively, compared to the same periods in the prior fiscal year. These sales increases were largely due to higher shipments from strong retail demand and additional product placement for our new platform of zero-turn riding mowers. Sales of walk power mowers also increased due to enhanced product placement and increased demand for our new product offerings, including our new all-wheel drive model. However, these net sales increases were somewhat offset by unfavorable foreign currency exchange rate fluctuations.</w:t>
      </w:r>
    </w:p>
    <w:p>
      <w:pPr>
        <w:spacing w:after="0" w:line="17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residential segment in the second quarter and year-to-date periods of fiscal 2015 increased 46.2 percent and</w:t>
      </w:r>
      <w:r>
        <w:rPr>
          <w:rFonts w:ascii="Arial" w:cs="Arial" w:eastAsia="Arial" w:hAnsi="Arial"/>
          <w:sz w:val="17"/>
          <w:szCs w:val="17"/>
          <w:i w:val="1"/>
          <w:iCs w:val="1"/>
          <w:color w:val="auto"/>
        </w:rPr>
        <w:t xml:space="preserve"> </w:t>
      </w:r>
      <w:r>
        <w:rPr>
          <w:rFonts w:ascii="Arial" w:cs="Arial" w:eastAsia="Arial" w:hAnsi="Arial"/>
          <w:sz w:val="17"/>
          <w:szCs w:val="17"/>
          <w:color w:val="auto"/>
        </w:rPr>
        <w:t>15.8 percent, respectively, compared to the same periods in the prior fiscal year. Expressed as a percentage of net sales, residential segment operating margin increased to 13.0 percent from 11.3 percent in the second quarter of fiscal 2014, and fiscal 2015 year-to-date residential segment operating margin increased to 12.1 percent compared to 11.7 percent in the same period last fiscal year. The operating earnings increase for the second quarter and year-to-date comparisons was largely due to leveraging SG&amp;A costs over higher sales volumes, somewhat offset by lower gross margins mainly due to unfavorable foreign currency exchange rate fluctuations and increased manufacturing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color w:val="auto"/>
        </w:rPr>
        <w:t>. Net sales for the other segment include sales from our wholly owned domestic distribution companies less sales from the professional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residential segments to those distribution companies. The other segment net sales for the second quarter of fiscal 2015 slightly decreased by $0.5 million compared to the second quarter of fiscal 2014. For the year-to-date period of fiscal 2015, the other segment net sales decreased $3.7 million compared to the</w:t>
      </w:r>
    </w:p>
    <w:p>
      <w:pPr>
        <w:sectPr>
          <w:pgSz w:w="11900" w:h="16838" w:orient="portrait"/>
          <w:cols w:equalWidth="0" w:num="1">
            <w:col w:w="11460"/>
          </w:cols>
          <w:pgMar w:left="240" w:top="333" w:right="199" w:bottom="0" w:gutter="0" w:footer="0" w:header="0"/>
        </w:sectPr>
      </w:pPr>
    </w:p>
    <w:bookmarkStart w:id="15" w:name="page16"/>
    <w:bookmarkEnd w:id="15"/>
    <w:p>
      <w:pPr>
        <w:spacing w:after="0" w:line="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same period in the prior fiscal year due to an increase in sales that are eliminated from higher shipments to our company-owned distribution companies, partially offset by higher sales volumes at our company-owned distributors.</w:t>
      </w:r>
    </w:p>
    <w:p>
      <w:pPr>
        <w:spacing w:after="0" w:line="17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i w:val="1"/>
          <w:iCs w:val="1"/>
          <w:u w:val="single" w:color="auto"/>
          <w:color w:val="auto"/>
        </w:rPr>
        <w:t>Operating Losses.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losses for the other segment in the second quarter and year-to-date periods of fiscal 2015 increased $2.4 million and $3.0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compared to the same periods in the prior fiscal year. The higher operating losses were primarily attributable to an increase in the elimination of gross profit previously recorded with respect to sales of our products to our wholly owned distribution companies and an increase in interest expense related to debt issued in connection with the acquisition of the BOSS business, partially offset by a decline in incentive compensation expense.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In fiscal 2015, we plan to continue to place emphasis on improving asset utilization with a focus on reducing the amount of working capital in the supply chain, adjusting production plans, and maintaining or improving order replenishment and service levels to end users. Our average net working capital as a percentage of net sales for the twelve months ended May 1, 2015 was 15.6 percent compared to 15.5 percent for the twelve months ended May 2, 2014.</w:t>
      </w:r>
    </w:p>
    <w:p>
      <w:pPr>
        <w:spacing w:after="0" w:line="147"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Inventory levels were up $39.0 million, or 12.9 percent, as of the end of the second quarter of fiscal 2015 compared to the end of the second quarter of fiscal 2014 due to incremental inventory of $23.3 million from the acquisition of the BOSS business and increased work in process inventory due to timing of production at certain key production facilities in anticipation of strong demand. Receivables as of the end of the second quarter of fiscal 2015 increased $38.1 million, or 12.2 percent, compared to the end of the second quarter of fiscal 2014 as a result of higher sales volumes and incremental receivables from the acquisition of the BOSS business, which was partially offset by a decrease in international receivables due primarily to lower foreign currency exchange rates. Our average days sales outstanding for receivables decreased to 34.3 days based on sales for the last twelve months ended May 1, 2015, compared to 35.5 days for the twelve months ended May 2, 2014. In addition, accounts payable increased as of the end of our second quarter of fiscal 2015 compared to the end of the second quarter of fiscal 2014 by $20.4 million, or 8.7 percent, due to recent purchases of commodities and components.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We believe that anticipated cash generated from operations, together with our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89"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Our Board of Directors approved a cash dividend of $0.25 per share for the second quarter of fiscal 2015 that was paid on April 13, 2015. This was an increase of 25 percent over our cash dividend of $0.20 per share for the second quarter of fiscal 2014.</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u w:val="single" w:color="auto"/>
          <w:color w:val="auto"/>
        </w:rPr>
        <w:t>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We historically use more operating cash in the first half of our fiscal year than the second half of our fiscal year due to the seasonality of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Cash provided by operating activities for the first six months of fiscal 2015 increased $17.3 million, or 22.2 percent, compared to the first six months of fiscal 2014 mainly due to higher net earnings. Cash used for investing activities increased $191.9 million during the first six months of fiscal 2015 compared to the first six months of fiscal 2014 due to cash utilized for the acquisition of the BOSS business, partially offset by lower purchases of property, plant, and equipment. Cash used for financing activities for the first six months of fiscal 2015 decreased $25.1 million compared to the first six months of fiscal 2014 mainly due to lower amounts of cash utilized for share repurchases, partially offset by an increase in cash dividends paid on our stock.</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u w:val="single" w:color="auto"/>
          <w:color w:val="auto"/>
        </w:rPr>
        <w:t>Credit Lines and Other Capital Resources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businesses are seasonal, with accounts receivable balances historically increasing between January and April,</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of typically higher sales volumes and extended payment terms made available to our customers, and typically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five-year revolving credit facility that expires in October 2019. Included in our $150.0 million revolving credit facility is a $20.0 million sublimit for standby letters of credit and a $20.0 million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short-term lines of credit in the aggregate amount of approximately $8.9 million. These facilities bear interest at various rates depending on the rates in their respective countries of operation. As of May 1, 2015, we had $20.0 million outstanding short-term debt under these lines of credit compared to no outstanding short-term debt as of May 2, 2014. As of May 1, 2015, we had $8.0 million of outstanding letters of credit and $130.9 million of unutilized availability under our credit agreements. In addition, we had $4.9 million in short-term debt for certain receivables we provided recourse to Red Iron as of May 1, 2015.</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270"/>
        <w:spacing w:after="0" w:line="293" w:lineRule="auto"/>
        <w:rPr>
          <w:sz w:val="20"/>
          <w:szCs w:val="20"/>
          <w:color w:val="auto"/>
        </w:rPr>
      </w:pPr>
      <w:r>
        <w:rPr>
          <w:rFonts w:ascii="Arial" w:cs="Arial" w:eastAsia="Arial" w:hAnsi="Arial"/>
          <w:sz w:val="16"/>
          <w:szCs w:val="16"/>
          <w:color w:val="auto"/>
        </w:rPr>
        <w:t>As of May 1, 2015, we had $384.9 million outstanding in long-term debt that includes $100.0 million in aggregate principal amount of 7.8% debentures due June 15, 2027 and $125.0 million in aggregate principal amount of 6.625% senior notes due May 1, 2037. In late fiscal 2014 as part of our renewed credit facility, we also obtained a $130.0 million term loan for cash required to close the acquisition of the BOSS business early in fiscal 2015.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 On November 14, 2014, we issued a $30.0 million in aggregate principal note to the former owners of the BOSS business that we acquired.</w:t>
      </w:r>
    </w:p>
    <w:p>
      <w:pPr>
        <w:sectPr>
          <w:pgSz w:w="11900" w:h="16934" w:orient="portrait"/>
          <w:cols w:equalWidth="0" w:num="1">
            <w:col w:w="11420"/>
          </w:cols>
          <w:pgMar w:left="240" w:top="125" w:right="239" w:bottom="0" w:gutter="0" w:footer="0" w:header="0"/>
        </w:sectPr>
      </w:pPr>
    </w:p>
    <w:bookmarkStart w:id="16" w:name="page17"/>
    <w:bookmarkEnd w:id="16"/>
    <w:p>
      <w:pPr>
        <w:ind w:firstLine="270"/>
        <w:spacing w:after="0" w:line="285" w:lineRule="auto"/>
        <w:rPr>
          <w:sz w:val="20"/>
          <w:szCs w:val="20"/>
          <w:color w:val="auto"/>
        </w:rPr>
      </w:pPr>
      <w:r>
        <w:rPr>
          <w:rFonts w:ascii="Arial" w:cs="Arial" w:eastAsia="Arial" w:hAnsi="Arial"/>
          <w:sz w:val="16"/>
          <w:szCs w:val="16"/>
          <w:color w:val="auto"/>
        </w:rPr>
        <w:t>Our revolving and term loan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in the amount for payments of cash dividends and stock repurchases as long as our debt to earnings before interest, taxes, depreciation, and amortization (“EBITDA”) ratio from the previous quarter compliance certificate is less than or equal to 3.25, provided that immediately after giving effect of any such proposed action, no default or event of default would exist. As of May 1, 2015, we were not limited in the amount for payments of cash dividends and stock repurchases. We were in compliance with all covenants related to our credit agreement for our revolving credit facility as of May 1, 2015, and we expect to be in compliance with all covenants during the remainder of fiscal 2015. If we were out of compliance with any debt covenant required by this credit agreement following the applicable cure period, the banks could terminate their commitments unless we could negotiate a covenant waiver from the banks. In addition, our long-term senior notes, debentures, term loan, and any amounts outstanding under the revolving credit facility could become due and payable if we were unable to obtain a covenant waiver or refinance our short-term debt under our credit agreement. If our credit rating falls below investment grade and/or our average debt to EBITDA ratio rises above 1.50, the basis point spread over LIBOR (or other rates quoted by the Administrative Agent, Bank of America, N.A.) we currently pay on outstanding debt under the credit agreement would increase. However, the credit commitment could not be cancelled by the banks based solely on a ratings downgrade. Our debt rating for long-term unsecured senior, non-credit enhanced debt was unchanged during the second quarter of fiscal 2015 by Standard and Poor’s Ratings Group at BBB and by Moody’s Investors Service at Baa3.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Red Iron joint venture with TCFIF provides inventory financing, including floor plan and open accounts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$11.3 million of receivables from us during the first six months of fiscal 2015. As of May 1, 2015, $8.6 million of receivables financed by a third party financing company, excluding Red Iron, were outstanding. See our most recently filed Annual Report on Form 10-K for further details regarding our customer financing arrangements and contractual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are subject to the effects of inflation, deflation, and changing prices. In the first six months of fiscal 2015, average prices paid for commodities and components we purchase were slightly lower compared to the average prices paid for commodities and components in the first six months of fiscal 2014. We intend to continue to closely follow prices of commodities and components that affect our product lines, and we anticipate average prices paid for some commodities and components to be slightly lower for the remainder of fiscal 2015 as compared to fiscal 2014. Historically, we have mitigated, and we currently expect to continue to mitigate, commodity price increases, in part, by collaborating with suppliers, reviewing alternative sourcing options, substituting materials, engaging in internal cost reduction efforts, and increasing prices on some of our products, all as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2014 for a discussion of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that updates the principles for recognizing revenue. The core principle of the guidance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that an entity should recognize revenue to depict the 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We will adopt this guidance on November 1, 2017, as required. The guidance permits the use of either a retrospective or cumulative effect transition method. We have not yet selected a transition method and are currently evaluating the impact of the amended guidance on our existing revenue recognition policies and procedures.</w:t>
      </w:r>
    </w:p>
    <w:p>
      <w:pPr>
        <w:spacing w:after="0" w:line="178"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In February 2015, the FASB issued ASU No. 2015-02, Consolidation (Topic 810), which amends certain requirements for determining whether a variable interest entity must be consolidated. The amended guidance will become effective for us commencing in the first quarter of 2017. Early adoption is permitted. We are currently evaluating the impact of this amended guidance on our consolidated financial statements.</w:t>
      </w:r>
    </w:p>
    <w:p>
      <w:pPr>
        <w:spacing w:after="0" w:line="181" w:lineRule="exact"/>
        <w:rPr>
          <w:sz w:val="20"/>
          <w:szCs w:val="20"/>
          <w:color w:val="auto"/>
        </w:rPr>
      </w:pPr>
    </w:p>
    <w:p>
      <w:pPr>
        <w:jc w:val="both"/>
        <w:ind w:right="240" w:firstLine="270"/>
        <w:spacing w:after="0" w:line="302" w:lineRule="auto"/>
        <w:rPr>
          <w:sz w:val="20"/>
          <w:szCs w:val="20"/>
          <w:color w:val="auto"/>
        </w:rPr>
      </w:pPr>
      <w:r>
        <w:rPr>
          <w:rFonts w:ascii="Arial" w:cs="Arial" w:eastAsia="Arial" w:hAnsi="Arial"/>
          <w:sz w:val="16"/>
          <w:szCs w:val="16"/>
          <w:color w:val="auto"/>
        </w:rPr>
        <w:t>In April 2015, the FASB issued ASU No. 2015-03, Interest—Imputation of Interest (Subtopic 835-30): Simplifying the Presentation of Debt Issuance Costs. This guidance requires that debt issuance costs related to a recognized debt liability be presented in the balance sheet as a direct deduction from the carrying amount of the related debt liability. The amended guidance will become effective for us commencing in the first quarter of 2017. Early adoption is permitted. We do not anticipate the adoption of this guidance to have a material impact on our consolidated financial position.</w:t>
      </w:r>
    </w:p>
    <w:p>
      <w:pPr>
        <w:spacing w:after="0" w:line="154"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In April 2015, the FASB issued ASU No. 2015-05, Customer’s Accounting for Fees Paid in a Cloud Computing Arrangement. This amended guidance requires customers to determine whether or not an arrangement contains a software license element. If the arrangement contains a software element, the related fees paid should be accounted for as an acquisition of a software license. If the arrangement does not contain a software license, it is accounted for as a service contract. The amended guidance will become effective for us commencing in the first quarter of 2017. Early adoption is permitted. We are currently evaluating the impact of this amended guidance on our consolidated financial statements.</w:t>
      </w:r>
    </w:p>
    <w:p>
      <w:pPr>
        <w:spacing w:after="0" w:line="173"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No new accounting pronouncement that has been issued but not yet effective for us during the second quarter of fiscal 2015 has had or is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ectPr>
          <w:pgSz w:w="11900" w:h="16838" w:orient="portrait"/>
          <w:cols w:equalWidth="0" w:num="1">
            <w:col w:w="11420"/>
          </w:cols>
          <w:pgMar w:left="240" w:top="341" w:right="239" w:bottom="0" w:gutter="0" w:footer="0" w:header="0"/>
        </w:sectPr>
      </w:pPr>
    </w:p>
    <w:bookmarkStart w:id="17" w:name="page18"/>
    <w:bookmarkEnd w:id="17"/>
    <w:p>
      <w:pPr>
        <w:spacing w:after="0" w:line="270"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78"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24" w:lineRule="exact"/>
        <w:rPr>
          <w:sz w:val="20"/>
          <w:szCs w:val="20"/>
          <w:color w:val="auto"/>
        </w:rPr>
      </w:pPr>
    </w:p>
    <w:p>
      <w:pPr>
        <w:ind w:left="260" w:right="80" w:hanging="252"/>
        <w:spacing w:after="0" w:line="284" w:lineRule="auto"/>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2" w:lineRule="exact"/>
        <w:rPr>
          <w:rFonts w:ascii="Arial" w:cs="Arial" w:eastAsia="Arial" w:hAnsi="Arial"/>
          <w:sz w:val="16"/>
          <w:szCs w:val="16"/>
          <w:color w:val="auto"/>
        </w:rPr>
      </w:pPr>
    </w:p>
    <w:p>
      <w:pPr>
        <w:jc w:val="both"/>
        <w:ind w:left="260" w:right="260" w:hanging="252"/>
        <w:spacing w:after="0" w:line="250"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 including unfavorable weather conditions exacerbated by global climate changes or otherwise, may reduce demand for some of our products and adversely affect our net sales and operating results, or may affect the timing of demand for some of our products and may adversely affect net sales and operating results in subsequent periods.</w:t>
      </w:r>
    </w:p>
    <w:p>
      <w:pPr>
        <w:spacing w:after="0" w:line="1"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80" w:hanging="252"/>
        <w:spacing w:after="0" w:line="253"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 cost, or disruption in the availability, of raw materials, components, and parts containing various commodities that we purchase, such as steel, aluminum, petroleum and natural gas-based resins, linerboard, copper, lead, rubber, engines, transmissions, transaxles, hydraulics, electric motors, and other commodities and components, and increases in our other costs of doing business, such as transportation costs. Further, we could experience delays in receiving materials required to manufacture our products and delays in shipping products to our customers, which may adversely affect net sales and operating results.</w:t>
      </w:r>
    </w:p>
    <w:p>
      <w:pPr>
        <w:spacing w:after="0" w:line="3" w:lineRule="exact"/>
        <w:rPr>
          <w:rFonts w:ascii="Arial" w:cs="Arial" w:eastAsia="Arial" w:hAnsi="Arial"/>
          <w:sz w:val="18"/>
          <w:szCs w:val="18"/>
          <w:color w:val="auto"/>
        </w:rPr>
      </w:pPr>
    </w:p>
    <w:p>
      <w:pPr>
        <w:ind w:left="260" w:right="80" w:hanging="252"/>
        <w:spacing w:after="0" w:line="250"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professional segment net sales are dependent upon certain factors, including golf course revenues and the amount of investment in golf course renovations and improvements; the level of new golf course development and golf course closures; the level of homeowners who outsource their lawn care; the level of residential and commercial construction; continued acceptance of and demand for micro-irrigation solutions for agricultural markets; the integration of the BOSS business into our professional portfolio; demand for our products in the rental and specialty construction market; availability of cash or credit to professional segment customers on acceptable terms to finance new product purchases; and the amount of government revenues, budget, and spending levels for grounds maintenance equipment.</w:t>
      </w:r>
    </w:p>
    <w:p>
      <w:pPr>
        <w:spacing w:after="0" w:line="2" w:lineRule="exact"/>
        <w:rPr>
          <w:rFonts w:ascii="Arial" w:cs="Arial" w:eastAsia="Arial" w:hAnsi="Arial"/>
          <w:sz w:val="18"/>
          <w:szCs w:val="18"/>
          <w:color w:val="auto"/>
        </w:rPr>
      </w:pPr>
    </w:p>
    <w:p>
      <w:pPr>
        <w:ind w:left="260" w:right="480" w:hanging="252"/>
        <w:spacing w:after="0" w:line="300" w:lineRule="auto"/>
        <w:tabs>
          <w:tab w:leader="none" w:pos="224"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residential segment net sales are dependent upon consumers buying our products at dealers, mass retailers, and home centers, such as The Home Depot, Inc., the amount of product placement at retailers, consumer confidence and spending levels, and changing buying patterns of customers.</w:t>
      </w:r>
    </w:p>
    <w:p>
      <w:pPr>
        <w:ind w:left="260" w:right="560" w:hanging="252"/>
        <w:spacing w:after="0" w:line="250"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operating results are subject to the inventory management decisions of our distribution channel customers. Any adjustments in the carrying amount of inventories by our distribution channel customers may impact our inventory management and working capital goals as well as operating results.</w:t>
      </w:r>
    </w:p>
    <w:p>
      <w:pPr>
        <w:spacing w:after="0" w:line="1" w:lineRule="exact"/>
        <w:rPr>
          <w:rFonts w:ascii="Arial" w:cs="Arial" w:eastAsia="Arial" w:hAnsi="Arial"/>
          <w:sz w:val="18"/>
          <w:szCs w:val="18"/>
          <w:color w:val="auto"/>
        </w:rPr>
      </w:pPr>
    </w:p>
    <w:p>
      <w:pPr>
        <w:ind w:left="260" w:right="100" w:hanging="252"/>
        <w:spacing w:after="0" w:line="281"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from some competitors that have larger operations and financial resources than us. We may not be able to compete effectively against competitors’ actions, which could harm our business and operating results.</w:t>
      </w:r>
    </w:p>
    <w:p>
      <w:pPr>
        <w:spacing w:after="0" w:line="1" w:lineRule="exact"/>
        <w:rPr>
          <w:rFonts w:ascii="Arial" w:cs="Arial" w:eastAsia="Arial" w:hAnsi="Arial"/>
          <w:sz w:val="16"/>
          <w:szCs w:val="16"/>
          <w:color w:val="auto"/>
        </w:rPr>
      </w:pPr>
    </w:p>
    <w:p>
      <w:pPr>
        <w:ind w:left="260" w:right="100" w:hanging="252"/>
        <w:spacing w:after="0" w:line="281"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accounting, and business factors;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4" w:lineRule="exact"/>
        <w:rPr>
          <w:rFonts w:ascii="Arial" w:cs="Arial" w:eastAsia="Arial" w:hAnsi="Arial"/>
          <w:sz w:val="16"/>
          <w:szCs w:val="16"/>
          <w:color w:val="auto"/>
        </w:rPr>
      </w:pPr>
    </w:p>
    <w:p>
      <w:pPr>
        <w:ind w:left="260" w:right="180" w:hanging="252"/>
        <w:spacing w:after="0" w:line="265"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ind w:left="260" w:right="120" w:hanging="252"/>
        <w:spacing w:after="0" w:line="265"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intend to grow our business in part through additional acquisitions and alliances, stronger customer relations, and new joint ventures and partnerships, all of which are risky and could harm our business, particularly if we are not able to successfully integrate such acquisitions and alliances, joint ventures, and partnerships. In the first quarter of fiscal 2015, we acquired the BOSS business. If this acquisition, previous or future acquisitions do not produce the expected results or integration into our operations take more time than expected, our business could be harmed. We cannot guarantee previous or future acquisitions, alliances, joint ventures or partnerships will in fact produce any benefits.</w:t>
      </w:r>
    </w:p>
    <w:p>
      <w:pPr>
        <w:spacing w:after="0" w:line="1" w:lineRule="exact"/>
        <w:rPr>
          <w:rFonts w:ascii="Arial" w:cs="Arial" w:eastAsia="Arial" w:hAnsi="Arial"/>
          <w:sz w:val="17"/>
          <w:szCs w:val="17"/>
          <w:color w:val="auto"/>
        </w:rPr>
      </w:pPr>
    </w:p>
    <w:p>
      <w:pPr>
        <w:ind w:left="260" w:right="420" w:hanging="252"/>
        <w:spacing w:after="0" w:line="250"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ind w:left="260" w:right="160" w:hanging="252"/>
        <w:spacing w:after="0" w:line="250"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manufacture our products at and distribute our products from several locations in the United States and internationally. Any disruption at any of these facilities or our inability to cost-effectively expand existing facilities, open and manage new facilities, and/or move production between manufacturing facilities could adversely affect our business and operating results.</w:t>
      </w:r>
    </w:p>
    <w:p>
      <w:pPr>
        <w:spacing w:after="0" w:line="1" w:lineRule="exact"/>
        <w:rPr>
          <w:rFonts w:ascii="Arial" w:cs="Arial" w:eastAsia="Arial" w:hAnsi="Arial"/>
          <w:sz w:val="18"/>
          <w:szCs w:val="18"/>
          <w:color w:val="auto"/>
        </w:rPr>
      </w:pPr>
    </w:p>
    <w:p>
      <w:pPr>
        <w:ind w:left="260" w:right="80" w:hanging="252"/>
        <w:spacing w:after="0" w:line="270"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 In addition, changes in laws and regulations also may adversely affect our operating results, including, (i) taxation and tax policy changes, tax rate changes, new tax laws, revised tax law interpretations, or expiration of the domestic research tax credit, which individually or in combination may cause our effective tax rate to increase, or (ii) healthcare laws or regulations, which may cause us to incur higher employee healthcare and other costs.</w:t>
      </w:r>
    </w:p>
    <w:p>
      <w:pPr>
        <w:sectPr>
          <w:pgSz w:w="11900" w:h="16838" w:orient="portrait"/>
          <w:cols w:equalWidth="0" w:num="1">
            <w:col w:w="11420"/>
          </w:cols>
          <w:pgMar w:left="240" w:top="341" w:right="239" w:bottom="0" w:gutter="0" w:footer="0" w:header="0"/>
        </w:sectPr>
      </w:pPr>
    </w:p>
    <w:bookmarkStart w:id="18" w:name="page19"/>
    <w:bookmarkEnd w:id="18"/>
    <w:p>
      <w:pPr>
        <w:spacing w:after="0" w:line="103" w:lineRule="exact"/>
        <w:rPr>
          <w:sz w:val="20"/>
          <w:szCs w:val="20"/>
          <w:color w:val="auto"/>
        </w:rPr>
      </w:pPr>
    </w:p>
    <w:p>
      <w:pPr>
        <w:ind w:left="260" w:right="520" w:hanging="252"/>
        <w:spacing w:after="0" w:line="259"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United States Environmental Protection Agency has adopted increasingly stringent engine emission regulations, including Tier 4 emission requirements applicable to diesel engines in specified horsepower ranges that are used in some of our products. Beginning January 1, 2013, such requirements expanded to additional horsepower categories and, accordingly, apply to more of our products. We have implemented plans to achieve substantial compliance with Tier 4 diesel engine emission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60"/>
        <w:spacing w:after="0" w:line="283" w:lineRule="auto"/>
        <w:rPr>
          <w:sz w:val="20"/>
          <w:szCs w:val="20"/>
          <w:color w:val="auto"/>
        </w:rPr>
      </w:pPr>
      <w:r>
        <w:rPr>
          <w:rFonts w:ascii="Arial" w:cs="Arial" w:eastAsia="Arial" w:hAnsi="Arial"/>
          <w:sz w:val="16"/>
          <w:szCs w:val="16"/>
          <w:color w:val="auto"/>
        </w:rPr>
        <w:t>requirements for most of the horsepower categories affected and are implementing plans for other horsepower categories. These plans are subject to many variables including, among others, the ability of our suppliers to provide compliant engines on a timely basis or our ability to meet our production schedule. If we are unable to successfully execute such plans, our ability to sell our products into the market may be inhibited, which could adversely affect our competitive position and financial results. To the extent in which we are able to implement price increases to cover or partially offset costs related to research, development, engineering, and other expenses to design Tier 4 diesel engine compliant products in the form of price increases to our customers, and/or our competitors implement different strategies with respect to compliance with Tier 4 diesel engine emission requirements, we may experience lower market demand for our products that may, ultimately, adversely affect our profit margins, net sales, and overall financial results. Alternatively, if our competitors implement different strategies with respect to compliance with Tier 4 requirements that, either in the short term or over the long term, enable them to limit price increases, introduce product modifications that gain widespread market acceptance, or otherwise changing customer preferences and buying patterns in ways that we do not currently anticipate, we may experience lower market demand for our products that may, ultimately, adversely affect our net sales, profit margins, and overall financial results.</w:t>
      </w:r>
    </w:p>
    <w:p>
      <w:pPr>
        <w:spacing w:after="0" w:line="5"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Climate change and climate change regulations may adversely impact our operations.</w:t>
      </w:r>
    </w:p>
    <w:p>
      <w:pPr>
        <w:spacing w:after="0" w:line="9" w:lineRule="exact"/>
        <w:rPr>
          <w:rFonts w:ascii="Arial" w:cs="Arial" w:eastAsia="Arial" w:hAnsi="Arial"/>
          <w:sz w:val="18"/>
          <w:szCs w:val="18"/>
          <w:color w:val="auto"/>
        </w:rPr>
      </w:pPr>
    </w:p>
    <w:p>
      <w:pPr>
        <w:ind w:left="260" w:right="100" w:hanging="252"/>
        <w:spacing w:after="0" w:line="281" w:lineRule="auto"/>
        <w:tabs>
          <w:tab w:leader="none" w:pos="224"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required to comply with “conflict minerals” rules promulgated by the SEC, which has imposed costs on us and raised reputational and other risks. We have, and we expect that we will continue to, incur additional costs and expenses, which may be significant in order to comply with these rules. Since our supply chain is complex, ultimately we may not be able to sufficiently verify the origin of the conflict minerals used in our products through the due diligence procedures that we implement or we may identify through our due diligence procedures that some or all of the conflict minerals in our products are sourced from covered regions, which may adversely affect our reputation with our customers, shareholders, and other stakeholders.</w:t>
      </w:r>
    </w:p>
    <w:p>
      <w:pPr>
        <w:spacing w:after="0" w:line="3" w:lineRule="exact"/>
        <w:rPr>
          <w:rFonts w:ascii="Arial" w:cs="Arial" w:eastAsia="Arial" w:hAnsi="Arial"/>
          <w:sz w:val="16"/>
          <w:szCs w:val="16"/>
          <w:color w:val="auto"/>
        </w:rPr>
      </w:pPr>
    </w:p>
    <w:p>
      <w:pPr>
        <w:ind w:left="260" w:hanging="252"/>
        <w:spacing w:after="0" w:line="265" w:lineRule="auto"/>
        <w:tabs>
          <w:tab w:leader="none" w:pos="224" w:val="left"/>
        </w:tabs>
        <w:numPr>
          <w:ilvl w:val="0"/>
          <w:numId w:val="5"/>
        </w:numPr>
        <w:rPr>
          <w:rFonts w:ascii="Arial" w:cs="Arial" w:eastAsia="Arial" w:hAnsi="Arial"/>
          <w:sz w:val="17"/>
          <w:szCs w:val="17"/>
          <w:color w:val="auto"/>
        </w:rPr>
      </w:pPr>
      <w:r>
        <w:rPr>
          <w:rFonts w:ascii="Arial" w:cs="Arial" w:eastAsia="Arial" w:hAnsi="Arial"/>
          <w:sz w:val="17"/>
          <w:szCs w:val="17"/>
          <w:color w:val="auto"/>
        </w:rPr>
        <w:t>Costs of complying with the various environmental laws related to our ownership and/or lease of real property, such as clean-up costs and liability that may be associated with certain hazardous waste disposal activities, could adversely affect our financial condition and operating results.</w:t>
      </w: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ind w:left="260" w:right="200" w:hanging="252"/>
        <w:spacing w:after="0" w:line="281" w:lineRule="auto"/>
        <w:tabs>
          <w:tab w:leader="none" w:pos="224"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Arial" w:cs="Arial" w:eastAsia="Arial" w:hAnsi="Arial"/>
          <w:sz w:val="16"/>
          <w:szCs w:val="16"/>
          <w:color w:val="auto"/>
        </w:rPr>
      </w:pPr>
    </w:p>
    <w:p>
      <w:pPr>
        <w:ind w:left="260" w:right="20" w:hanging="252"/>
        <w:spacing w:after="0" w:line="265" w:lineRule="auto"/>
        <w:tabs>
          <w:tab w:leader="none" w:pos="224"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Management information systems are critical to our business. If our information systems or those of our business partners or third party service providers fail to adequately perform, or if we, our business partners or third party service providers experience an interruption in their operation, including by theft, loss or damage from unauthorized access, security breaches, natural or man-made disasters, cyber attacks, computer viruses, power loss or other disruptive events, our business, reputation, financial condition, and operating results could be adversely affected.</w:t>
      </w:r>
    </w:p>
    <w:p>
      <w:pPr>
        <w:ind w:left="260" w:right="80" w:hanging="252"/>
        <w:spacing w:after="0" w:line="250"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business, reputation, operating results, or financial condition.</w:t>
      </w:r>
    </w:p>
    <w:p>
      <w:pPr>
        <w:ind w:left="260" w:right="460" w:hanging="234"/>
        <w:spacing w:after="0" w:line="250" w:lineRule="auto"/>
        <w:tabs>
          <w:tab w:leader="none" w:pos="228"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ind w:left="260" w:right="40" w:hanging="252"/>
        <w:spacing w:after="0" w:line="250"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challenges or delays in transferring new distributors and dealers from any business we might acquire to this financing platform, any termination or disruption of our joint venture relationship or any delay in securing replacement credit sources could adversely affect our net sales and operating results.</w:t>
      </w:r>
    </w:p>
    <w:p>
      <w:pPr>
        <w:spacing w:after="0" w:line="2" w:lineRule="exact"/>
        <w:rPr>
          <w:rFonts w:ascii="Arial" w:cs="Arial" w:eastAsia="Arial" w:hAnsi="Arial"/>
          <w:sz w:val="18"/>
          <w:szCs w:val="18"/>
          <w:color w:val="auto"/>
        </w:rPr>
      </w:pPr>
    </w:p>
    <w:p>
      <w:pPr>
        <w:ind w:left="260" w:hanging="252"/>
        <w:spacing w:after="0" w:line="250"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debentures, term loan, and any amounts outstanding under our revolving credit facility could become due and payable.</w:t>
      </w:r>
    </w:p>
    <w:p>
      <w:pPr>
        <w:spacing w:after="0" w:line="2"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expanding and renovating our corporate facilities and could experience disruptions to our operations in connection with such efforts.</w:t>
      </w:r>
    </w:p>
    <w:p>
      <w:pPr>
        <w:spacing w:after="0" w:line="9" w:lineRule="exact"/>
        <w:rPr>
          <w:rFonts w:ascii="Arial" w:cs="Arial" w:eastAsia="Arial" w:hAnsi="Arial"/>
          <w:sz w:val="18"/>
          <w:szCs w:val="18"/>
          <w:color w:val="auto"/>
        </w:rPr>
      </w:pPr>
    </w:p>
    <w:p>
      <w:pPr>
        <w:ind w:left="260" w:right="80" w:hanging="252"/>
        <w:spacing w:after="0" w:line="253"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subject to a number of other factors that may adversely affect our operating results, financial condition, or business, such as: our ability to achieve the revenue growth, operating earnings, and working capital goals of our “Destination PRIME” initiative; natural or man-made disasters or global pandemics that may result in shortages of raw materials and components, higher fuel and commodity costs, delays in shipments to customers, and increases in insurance premiums; financial viability of our distributors and dealers, changes in distributor ownership, changes in channel distribution of our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80"/>
        <w:spacing w:after="0" w:line="259" w:lineRule="auto"/>
        <w:rPr>
          <w:sz w:val="20"/>
          <w:szCs w:val="20"/>
          <w:color w:val="auto"/>
        </w:rPr>
      </w:pPr>
      <w:r>
        <w:rPr>
          <w:rFonts w:ascii="Arial" w:cs="Arial" w:eastAsia="Arial" w:hAnsi="Arial"/>
          <w:sz w:val="18"/>
          <w:szCs w:val="18"/>
          <w:color w:val="auto"/>
        </w:rPr>
        <w:t>products, relationships with our distribution channel partners, our success in partnering with new dealers, and our customers’ ability to pay amounts owed to us; a decline in retail sales or financial difficulties of our distributors or dealers, which would cause us to repurchase financed product; and the threat of terrorist acts and war that may result in heightened security and higher costs for import and export shipments of components or finished goods, reduced leisure travel, and contraction of the U.S. and world economies.</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ind w:right="100" w:firstLine="270"/>
        <w:spacing w:after="0" w:line="297" w:lineRule="auto"/>
        <w:rPr>
          <w:sz w:val="20"/>
          <w:szCs w:val="20"/>
          <w:color w:val="auto"/>
        </w:rPr>
      </w:pPr>
      <w:r>
        <w:rPr>
          <w:rFonts w:ascii="Arial" w:cs="Arial" w:eastAsia="Arial" w:hAnsi="Arial"/>
          <w:sz w:val="16"/>
          <w:szCs w:val="16"/>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as well as others that we may consider immaterial or do not anticipate at this time. The foregoing risks and uncertainties</w:t>
      </w:r>
    </w:p>
    <w:p>
      <w:pPr>
        <w:sectPr>
          <w:pgSz w:w="11900" w:h="16941" w:orient="portrait"/>
          <w:cols w:equalWidth="0" w:num="1">
            <w:col w:w="11420"/>
          </w:cols>
          <w:pgMar w:left="240" w:top="125" w:right="239" w:bottom="0" w:gutter="0" w:footer="0" w:header="0"/>
        </w:sectPr>
      </w:pPr>
    </w:p>
    <w:bookmarkStart w:id="19" w:name="page20"/>
    <w:bookmarkEnd w:id="19"/>
    <w:p>
      <w:pPr>
        <w:ind w:right="100"/>
        <w:spacing w:after="0" w:line="257" w:lineRule="auto"/>
        <w:rPr>
          <w:sz w:val="20"/>
          <w:szCs w:val="20"/>
          <w:color w:val="auto"/>
        </w:rPr>
      </w:pPr>
      <w:r>
        <w:rPr>
          <w:rFonts w:ascii="Arial" w:cs="Arial" w:eastAsia="Arial" w:hAnsi="Arial"/>
          <w:sz w:val="18"/>
          <w:szCs w:val="18"/>
          <w:i w:val="1"/>
          <w:iCs w:val="1"/>
          <w:color w:val="auto"/>
        </w:rPr>
        <w:t>are not exclusive and further information concerning the company and our businesses, including factors that potentially could materially affect our financial results or condition, may emerge from time to time. We undertake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8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u w:val="single" w:color="auto"/>
          <w:color w:val="auto"/>
        </w:rPr>
        <w:t>Foreign Currency Exchange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In the normal course of business, we actively manage the exposure of our foreign currency exchange rate market risk</w:t>
      </w:r>
      <w:r>
        <w:rPr>
          <w:rFonts w:ascii="Arial" w:cs="Arial" w:eastAsia="Arial" w:hAnsi="Arial"/>
          <w:sz w:val="17"/>
          <w:szCs w:val="17"/>
          <w:i w:val="1"/>
          <w:iCs w:val="1"/>
          <w:color w:val="auto"/>
        </w:rPr>
        <w:t xml:space="preserve"> </w:t>
      </w:r>
      <w:r>
        <w:rPr>
          <w:rFonts w:ascii="Arial" w:cs="Arial" w:eastAsia="Arial" w:hAnsi="Arial"/>
          <w:sz w:val="17"/>
          <w:szCs w:val="17"/>
          <w:color w:val="auto"/>
        </w:rPr>
        <w:t>by entering into various hedging instruments, authorized under company policies that place controls on these activities, with counterparties that are highly rated financial institutions. Our hedging activities involve primarily the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83"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We enter into various contracts, primarily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167" w:lineRule="exact"/>
        <w:rPr>
          <w:sz w:val="20"/>
          <w:szCs w:val="20"/>
          <w:color w:val="auto"/>
        </w:rPr>
      </w:pPr>
    </w:p>
    <w:p>
      <w:pPr>
        <w:ind w:right="320" w:firstLine="270"/>
        <w:spacing w:after="0" w:line="264" w:lineRule="auto"/>
        <w:rPr>
          <w:sz w:val="20"/>
          <w:szCs w:val="20"/>
          <w:color w:val="auto"/>
        </w:rPr>
      </w:pPr>
      <w:r>
        <w:rPr>
          <w:rFonts w:ascii="Arial" w:cs="Arial" w:eastAsia="Arial" w:hAnsi="Arial"/>
          <w:sz w:val="18"/>
          <w:szCs w:val="18"/>
          <w:color w:val="auto"/>
        </w:rPr>
        <w:t>The following foreign currency exchange contracts held by us have maturity dates in fiscal 2015 through 2017. All items are non-trading and stated in U.S. dollars. Some derivative instruments we enter into do not meet the cash flow hedging criteria; therefore, changes in fair value are recorded in other income, net.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average contracted rate, notional amount, pre-tax value of derivative instruments in accumulated other comprehensive loss, and fair value impact of derivative instruments in other income, net as of and for the fiscal period ended May 1,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Value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vMerge w:val="continue"/>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Contracted</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7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(except average contracted rate)</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Rate</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(Loss) Gain</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3"/>
              </w:rPr>
              <w:t>0.8250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38,832.1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660" w:type="dxa"/>
            <w:vAlign w:val="bottom"/>
            <w:gridSpan w:val="2"/>
          </w:tcPr>
          <w:p>
            <w:pPr>
              <w:ind w:left="880"/>
              <w:spacing w:after="0"/>
              <w:rPr>
                <w:sz w:val="20"/>
                <w:szCs w:val="20"/>
                <w:color w:val="auto"/>
              </w:rPr>
            </w:pPr>
            <w:r>
              <w:rPr>
                <w:rFonts w:ascii="Arial" w:cs="Arial" w:eastAsia="Arial" w:hAnsi="Arial"/>
                <w:sz w:val="18"/>
                <w:szCs w:val="18"/>
                <w:color w:val="auto"/>
              </w:rPr>
              <w:t>1.1904</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17,624.6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294.4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818.1</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1.1916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3,231.4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9,872.7</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660" w:type="dxa"/>
            <w:vAlign w:val="bottom"/>
            <w:gridSpan w:val="2"/>
          </w:tcPr>
          <w:p>
            <w:pPr>
              <w:ind w:left="880"/>
              <w:spacing w:after="0"/>
              <w:rPr>
                <w:sz w:val="20"/>
                <w:szCs w:val="20"/>
                <w:color w:val="auto"/>
              </w:rPr>
            </w:pPr>
            <w:r>
              <w:rPr>
                <w:rFonts w:ascii="Arial" w:cs="Arial" w:eastAsia="Arial" w:hAnsi="Arial"/>
                <w:sz w:val="18"/>
                <w:szCs w:val="18"/>
                <w:color w:val="auto"/>
              </w:rPr>
              <w:t>1.5642</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28,233.3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1,017.0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US dollar</w:t>
            </w:r>
          </w:p>
        </w:tc>
        <w:tc>
          <w:tcPr>
            <w:tcW w:w="13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3"/>
              </w:rPr>
              <w:t>1.1130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2,070.1</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360" w:type="dxa"/>
            <w:vAlign w:val="bottom"/>
          </w:tcPr>
          <w:p>
            <w:pPr>
              <w:ind w:left="780"/>
              <w:spacing w:after="0"/>
              <w:rPr>
                <w:sz w:val="20"/>
                <w:szCs w:val="20"/>
                <w:color w:val="auto"/>
              </w:rPr>
            </w:pPr>
            <w:r>
              <w:rPr>
                <w:rFonts w:ascii="Arial" w:cs="Arial" w:eastAsia="Arial" w:hAnsi="Arial"/>
                <w:sz w:val="18"/>
                <w:szCs w:val="18"/>
                <w:color w:val="auto"/>
                <w:w w:val="86"/>
              </w:rPr>
              <w:t>14.5781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19,824.2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(1,824.0)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(1,044.9)</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Romanian New Leu</w:t>
            </w: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4.4109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2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u w:val="single" w:color="auto"/>
          <w:color w:val="auto"/>
        </w:rPr>
        <w:t>Interest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Our market risk on interest rates relates primarily to LIBOR-based short-term debt and a term loan from commercial banks, as well as the</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increase in fair value of our fixed-rate long-term debt resulting from a potential decrease in interest rates. Included in long-term debt is $255.0 million of fixed-rate debt that is not subject to variable interest rate fluctuations and $130.0 million LIBOR-based term loan, which is subject to market risk based on changes in LIBOR rates. We have no earnings or cash flow exposure due to market risks on our fixed-rate long-term debt obligations. We generally do not use interest rate swaps to mitigate the impact of fluctuations in interest rates. See our most recently filed Annual Report on Form 10-K (Item 7A Quantitative and Qualitative Disclosures about Market Risk). There has been no material change in this information, except for $30.0 million note issued to the former owners of the BOSS business, which was recorded at fair value of $31.2 million.</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steel, aluminum, petroleum and natural gas-based resins, and linerboard. In addition, we are a purchaser of components and parts containing various commodities, including steel, aluminum, copper, lead, rubber, and others that are integrated into our end products. Further information regarding rising prices for commodities is presented in Item 2 of this Quarterly Report on Form 10-Q, in the section entitled “Inflation.”</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ectPr>
          <w:pgSz w:w="11900" w:h="16838" w:orient="portrait"/>
          <w:cols w:equalWidth="0" w:num="1">
            <w:col w:w="11420"/>
          </w:cols>
          <w:pgMar w:left="240" w:top="125" w:right="239" w:bottom="0" w:gutter="0" w:footer="0" w:header="0"/>
        </w:sectPr>
      </w:pPr>
    </w:p>
    <w:bookmarkStart w:id="20" w:name="page21"/>
    <w:bookmarkEnd w:id="20"/>
    <w:p>
      <w:pPr>
        <w:ind w:right="40"/>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second quarter ended May 1, 2015 that has materially affected, or is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claims of patent infringement.</w:t>
      </w:r>
    </w:p>
    <w:p>
      <w:pPr>
        <w:spacing w:after="0" w:line="166" w:lineRule="exact"/>
        <w:rPr>
          <w:sz w:val="20"/>
          <w:szCs w:val="20"/>
          <w:color w:val="auto"/>
        </w:rPr>
      </w:pPr>
    </w:p>
    <w:p>
      <w:pPr>
        <w:ind w:right="540" w:firstLine="270"/>
        <w:spacing w:after="0" w:line="308" w:lineRule="auto"/>
        <w:rPr>
          <w:sz w:val="20"/>
          <w:szCs w:val="20"/>
          <w:color w:val="auto"/>
        </w:rPr>
      </w:pPr>
      <w:r>
        <w:rPr>
          <w:rFonts w:ascii="Arial" w:cs="Arial" w:eastAsia="Arial" w:hAnsi="Arial"/>
          <w:sz w:val="17"/>
          <w:szCs w:val="17"/>
          <w:color w:val="auto"/>
        </w:rPr>
        <w:t>For a description of our material legal proceedings, see Notes to Condensed Consolidated Financial Statements under the heading “Contingencies - Litigation” included in Item 1 of this Quarterly Report on Form 10-Q, which is incorporated into this Part II. Item 1 by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6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second quarter of fiscal 2015 stock repurchase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Average</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Number of</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Price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Purchased</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Paid per</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22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Share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540" w:type="dxa"/>
            <w:vAlign w:val="bottom"/>
            <w:gridSpan w:val="3"/>
            <w:vMerge w:val="continue"/>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Purchased (1,2,3)</w:t>
            </w:r>
          </w:p>
        </w:tc>
        <w:tc>
          <w:tcPr>
            <w:tcW w:w="22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(or Unit)</w:t>
            </w: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or Programs (1)</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31, 2015 through February 27, 2015</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6,507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67.00</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6,490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2,482,510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28, 2015 through March 27, 2015</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177,649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67.76</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175,519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2,306,991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28, 2015 through May 1, 2015</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323,453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68.77</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322,386</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1,984,605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507,609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68.40</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504,395</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328"/>
        <w:spacing w:after="0" w:line="264"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December 11, 2012, the company’s Board of Directors authorized the repurchase of 5,000,000 shares of the company’s common stock in open-market or in privately negotiated transactions. This program has no expiration date but may be terminated by the company’s Board of Directors at any time.</w:t>
      </w:r>
    </w:p>
    <w:p>
      <w:pPr>
        <w:spacing w:after="0" w:line="181" w:lineRule="exact"/>
        <w:rPr>
          <w:rFonts w:ascii="Arial" w:cs="Arial" w:eastAsia="Arial" w:hAnsi="Arial"/>
          <w:sz w:val="18"/>
          <w:szCs w:val="18"/>
          <w:color w:val="auto"/>
        </w:rPr>
      </w:pPr>
    </w:p>
    <w:p>
      <w:pPr>
        <w:jc w:val="both"/>
        <w:ind w:left="660" w:right="240" w:hanging="328"/>
        <w:spacing w:after="0" w:line="264"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2,147 shares of the company’s common stock surrendered by employees to satisfy minimum tax withholding obligations upon vesting of restricted stock granted under the company’s amended and restated equity and incentive plan. These 2,147 shares were not repurchased under the company’s repurchase program described in footnote 1 above.</w:t>
      </w:r>
    </w:p>
    <w:p>
      <w:pPr>
        <w:spacing w:after="0" w:line="181" w:lineRule="exact"/>
        <w:rPr>
          <w:rFonts w:ascii="Arial" w:cs="Arial" w:eastAsia="Arial" w:hAnsi="Arial"/>
          <w:sz w:val="18"/>
          <w:szCs w:val="18"/>
          <w:color w:val="auto"/>
        </w:rPr>
      </w:pPr>
    </w:p>
    <w:p>
      <w:pPr>
        <w:ind w:left="660" w:right="100" w:hanging="328"/>
        <w:spacing w:after="0" w:line="264"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1,067 units (shares) of the company’s common stock purchased in open-market transactions at an average price of $68.44 per share on behalf of a rabbi trust formed to pay benefit obligations of the company to participants in deferred compensation plans. These 1,067 shares were not repurchased under the company’s repurchase program described in footnote 1 above.</w:t>
      </w:r>
    </w:p>
    <w:p>
      <w:pPr>
        <w:sectPr>
          <w:pgSz w:w="11900" w:h="16838" w:orient="portrait"/>
          <w:cols w:equalWidth="0" w:num="1">
            <w:col w:w="11420"/>
          </w:cols>
          <w:pgMar w:left="240" w:top="125" w:right="239" w:bottom="15"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5" w:gutter="0" w:footer="0" w:header="0"/>
          <w:type w:val="continuous"/>
        </w:sectPr>
      </w:pPr>
    </w:p>
    <w:bookmarkStart w:id="21" w:name="page22"/>
    <w:bookmarkEnd w:id="2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740" w:type="dxa"/>
            <w:vAlign w:val="bottom"/>
          </w:tcPr>
          <w:p>
            <w:pPr>
              <w:spacing w:after="0"/>
              <w:rPr>
                <w:sz w:val="17"/>
                <w:szCs w:val="17"/>
                <w:color w:val="auto"/>
              </w:rPr>
            </w:pPr>
          </w:p>
        </w:tc>
      </w:tr>
      <w:tr>
        <w:trPr>
          <w:trHeight w:val="453"/>
        </w:trPr>
        <w:tc>
          <w:tcPr>
            <w:tcW w:w="4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tcPr>
          <w:p>
            <w:pPr>
              <w:ind w:left="3240"/>
              <w:spacing w:after="0"/>
              <w:rPr>
                <w:sz w:val="20"/>
                <w:szCs w:val="20"/>
                <w:color w:val="auto"/>
              </w:rPr>
            </w:pPr>
            <w:r>
              <w:rPr>
                <w:rFonts w:ascii="Arial" w:cs="Arial" w:eastAsia="Arial" w:hAnsi="Arial"/>
                <w:sz w:val="18"/>
                <w:szCs w:val="18"/>
                <w:b w:val="1"/>
                <w:bCs w:val="1"/>
                <w:color w:val="auto"/>
              </w:rPr>
              <w:t>Item 6. EXHIBITS</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Exhibits</w:t>
            </w:r>
          </w:p>
        </w:tc>
        <w:tc>
          <w:tcPr>
            <w:tcW w:w="9740" w:type="dxa"/>
            <w:vAlign w:val="bottom"/>
          </w:tcPr>
          <w:p>
            <w:pPr>
              <w:spacing w:after="0"/>
              <w:rPr>
                <w:sz w:val="24"/>
                <w:szCs w:val="24"/>
                <w:color w:val="auto"/>
              </w:rPr>
            </w:pPr>
          </w:p>
        </w:tc>
      </w:tr>
      <w:tr>
        <w:trPr>
          <w:trHeight w:val="418"/>
        </w:trPr>
        <w:tc>
          <w:tcPr>
            <w:tcW w:w="42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3.1 and 4.1</w:t>
            </w:r>
          </w:p>
        </w:tc>
        <w:tc>
          <w:tcPr>
            <w:tcW w:w="9740" w:type="dxa"/>
            <w:vAlign w:val="bottom"/>
          </w:tcPr>
          <w:p>
            <w:pPr>
              <w:ind w:left="320"/>
              <w:spacing w:after="0"/>
              <w:rPr>
                <w:sz w:val="20"/>
                <w:szCs w:val="20"/>
                <w:color w:val="auto"/>
              </w:rPr>
            </w:pPr>
            <w:r>
              <w:rPr>
                <w:rFonts w:ascii="Arial" w:cs="Arial" w:eastAsia="Arial" w:hAnsi="Arial"/>
                <w:sz w:val="18"/>
                <w:szCs w:val="18"/>
                <w:color w:val="auto"/>
                <w:w w:val="96"/>
              </w:rPr>
              <w:t>Restated Certificate of Incorporation of The Toro Company (incorporated by reference to Exhibit 3.1 to Registrant’s Current</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Report on Form 8-K dated June 17, 2008, Commission File No. 1-8649).</w:t>
            </w:r>
          </w:p>
        </w:tc>
      </w:tr>
      <w:tr>
        <w:trPr>
          <w:trHeight w:val="418"/>
        </w:trPr>
        <w:tc>
          <w:tcPr>
            <w:tcW w:w="42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3.2 and 4.2</w:t>
            </w:r>
          </w:p>
        </w:tc>
        <w:tc>
          <w:tcPr>
            <w:tcW w:w="9740" w:type="dxa"/>
            <w:vAlign w:val="bottom"/>
          </w:tcPr>
          <w:p>
            <w:pPr>
              <w:ind w:left="320"/>
              <w:spacing w:after="0"/>
              <w:rPr>
                <w:sz w:val="20"/>
                <w:szCs w:val="20"/>
                <w:color w:val="auto"/>
              </w:rPr>
            </w:pPr>
            <w:r>
              <w:rPr>
                <w:rFonts w:ascii="Arial" w:cs="Arial" w:eastAsia="Arial" w:hAnsi="Arial"/>
                <w:sz w:val="18"/>
                <w:szCs w:val="18"/>
                <w:color w:val="auto"/>
              </w:rPr>
              <w:t>Certificate of Amendment to Restated Certificate of Incorporation of The Toro Company (incorporated by reference to</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Exhibit 3.1 to Registrant’s Current Report on Form 8-K dated March 13, 2013, Commission File No. 1-8649).</w:t>
            </w:r>
          </w:p>
        </w:tc>
      </w:tr>
      <w:tr>
        <w:trPr>
          <w:trHeight w:val="418"/>
        </w:trPr>
        <w:tc>
          <w:tcPr>
            <w:tcW w:w="42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3.3 and 4.3</w:t>
            </w: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Amended and Restated Bylaws of The Toro Company (incorporated by reference to Exhibit 3.2 to Registrant’s Current Report on</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Form 8-K dated June 17, 2008, Commission File No. 1-8649).</w:t>
            </w:r>
          </w:p>
        </w:tc>
      </w:tr>
      <w:tr>
        <w:trPr>
          <w:trHeight w:val="418"/>
        </w:trPr>
        <w:tc>
          <w:tcPr>
            <w:tcW w:w="4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6"/>
              </w:rPr>
              <w:t>Specimen Form of Common Stock Certificate (incorporated by reference to Exhibit 4(c) to Registrant’s Quarterly Report on</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Form 10-Q for the fiscal quarter ended August 1, 2008, Commission File No. 1-8649).</w:t>
            </w:r>
          </w:p>
        </w:tc>
      </w:tr>
      <w:tr>
        <w:trPr>
          <w:trHeight w:val="418"/>
        </w:trPr>
        <w:tc>
          <w:tcPr>
            <w:tcW w:w="4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Indenture dated as of January 31, 1997, between Registrant and First National Trust Association, as Trustee, relating to The Toro</w:t>
            </w:r>
          </w:p>
        </w:tc>
      </w:tr>
      <w:tr>
        <w:trPr>
          <w:trHeight w:val="216"/>
        </w:trPr>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4"/>
              </w:rPr>
              <w:t>Company’s 7.80% Debentures due June 15, 2027 (incorporated by reference to Exhibit 4(a) to Registrant’s Current Report on</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Form 8-K dated June 24, 1997, Commission File No. 1-8649).</w:t>
            </w:r>
          </w:p>
        </w:tc>
      </w:tr>
      <w:tr>
        <w:trPr>
          <w:trHeight w:val="418"/>
        </w:trPr>
        <w:tc>
          <w:tcPr>
            <w:tcW w:w="4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Indenture dated as of April 20, 2007, between Registrant and The Bank of New York Trust Company, N.A., as Trustee, relating to</w:t>
            </w:r>
          </w:p>
        </w:tc>
      </w:tr>
      <w:tr>
        <w:trPr>
          <w:trHeight w:val="216"/>
        </w:trPr>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6"/>
              </w:rPr>
              <w:t>The Toro Company’s 6.625% Notes due May 1, 2037 (incorporated by reference to Exhibit 4.3 to Registrant’s Registration</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4"/>
              </w:rPr>
              <w:t>Statement on Form S-3 filed with the Securities and Exchange Commission on April 23, 2007, Registration No. 333-142282).</w:t>
            </w:r>
          </w:p>
        </w:tc>
      </w:tr>
      <w:tr>
        <w:trPr>
          <w:trHeight w:val="418"/>
        </w:trPr>
        <w:tc>
          <w:tcPr>
            <w:tcW w:w="4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First Supplemental Indenture dated as of April 26, 2007, between Registrant and The Bank of New York Trust Company, N.A., as</w:t>
            </w:r>
          </w:p>
        </w:tc>
      </w:tr>
      <w:tr>
        <w:trPr>
          <w:trHeight w:val="216"/>
        </w:trPr>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Trustee, relating to The Toro Company’s 6.625% Notes due May 1, 2037 (incorporated by reference to Exhibit 4.1 to Registrant’s</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Current Report on Form 8-K dated April 23, 2007, Commission File No. 1-8649).</w:t>
            </w:r>
          </w:p>
        </w:tc>
      </w:tr>
      <w:tr>
        <w:trPr>
          <w:trHeight w:val="418"/>
        </w:trPr>
        <w:tc>
          <w:tcPr>
            <w:tcW w:w="4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5"/>
              </w:rPr>
              <w:t>Form of The Toro Company 6.625% Note due May 1, 2037 (incorporated by reference to Exhibit 4.2 to Registrant’s Current</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Report on Form 8-K dated April 23, 2007, Commission File No. 1-8649).</w:t>
            </w:r>
          </w:p>
        </w:tc>
      </w:tr>
      <w:tr>
        <w:trPr>
          <w:trHeight w:val="418"/>
        </w:trPr>
        <w:tc>
          <w:tcPr>
            <w:tcW w:w="4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8"/>
              </w:rPr>
              <w:t>The Toro Company Amended and Restated 2010 Equity and Incentive Plan (incorporated by reference to Exhibit 10.1 to</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Registrant’s Current Report on Form 8-K dated March 17, 2015, Commission File No. 1-8649).</w:t>
            </w:r>
          </w:p>
        </w:tc>
      </w:tr>
      <w:tr>
        <w:trPr>
          <w:trHeight w:val="418"/>
        </w:trPr>
        <w:tc>
          <w:tcPr>
            <w:tcW w:w="4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Form of Nonemployee Director Stock Option Agreement between The Toro Company and its Non-Employee Directors under The</w:t>
            </w:r>
          </w:p>
        </w:tc>
      </w:tr>
      <w:tr>
        <w:trPr>
          <w:trHeight w:val="216"/>
        </w:trPr>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7"/>
              </w:rPr>
              <w:t>Toro Company Amended and Restated 2010 Equity and Incentive Plan (incorporated by reference to 99.2 to Registrant’s</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Registration Statement on Form S-8, Registration No. 333-204336).</w:t>
            </w:r>
          </w:p>
        </w:tc>
      </w:tr>
      <w:tr>
        <w:trPr>
          <w:trHeight w:val="418"/>
        </w:trPr>
        <w:tc>
          <w:tcPr>
            <w:tcW w:w="4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Form of Nonqualified Stock Option Agreement between The Toro Company and its officers and other employees under The Toro</w:t>
            </w:r>
          </w:p>
        </w:tc>
      </w:tr>
      <w:tr>
        <w:trPr>
          <w:trHeight w:val="216"/>
        </w:trPr>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2"/>
              </w:rPr>
              <w:t>Company Amended and Restated 2010 Equity and Incentive Plan (incorporated by reference to 99.3 to Registrant’s Registration</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Statement on Form S-8, Registration No. 333-204336).</w:t>
            </w:r>
          </w:p>
        </w:tc>
      </w:tr>
      <w:tr>
        <w:trPr>
          <w:trHeight w:val="418"/>
        </w:trPr>
        <w:tc>
          <w:tcPr>
            <w:tcW w:w="4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Form of Performance Share Award Agreement between The Toro Company and its officers and other employees under The Toro</w:t>
            </w:r>
          </w:p>
        </w:tc>
      </w:tr>
      <w:tr>
        <w:trPr>
          <w:trHeight w:val="216"/>
        </w:trPr>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2"/>
              </w:rPr>
              <w:t>Company Amended and Restated 2010 Equity and Incentive Plan (incorporated by reference to 99.4 to Registrant’s Registration</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Statement on Form S-8, Registration No. 333-204336).</w:t>
            </w:r>
          </w:p>
        </w:tc>
      </w:tr>
      <w:tr>
        <w:trPr>
          <w:trHeight w:val="418"/>
        </w:trPr>
        <w:tc>
          <w:tcPr>
            <w:tcW w:w="4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4"/>
              </w:rPr>
              <w:t>Form of Annual Performance Award Agreement between The Toro Company and its officers and other employees under The</w:t>
            </w:r>
          </w:p>
        </w:tc>
      </w:tr>
      <w:tr>
        <w:trPr>
          <w:trHeight w:val="216"/>
        </w:trPr>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7"/>
              </w:rPr>
              <w:t>Toro Company Amended and Restated 2010 Equity and Incentive Plan (incorporated by reference to 99.5 to Registrant’s</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Registration Statement on Form S-8, Registration No. 333-204336).</w:t>
            </w:r>
          </w:p>
        </w:tc>
      </w:tr>
      <w:tr>
        <w:trPr>
          <w:trHeight w:val="418"/>
        </w:trPr>
        <w:tc>
          <w:tcPr>
            <w:tcW w:w="4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3"/>
              </w:rPr>
              <w:t>Form of Restricted Stock Award Agreement between The Toro Company and its officers and other employees under The Toro</w:t>
            </w:r>
          </w:p>
        </w:tc>
      </w:tr>
      <w:tr>
        <w:trPr>
          <w:trHeight w:val="216"/>
        </w:trPr>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2"/>
              </w:rPr>
              <w:t>Company Amended and Restated 2010 Equity and Incentive Plan (incorporated by reference to 99.6 to Registrant’s Registration</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Statement on Form S-8, Registration No. 333-204336).</w:t>
            </w:r>
          </w:p>
        </w:tc>
      </w:tr>
      <w:tr>
        <w:trPr>
          <w:trHeight w:val="432"/>
        </w:trPr>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tcPr>
          <w:p>
            <w:pPr>
              <w:ind w:left="3900"/>
              <w:spacing w:after="0"/>
              <w:rPr>
                <w:sz w:val="20"/>
                <w:szCs w:val="20"/>
                <w:color w:val="auto"/>
              </w:rPr>
            </w:pPr>
            <w:r>
              <w:rPr>
                <w:rFonts w:ascii="Arial" w:cs="Arial" w:eastAsia="Arial" w:hAnsi="Arial"/>
                <w:sz w:val="18"/>
                <w:szCs w:val="18"/>
                <w:color w:val="auto"/>
              </w:rPr>
              <w:t>30</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740" w:type="dxa"/>
            <w:vAlign w:val="bottom"/>
            <w:tcBorders>
              <w:bottom w:val="single" w:sz="8" w:color="010101"/>
            </w:tcBorders>
          </w:tcPr>
          <w:p>
            <w:pPr>
              <w:spacing w:after="0"/>
              <w:rPr>
                <w:sz w:val="11"/>
                <w:szCs w:val="11"/>
                <w:color w:val="auto"/>
              </w:rPr>
            </w:pPr>
          </w:p>
        </w:tc>
      </w:tr>
      <w:tr>
        <w:trPr>
          <w:trHeight w:val="523"/>
        </w:trPr>
        <w:tc>
          <w:tcPr>
            <w:tcW w:w="17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740" w:type="dxa"/>
            <w:vAlign w:val="bottom"/>
          </w:tcPr>
          <w:p>
            <w:pPr>
              <w:spacing w:after="0"/>
              <w:rPr>
                <w:sz w:val="24"/>
                <w:szCs w:val="24"/>
                <w:color w:val="auto"/>
              </w:rPr>
            </w:pPr>
          </w:p>
        </w:tc>
      </w:tr>
      <w:tr>
        <w:trPr>
          <w:trHeight w:val="438"/>
        </w:trPr>
        <w:tc>
          <w:tcPr>
            <w:tcW w:w="4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ind w:left="200"/>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4"/>
              </w:rPr>
              <w:t>Form of Restricted Stock Unit Award Agreement between The Toro Company and its officers and other employees under The</w:t>
            </w:r>
          </w:p>
        </w:tc>
      </w:tr>
      <w:tr>
        <w:trPr>
          <w:trHeight w:val="216"/>
        </w:trPr>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7"/>
              </w:rPr>
              <w:t>Toro Company Amended and Restated 2010 Equity and Incentive Plan (incorporated by reference to 99.7 to Registrant’s</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Registration Statement on Form S-8, Registration No. 333-204336).</w:t>
            </w:r>
          </w:p>
        </w:tc>
      </w:tr>
      <w:tr>
        <w:trPr>
          <w:trHeight w:val="418"/>
        </w:trPr>
        <w:tc>
          <w:tcPr>
            <w:tcW w:w="4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7"/>
              </w:rPr>
              <w:t>Certification of Chief Executive Officer Pursuant to Rule 13a-14(a) (Section 302 of the Sarbanes-Oxley Act of 2002) (filed</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herewith).</w:t>
            </w:r>
          </w:p>
        </w:tc>
      </w:tr>
      <w:tr>
        <w:trPr>
          <w:trHeight w:val="418"/>
        </w:trPr>
        <w:tc>
          <w:tcPr>
            <w:tcW w:w="4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8"/>
              </w:rPr>
              <w:t>Certification of Chief Financial Officer Pursuant to Rule 13a-14(a) (Section 302 of the Sarbanes-Oxley Act of 2002) (filed</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herewith).</w:t>
            </w:r>
          </w:p>
        </w:tc>
      </w:tr>
      <w:tr>
        <w:trPr>
          <w:trHeight w:val="418"/>
        </w:trPr>
        <w:tc>
          <w:tcPr>
            <w:tcW w:w="4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3"/>
              </w:rPr>
              <w:t>Certification of Chief Executive Officer and Chief Financial Officer Pursuant to 18 U.S.C. Section 1350, as Adopted Pursuant to</w:t>
            </w:r>
          </w:p>
        </w:tc>
      </w:tr>
      <w:tr>
        <w:trPr>
          <w:trHeight w:val="230"/>
        </w:trPr>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Section 906 of the Sarbanes-Oxley Act of 2002 (furnished herewith).</w:t>
            </w:r>
          </w:p>
        </w:tc>
      </w:tr>
      <w:tr>
        <w:trPr>
          <w:trHeight w:val="432"/>
        </w:trPr>
        <w:tc>
          <w:tcPr>
            <w:tcW w:w="4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w w:val="95"/>
              </w:rPr>
              <w:t>The following financial information from The Toro Company’s Quarterly Report on Form 10-Q for the quarterly period 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-2445385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-2445385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351" w:right="199" w:bottom="0" w:gutter="0" w:footer="0" w:header="0"/>
        </w:sectPr>
      </w:pPr>
    </w:p>
    <w:bookmarkStart w:id="22" w:name="page23"/>
    <w:bookmarkEnd w:id="22"/>
    <w:p>
      <w:pPr>
        <w:ind w:left="2040" w:right="160"/>
        <w:spacing w:after="0" w:line="288" w:lineRule="auto"/>
        <w:rPr>
          <w:sz w:val="20"/>
          <w:szCs w:val="20"/>
          <w:color w:val="auto"/>
        </w:rPr>
      </w:pPr>
      <w:r>
        <w:rPr>
          <w:rFonts w:ascii="Arial" w:cs="Arial" w:eastAsia="Arial" w:hAnsi="Arial"/>
          <w:sz w:val="16"/>
          <w:szCs w:val="16"/>
          <w:color w:val="auto"/>
        </w:rPr>
        <w:t>May 1, 2015, filed with the SEC on June 3, 2015, formatted in eXtensible Business Reporting Language (XBRL): (i) Condensed Consolidated Statements of Earnings for the three and six-month periods ended May 1, 2015 and May 2, 2014, (ii) Condensed Consolidated Statements of Comprehensive Income for the three and six-month periods ended May 1, 2015 and May 2, 2014,</w:t>
      </w:r>
    </w:p>
    <w:p>
      <w:pPr>
        <w:ind w:left="2040" w:right="100" w:hanging="6"/>
        <w:spacing w:after="0" w:line="255" w:lineRule="auto"/>
        <w:tabs>
          <w:tab w:leader="none" w:pos="23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Condensed Consolidated Balance Sheets as of May 1, 2015, May 2, 2014, and October 31, 2014, (iv) Condensed Consolidated Statement of Cash Flows for the three and six-month periods ended May 1, 2015 and May 2, 2014, and (v) Notes to Condensed Consolidated Financial Statements (filed herewith).</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920" w:hanging="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8340" w:type="dxa"/>
            <w:vAlign w:val="bottom"/>
            <w:gridSpan w:val="2"/>
          </w:tcPr>
          <w:p>
            <w:pPr>
              <w:jc w:val="center"/>
              <w:ind w:right="2990"/>
              <w:spacing w:after="0"/>
              <w:rPr>
                <w:sz w:val="20"/>
                <w:szCs w:val="20"/>
                <w:color w:val="auto"/>
              </w:rPr>
            </w:pPr>
            <w:r>
              <w:rPr>
                <w:rFonts w:ascii="Arial" w:cs="Arial" w:eastAsia="Arial" w:hAnsi="Arial"/>
                <w:sz w:val="18"/>
                <w:szCs w:val="18"/>
                <w:color w:val="auto"/>
                <w:w w:val="96"/>
              </w:rPr>
              <w:t>THE TORO COMPANY</w:t>
            </w:r>
          </w:p>
        </w:tc>
        <w:tc>
          <w:tcPr>
            <w:tcW w:w="4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8340" w:type="dxa"/>
            <w:vAlign w:val="bottom"/>
            <w:gridSpan w:val="2"/>
          </w:tcPr>
          <w:p>
            <w:pPr>
              <w:jc w:val="center"/>
              <w:ind w:right="2990"/>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20"/>
                <w:szCs w:val="20"/>
                <w:color w:val="auto"/>
              </w:rPr>
            </w:pP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Date: June 3, 2015</w:t>
            </w:r>
          </w:p>
        </w:tc>
        <w:tc>
          <w:tcPr>
            <w:tcW w:w="8340" w:type="dxa"/>
            <w:vAlign w:val="bottom"/>
            <w:gridSpan w:val="2"/>
          </w:tcPr>
          <w:p>
            <w:pPr>
              <w:ind w:left="264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3080" w:type="dxa"/>
            <w:vAlign w:val="bottom"/>
          </w:tcPr>
          <w:p>
            <w:pPr>
              <w:spacing w:after="0"/>
              <w:rPr>
                <w:sz w:val="15"/>
                <w:szCs w:val="15"/>
                <w:color w:val="auto"/>
              </w:rPr>
            </w:pPr>
          </w:p>
        </w:tc>
        <w:tc>
          <w:tcPr>
            <w:tcW w:w="3040" w:type="dxa"/>
            <w:vAlign w:val="bottom"/>
          </w:tcPr>
          <w:p>
            <w:pPr>
              <w:ind w:left="2640"/>
              <w:spacing w:after="0" w:line="182" w:lineRule="exact"/>
              <w:rPr>
                <w:sz w:val="20"/>
                <w:szCs w:val="20"/>
                <w:color w:val="auto"/>
              </w:rPr>
            </w:pPr>
            <w:r>
              <w:rPr>
                <w:rFonts w:ascii="Arial" w:cs="Arial" w:eastAsia="Arial" w:hAnsi="Arial"/>
                <w:sz w:val="18"/>
                <w:szCs w:val="18"/>
                <w:color w:val="auto"/>
                <w:w w:val="71"/>
              </w:rPr>
              <w:t>Renee</w:t>
            </w:r>
          </w:p>
        </w:tc>
        <w:tc>
          <w:tcPr>
            <w:tcW w:w="530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3080" w:type="dxa"/>
            <w:vAlign w:val="bottom"/>
          </w:tcPr>
          <w:p>
            <w:pPr>
              <w:spacing w:after="0"/>
              <w:rPr>
                <w:sz w:val="18"/>
                <w:szCs w:val="18"/>
                <w:color w:val="auto"/>
              </w:rPr>
            </w:pPr>
          </w:p>
        </w:tc>
        <w:tc>
          <w:tcPr>
            <w:tcW w:w="8340" w:type="dxa"/>
            <w:vAlign w:val="bottom"/>
            <w:gridSpan w:val="2"/>
          </w:tcPr>
          <w:p>
            <w:pPr>
              <w:ind w:left="2640"/>
              <w:spacing w:after="0"/>
              <w:rPr>
                <w:sz w:val="20"/>
                <w:szCs w:val="20"/>
                <w:color w:val="auto"/>
              </w:rPr>
            </w:pPr>
            <w:r>
              <w:rPr>
                <w:rFonts w:ascii="Arial" w:cs="Arial" w:eastAsia="Arial" w:hAnsi="Arial"/>
                <w:sz w:val="18"/>
                <w:szCs w:val="18"/>
                <w:color w:val="auto"/>
              </w:rPr>
              <w:t>Vice President, Treasurer</w:t>
            </w:r>
          </w:p>
        </w:tc>
        <w:tc>
          <w:tcPr>
            <w:tcW w:w="4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8340" w:type="dxa"/>
            <w:vAlign w:val="bottom"/>
            <w:gridSpan w:val="2"/>
          </w:tcPr>
          <w:p>
            <w:pPr>
              <w:ind w:left="2680"/>
              <w:spacing w:after="0"/>
              <w:rPr>
                <w:sz w:val="20"/>
                <w:szCs w:val="20"/>
                <w:color w:val="auto"/>
              </w:rPr>
            </w:pPr>
            <w:r>
              <w:rPr>
                <w:rFonts w:ascii="Arial" w:cs="Arial" w:eastAsia="Arial" w:hAnsi="Arial"/>
                <w:sz w:val="18"/>
                <w:szCs w:val="18"/>
                <w:color w:val="auto"/>
              </w:rPr>
              <w:t>and Chief Financial Officer</w:t>
            </w:r>
          </w:p>
        </w:tc>
        <w:tc>
          <w:tcPr>
            <w:tcW w:w="4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8340" w:type="dxa"/>
            <w:vAlign w:val="bottom"/>
            <w:gridSpan w:val="2"/>
          </w:tcPr>
          <w:p>
            <w:pPr>
              <w:ind w:left="2640"/>
              <w:spacing w:after="0"/>
              <w:rPr>
                <w:sz w:val="20"/>
                <w:szCs w:val="20"/>
                <w:color w:val="auto"/>
              </w:rPr>
            </w:pPr>
            <w:r>
              <w:rPr>
                <w:rFonts w:ascii="Arial" w:cs="Arial" w:eastAsia="Arial" w:hAnsi="Arial"/>
                <w:sz w:val="18"/>
                <w:szCs w:val="18"/>
                <w:color w:val="auto"/>
              </w:rPr>
              <w:t>(duly authorized officer and principal financial officer)</w:t>
            </w:r>
          </w:p>
        </w:tc>
        <w:tc>
          <w:tcPr>
            <w:tcW w:w="4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3040" w:type="dxa"/>
            <w:vAlign w:val="bottom"/>
          </w:tcPr>
          <w:p>
            <w:pPr>
              <w:jc w:val="center"/>
              <w:ind w:left="2130"/>
              <w:spacing w:after="0"/>
              <w:rPr>
                <w:sz w:val="20"/>
                <w:szCs w:val="20"/>
                <w:color w:val="auto"/>
              </w:rPr>
            </w:pPr>
            <w:r>
              <w:rPr>
                <w:rFonts w:ascii="Arial" w:cs="Arial" w:eastAsia="Arial" w:hAnsi="Arial"/>
                <w:sz w:val="18"/>
                <w:szCs w:val="18"/>
                <w:color w:val="auto"/>
                <w:w w:val="89"/>
              </w:rPr>
              <w:t>32</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080" w:type="dxa"/>
            <w:vAlign w:val="bottom"/>
            <w:tcBorders>
              <w:bottom w:val="single" w:sz="8" w:color="010101"/>
            </w:tcBorders>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c>
          <w:tcPr>
            <w:tcW w:w="5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June 3,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3,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May 1, 2015 as filed with the Securities and Exchange Commission on the date hereof (the “Report”), we, Michael J. Hoffman,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 2015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 2015</w:t>
      </w:r>
    </w:p>
    <w:p>
      <w:pPr>
        <w:spacing w:after="0" w:line="200" w:lineRule="exact"/>
        <w:rPr>
          <w:sz w:val="20"/>
          <w:szCs w:val="20"/>
          <w:color w:val="auto"/>
        </w:rPr>
      </w:pPr>
    </w:p>
    <w:p>
      <w:pPr>
        <w:spacing w:after="0" w:line="22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Roman"/>
      <w:start w:val="3"/>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2019-12-29T16:51:08Z</dcterms:created>
  <dcterms:modified xsi:type="dcterms:W3CDTF">2019-12-29T16:51:08Z</dcterms:modified>
</cp:coreProperties>
</file>