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CIO, VP Contractor Business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40" w:type="dxa"/>
            <w:vAlign w:val="bottom"/>
            <w:gridSpan w:val="2"/>
          </w:tcPr>
          <w:p>
            <w:pPr>
              <w:ind w:left="720"/>
              <w:spacing w:after="0"/>
              <w:rPr>
                <w:sz w:val="20"/>
                <w:szCs w:val="20"/>
                <w:color w:val="auto"/>
              </w:rPr>
            </w:pPr>
            <w:r>
              <w:rPr>
                <w:rFonts w:ascii="Arial" w:cs="Arial" w:eastAsia="Arial" w:hAnsi="Arial"/>
                <w:sz w:val="18"/>
                <w:szCs w:val="18"/>
                <w:color w:val="0000FF"/>
              </w:rPr>
              <w:t>03/31/2011</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G</w:t>
            </w:r>
          </w:p>
        </w:tc>
        <w:tc>
          <w:tcPr>
            <w:tcW w:w="340" w:type="dxa"/>
            <w:vAlign w:val="bottom"/>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Pr>
          <w:p>
            <w:pPr>
              <w:ind w:left="300"/>
              <w:spacing w:after="0"/>
              <w:rPr>
                <w:sz w:val="20"/>
                <w:szCs w:val="20"/>
                <w:color w:val="auto"/>
              </w:rPr>
            </w:pPr>
            <w:r>
              <w:rPr>
                <w:rFonts w:ascii="Arial" w:cs="Arial" w:eastAsia="Arial" w:hAnsi="Arial"/>
                <w:sz w:val="18"/>
                <w:szCs w:val="18"/>
                <w:color w:val="0000FF"/>
              </w:rPr>
              <w:t>150</w:t>
            </w:r>
          </w:p>
        </w:tc>
        <w:tc>
          <w:tcPr>
            <w:tcW w:w="520" w:type="dxa"/>
            <w:vAlign w:val="bottom"/>
          </w:tcPr>
          <w:p>
            <w:pPr>
              <w:ind w:left="300"/>
              <w:spacing w:after="0"/>
              <w:rPr>
                <w:sz w:val="20"/>
                <w:szCs w:val="20"/>
                <w:color w:val="auto"/>
              </w:rPr>
            </w:pPr>
            <w:r>
              <w:rPr>
                <w:rFonts w:ascii="Arial" w:cs="Arial" w:eastAsia="Arial" w:hAnsi="Arial"/>
                <w:sz w:val="18"/>
                <w:szCs w:val="18"/>
                <w:color w:val="0000FF"/>
              </w:rPr>
              <w:t>D</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7"/>
              </w:rPr>
              <w:t>21,605</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3"/>
              </w:rPr>
              <w:t>2,053.465</w:t>
            </w:r>
            <w:r>
              <w:rPr>
                <w:rFonts w:ascii="Arial" w:cs="Arial" w:eastAsia="Arial" w:hAnsi="Arial"/>
                <w:sz w:val="22"/>
                <w:szCs w:val="22"/>
                <w:color w:val="008000"/>
                <w:w w:val="83"/>
                <w:vertAlign w:val="superscript"/>
              </w:rPr>
              <w:t>(1)</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6"/>
              </w:rPr>
              <w:t>13,080.231</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0"/>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58.142 shares of common stock acquired by the reporting person through issuer annual investment fund contributions to The Toro Company Investment, Savings &amp; ESOP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04/04/2011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210" w:lineRule="exact"/>
        <w:rPr>
          <w:sz w:val="20"/>
          <w:szCs w:val="20"/>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Michael D. Drazan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D. Drazan</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03/28/2011</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2019-12-17T00:03:48Z</dcterms:created>
  <dcterms:modified xsi:type="dcterms:W3CDTF">2019-12-17T00:03:48Z</dcterms:modified>
</cp:coreProperties>
</file>