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436245</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394970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66" w:lineRule="exact"/>
        <w:rPr>
          <w:sz w:val="24"/>
          <w:szCs w:val="24"/>
          <w:color w:val="auto"/>
        </w:rPr>
      </w:pPr>
    </w:p>
    <w:p>
      <w:pPr>
        <w:ind w:left="2040" w:hanging="300"/>
        <w:spacing w:after="0"/>
        <w:tabs>
          <w:tab w:leader="none" w:pos="2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July 29, 2022</w:t>
      </w:r>
    </w:p>
    <w:p>
      <w:pPr>
        <w:spacing w:after="0" w:line="248" w:lineRule="exact"/>
        <w:rPr>
          <w:sz w:val="24"/>
          <w:szCs w:val="24"/>
          <w:color w:val="auto"/>
        </w:rPr>
      </w:pPr>
    </w:p>
    <w:p>
      <w:pPr>
        <w:ind w:left="2040" w:hanging="335"/>
        <w:spacing w:after="0"/>
        <w:tabs>
          <w:tab w:leader="none" w:pos="20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44" w:lineRule="exact"/>
        <w:rPr>
          <w:sz w:val="24"/>
          <w:szCs w:val="24"/>
          <w:color w:val="auto"/>
        </w:rPr>
      </w:pPr>
    </w:p>
    <w:p>
      <w:pPr>
        <w:jc w:val="right"/>
        <w:ind w:right="4400"/>
        <w:spacing w:after="0"/>
        <w:tabs>
          <w:tab w:leader="none" w:pos="31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 w:lineRule="exact"/>
        <w:rPr>
          <w:sz w:val="24"/>
          <w:szCs w:val="24"/>
          <w:color w:val="auto"/>
        </w:rPr>
      </w:pPr>
    </w:p>
    <w:p>
      <w:pPr>
        <w:jc w:val="right"/>
        <w:ind w:right="4460"/>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b w:val="1"/>
          <w:bCs w:val="1"/>
          <w:color w:val="auto"/>
        </w:rPr>
        <w:t>1-8649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TORO COMPANY</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60"/>
          </w:cols>
          <w:pgMar w:left="320" w:top="226" w:right="319" w:bottom="1440" w:gutter="0" w:footer="0" w:header="0"/>
        </w:sectPr>
      </w:pPr>
    </w:p>
    <w:p>
      <w:pPr>
        <w:spacing w:after="0" w:line="11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41-0580470</w:t>
      </w:r>
    </w:p>
    <w:p>
      <w:pPr>
        <w:spacing w:after="0" w:line="33" w:lineRule="exact"/>
        <w:rPr>
          <w:sz w:val="24"/>
          <w:szCs w:val="24"/>
          <w:color w:val="auto"/>
        </w:rPr>
      </w:pPr>
    </w:p>
    <w:p>
      <w:pPr>
        <w:sectPr>
          <w:pgSz w:w="11900" w:h="16838" w:orient="portrait"/>
          <w:cols w:equalWidth="0" w:num="2">
            <w:col w:w="8080" w:space="720"/>
            <w:col w:w="2460"/>
          </w:cols>
          <w:pgMar w:left="320" w:top="226" w:right="31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10"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371" w:lineRule="exact"/>
        <w:rPr>
          <w:sz w:val="24"/>
          <w:szCs w:val="24"/>
          <w:color w:val="auto"/>
        </w:rPr>
      </w:pPr>
    </w:p>
    <w:p>
      <w:pPr>
        <w:sectPr>
          <w:pgSz w:w="11900" w:h="16838" w:orient="portrait"/>
          <w:cols w:equalWidth="0" w:num="2">
            <w:col w:w="7420" w:space="720"/>
            <w:col w:w="3120"/>
          </w:cols>
          <w:pgMar w:left="320" w:top="226" w:right="319" w:bottom="1440" w:gutter="0" w:footer="0" w:header="0"/>
          <w:type w:val="continuous"/>
        </w:sectPr>
      </w:pPr>
    </w:p>
    <w:p>
      <w:pPr>
        <w:spacing w:after="0" w:line="1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8111 Lyndale Avenue South</w:t>
      </w:r>
    </w:p>
    <w:p>
      <w:pPr>
        <w:spacing w:after="0" w:line="3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Bloomington, Minnesota 55420-1196</w:t>
      </w:r>
    </w:p>
    <w:p>
      <w:pPr>
        <w:spacing w:after="0" w:line="1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Telephone Number: (952) 888-8801</w:t>
      </w:r>
    </w:p>
    <w:p>
      <w:pPr>
        <w:spacing w:after="0" w:line="1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94"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Name of each exchange on which registered</w:t>
            </w:r>
          </w:p>
        </w:tc>
      </w:tr>
      <w:tr>
        <w:trPr>
          <w:trHeight w:val="215"/>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$1.00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TTC</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bl>
    <w:p>
      <w:pPr>
        <w:spacing w:after="0" w:line="307"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ind w:right="20"/>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75" w:lineRule="exact"/>
        <w:rPr>
          <w:sz w:val="24"/>
          <w:szCs w:val="24"/>
          <w:color w:val="auto"/>
        </w:rPr>
      </w:pPr>
    </w:p>
    <w:p>
      <w:pPr>
        <w:ind w:right="20"/>
        <w:spacing w:after="0" w:line="21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2360"/>
        <w:spacing w:after="0" w:line="20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shares of the registrant’s common stock outstanding as of August 25, 2022 was 104,202,639.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709930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712152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74930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20" w:type="dxa"/>
            <w:vAlign w:val="bottom"/>
            <w:gridSpan w:val="11"/>
          </w:tcPr>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THE TORO COMPANY</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20" w:type="dxa"/>
            <w:vAlign w:val="bottom"/>
            <w:gridSpan w:val="11"/>
          </w:tcPr>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FORM 10-Q</w:t>
            </w: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20" w:type="dxa"/>
            <w:vAlign w:val="bottom"/>
            <w:gridSpan w:val="11"/>
          </w:tcPr>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Page Number</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8760" w:type="dxa"/>
            <w:vAlign w:val="bottom"/>
            <w:gridSpan w:val="31"/>
          </w:tcPr>
          <w:p>
            <w:pPr>
              <w:spacing w:after="0"/>
              <w:rPr>
                <w:sz w:val="20"/>
                <w:szCs w:val="20"/>
                <w:color w:val="auto"/>
              </w:rPr>
            </w:pPr>
            <w:r>
              <w:rPr>
                <w:rFonts w:ascii="Times New Roman" w:cs="Times New Roman" w:eastAsia="Times New Roman" w:hAnsi="Times New Roman"/>
                <w:sz w:val="17"/>
                <w:szCs w:val="17"/>
                <w:b w:val="1"/>
                <w:bCs w:val="1"/>
                <w:color w:val="0000FF"/>
              </w:rPr>
              <w:t>CAUTIONARY NOTE REGARDING FORWARD-LOOKING STATEMENTS</w:t>
            </w:r>
          </w:p>
        </w:tc>
        <w:tc>
          <w:tcPr>
            <w:tcW w:w="24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2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w:t>
            </w:r>
          </w:p>
        </w:tc>
        <w:tc>
          <w:tcPr>
            <w:tcW w:w="180" w:type="dxa"/>
            <w:vAlign w:val="bottom"/>
            <w:tcBorders>
              <w:top w:val="single" w:sz="8" w:color="0000FF"/>
            </w:tcBorders>
          </w:tcPr>
          <w:p>
            <w:pPr>
              <w:spacing w:after="0"/>
              <w:rPr>
                <w:sz w:val="24"/>
                <w:szCs w:val="24"/>
                <w:color w:val="auto"/>
              </w:rPr>
            </w:pPr>
          </w:p>
        </w:tc>
        <w:tc>
          <w:tcPr>
            <w:tcW w:w="44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7"/>
                <w:szCs w:val="17"/>
                <w:b w:val="1"/>
                <w:bCs w:val="1"/>
                <w:color w:val="0000FF"/>
              </w:rPr>
              <w:t>FINANCIAL INFORMATION:</w:t>
            </w:r>
          </w:p>
        </w:tc>
        <w:tc>
          <w:tcPr>
            <w:tcW w:w="2920" w:type="dxa"/>
            <w:vAlign w:val="bottom"/>
            <w:gridSpan w:val="7"/>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7"/>
              </w:rPr>
              <w:t>Item 1.</w:t>
            </w:r>
          </w:p>
        </w:tc>
        <w:tc>
          <w:tcPr>
            <w:tcW w:w="80" w:type="dxa"/>
            <w:vAlign w:val="bottom"/>
            <w:tcBorders>
              <w:top w:val="single" w:sz="8" w:color="0000FF"/>
            </w:tcBorders>
          </w:tcPr>
          <w:p>
            <w:pPr>
              <w:spacing w:after="0"/>
              <w:rPr>
                <w:sz w:val="24"/>
                <w:szCs w:val="24"/>
                <w:color w:val="auto"/>
              </w:rPr>
            </w:pPr>
          </w:p>
        </w:tc>
        <w:tc>
          <w:tcPr>
            <w:tcW w:w="6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5040" w:type="dxa"/>
            <w:vAlign w:val="bottom"/>
            <w:gridSpan w:val="13"/>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Earnings (Unaudited)</w:t>
            </w:r>
          </w:p>
        </w:tc>
        <w:tc>
          <w:tcPr>
            <w:tcW w:w="2640" w:type="dxa"/>
            <w:vAlign w:val="bottom"/>
            <w:gridSpan w:val="5"/>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6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(Unaudited)</w:t>
            </w:r>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Balance Sheets (Unaudited)</w:t>
            </w:r>
          </w:p>
        </w:tc>
        <w:tc>
          <w:tcPr>
            <w:tcW w:w="2060" w:type="dxa"/>
            <w:vAlign w:val="bottom"/>
            <w:gridSpan w:val="8"/>
          </w:tcPr>
          <w:p>
            <w:pPr>
              <w:spacing w:after="0"/>
              <w:rPr>
                <w:sz w:val="24"/>
                <w:szCs w:val="24"/>
                <w:color w:val="auto"/>
              </w:rPr>
            </w:pPr>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24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(Unaudited)</w:t>
            </w:r>
          </w:p>
        </w:tc>
        <w:tc>
          <w:tcPr>
            <w:tcW w:w="24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340" w:type="dxa"/>
            <w:vAlign w:val="bottom"/>
          </w:tcPr>
          <w:p>
            <w:pPr>
              <w:spacing w:after="0"/>
              <w:rPr>
                <w:sz w:val="24"/>
                <w:szCs w:val="24"/>
                <w:color w:val="auto"/>
              </w:rPr>
            </w:pPr>
          </w:p>
        </w:tc>
        <w:tc>
          <w:tcPr>
            <w:tcW w:w="2020" w:type="dxa"/>
            <w:vAlign w:val="bottom"/>
            <w:gridSpan w:val="3"/>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7"/>
              </w:rPr>
              <w:t>Item 2.</w:t>
            </w:r>
          </w:p>
        </w:tc>
        <w:tc>
          <w:tcPr>
            <w:tcW w:w="680" w:type="dxa"/>
            <w:vAlign w:val="bottom"/>
            <w:gridSpan w:val="4"/>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6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7"/>
              </w:rPr>
              <w:t>Company Overview</w:t>
            </w:r>
          </w:p>
        </w:tc>
        <w:tc>
          <w:tcPr>
            <w:tcW w:w="4480" w:type="dxa"/>
            <w:vAlign w:val="bottom"/>
            <w:gridSpan w:val="15"/>
          </w:tcPr>
          <w:p>
            <w:pPr>
              <w:spacing w:after="0"/>
              <w:rPr>
                <w:sz w:val="24"/>
                <w:szCs w:val="24"/>
                <w:color w:val="auto"/>
              </w:rPr>
            </w:pPr>
          </w:p>
        </w:tc>
        <w:tc>
          <w:tcPr>
            <w:tcW w:w="1200" w:type="dxa"/>
            <w:vAlign w:val="bottom"/>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Results of Operations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w w:val="99"/>
              </w:rPr>
              <w:t>Business Segments</w:t>
            </w:r>
          </w:p>
        </w:tc>
        <w:tc>
          <w:tcPr>
            <w:tcW w:w="160" w:type="dxa"/>
            <w:vAlign w:val="bottom"/>
            <w:gridSpan w:val="2"/>
          </w:tcPr>
          <w:p>
            <w:pPr>
              <w:spacing w:after="0"/>
              <w:rPr>
                <w:sz w:val="24"/>
                <w:szCs w:val="24"/>
                <w:color w:val="auto"/>
              </w:rPr>
            </w:pPr>
          </w:p>
        </w:tc>
        <w:tc>
          <w:tcPr>
            <w:tcW w:w="5580" w:type="dxa"/>
            <w:vAlign w:val="bottom"/>
            <w:gridSpan w:val="15"/>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Financial Position</w:t>
            </w:r>
          </w:p>
        </w:tc>
        <w:tc>
          <w:tcPr>
            <w:tcW w:w="5740" w:type="dxa"/>
            <w:vAlign w:val="bottom"/>
            <w:gridSpan w:val="17"/>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Non-GAAP Financial Measures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Critical Accounting Policies and Estimates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7"/>
              </w:rPr>
              <w:t>Item 3.</w:t>
            </w:r>
          </w:p>
        </w:tc>
        <w:tc>
          <w:tcPr>
            <w:tcW w:w="680" w:type="dxa"/>
            <w:vAlign w:val="bottom"/>
            <w:gridSpan w:val="4"/>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6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7"/>
              </w:rPr>
              <w:t>Item 4.</w:t>
            </w:r>
          </w:p>
        </w:tc>
        <w:tc>
          <w:tcPr>
            <w:tcW w:w="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w w:val="99"/>
              </w:rPr>
              <w:t>Controls and Procedures</w:t>
            </w:r>
          </w:p>
        </w:tc>
        <w:tc>
          <w:tcPr>
            <w:tcW w:w="2420" w:type="dxa"/>
            <w:vAlign w:val="bottom"/>
            <w:gridSpan w:val="7"/>
          </w:tcPr>
          <w:p>
            <w:pPr>
              <w:spacing w:after="0"/>
              <w:rPr>
                <w:sz w:val="24"/>
                <w:szCs w:val="24"/>
                <w:color w:val="auto"/>
              </w:rPr>
            </w:pPr>
          </w:p>
        </w:tc>
        <w:tc>
          <w:tcPr>
            <w:tcW w:w="3260" w:type="dxa"/>
            <w:vAlign w:val="bottom"/>
            <w:gridSpan w:val="9"/>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II.</w:t>
            </w:r>
          </w:p>
        </w:tc>
        <w:tc>
          <w:tcPr>
            <w:tcW w:w="180" w:type="dxa"/>
            <w:vAlign w:val="bottom"/>
          </w:tcPr>
          <w:p>
            <w:pPr>
              <w:spacing w:after="0"/>
              <w:rPr>
                <w:sz w:val="24"/>
                <w:szCs w:val="24"/>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7"/>
                <w:szCs w:val="17"/>
                <w:b w:val="1"/>
                <w:bCs w:val="1"/>
                <w:color w:val="0000FF"/>
              </w:rPr>
              <w:t>OTHER INFORMATION:</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7"/>
              </w:rPr>
              <w:t>Item 1.</w:t>
            </w:r>
          </w:p>
        </w:tc>
        <w:tc>
          <w:tcPr>
            <w:tcW w:w="140" w:type="dxa"/>
            <w:vAlign w:val="bottom"/>
            <w:tcBorders>
              <w:top w:val="single" w:sz="8" w:color="0000FF"/>
            </w:tcBorders>
            <w:gridSpan w:val="3"/>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Legal Proceedings</w:t>
            </w:r>
          </w:p>
        </w:tc>
        <w:tc>
          <w:tcPr>
            <w:tcW w:w="720" w:type="dxa"/>
            <w:vAlign w:val="bottom"/>
            <w:tcBorders>
              <w:top w:val="single" w:sz="8" w:color="0000FF"/>
            </w:tcBorders>
            <w:gridSpan w:val="6"/>
          </w:tcPr>
          <w:p>
            <w:pPr>
              <w:spacing w:after="0"/>
              <w:rPr>
                <w:sz w:val="24"/>
                <w:szCs w:val="24"/>
                <w:color w:val="auto"/>
              </w:rPr>
            </w:pPr>
          </w:p>
        </w:tc>
        <w:tc>
          <w:tcPr>
            <w:tcW w:w="5380" w:type="dxa"/>
            <w:vAlign w:val="bottom"/>
            <w:gridSpan w:val="14"/>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80" w:type="dxa"/>
            <w:vAlign w:val="bottom"/>
            <w:gridSpan w:val="12"/>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Item 1A.</w:t>
            </w:r>
          </w:p>
        </w:tc>
        <w:tc>
          <w:tcPr>
            <w:tcW w:w="180" w:type="dxa"/>
            <w:vAlign w:val="bottom"/>
          </w:tcPr>
          <w:p>
            <w:pPr>
              <w:spacing w:after="0"/>
              <w:rPr>
                <w:sz w:val="24"/>
                <w:szCs w:val="24"/>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300" w:type="dxa"/>
            <w:vAlign w:val="bottom"/>
            <w:gridSpan w:val="13"/>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7"/>
              </w:rPr>
              <w:t>Item 2.</w:t>
            </w:r>
          </w:p>
        </w:tc>
        <w:tc>
          <w:tcPr>
            <w:tcW w:w="1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20" w:type="dxa"/>
            <w:vAlign w:val="bottom"/>
            <w:gridSpan w:val="14"/>
            <w:shd w:val="clear" w:color="auto" w:fill="0000FF"/>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7"/>
              </w:rPr>
              <w:t>Item 6.</w:t>
            </w:r>
          </w:p>
        </w:tc>
        <w:tc>
          <w:tcPr>
            <w:tcW w:w="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3580" w:type="dxa"/>
            <w:vAlign w:val="bottom"/>
            <w:gridSpan w:val="15"/>
          </w:tcPr>
          <w:p>
            <w:pPr>
              <w:spacing w:after="0"/>
              <w:rPr>
                <w:sz w:val="24"/>
                <w:szCs w:val="24"/>
                <w:color w:val="auto"/>
              </w:rPr>
            </w:pPr>
          </w:p>
        </w:tc>
        <w:tc>
          <w:tcPr>
            <w:tcW w:w="3220" w:type="dxa"/>
            <w:vAlign w:val="bottom"/>
            <w:gridSpan w:val="8"/>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40" w:type="dxa"/>
            <w:vAlign w:val="bottom"/>
            <w:gridSpan w:val="2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6640" w:type="dxa"/>
            <w:vAlign w:val="bottom"/>
            <w:gridSpan w:val="22"/>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Quarterly Report on Form 10-Q contains not only historical information, but also forward-looking statements within the meaning of the Private Securities Litigation Reform Act of 1995.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"outlook," "guidance," "forecast," "goal," "anticipate," "continue," "plan," "estimate," "project," "target," "improve," "believe," "become," "should," "could," "will," "would," "possible," "may," "likely," "intend," "can," "pursue," "potential," "pro forma," variations of such words or the negative thereof, and similar expressions or future dates. Our forward-looking statements generally relate to our future performance, including our anticipated operating results, liquidity requirements and financial condition; the anticipated impacts of the novel coronavirus ("COVID-19" or "virus"), current global supply chain disruptions, Russia's invasion of Ukraine and the related sanctions and geopolitical tensions, the inflationary environment, tight labor market and other macroeconomic factors; our business strategies, priorities, goals, and commitments; acquisitions and business initiatives; and the effect of laws, rules, policies, regulations, tax reform, new accounting pronouncements, and outstanding litigation on our business and future performance.</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Forward-looking statements are only projections and involve risks and uncertainties that could cause actual results to differ materially from those projected or implied in the forward-looking statements. The following are some of the factors known to us that could cause our actual results to differ materially from what we have anticipated in our forward-looking statements:</w:t>
      </w:r>
    </w:p>
    <w:p>
      <w:pPr>
        <w:spacing w:after="0" w:line="64" w:lineRule="exact"/>
        <w:rPr>
          <w:sz w:val="20"/>
          <w:szCs w:val="20"/>
          <w:color w:val="auto"/>
        </w:rPr>
      </w:pPr>
    </w:p>
    <w:p>
      <w:pPr>
        <w:jc w:val="both"/>
        <w:ind w:left="620" w:hanging="307"/>
        <w:spacing w:after="0" w:line="25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economic conditions and outlook in the United States and in other countries in which we conduct business, including as a result of COVID-19 or Russia's invasion of Ukraine and the related sanctions and geopolitical tensions, such as but not limited to business closures, slowdowns, suspensions or delays of production and commercial activity; slow or negative economic growth rates or recessionary conditions; reduced or negative consumer confidence; reduced consumer spending levels; increased or prolonged high or low unemployment rates; tight labor market, higher costs, longer lead times and reduced availability of commodities, components, parts, and accessories, including as a result of transportation-related costs, inflation, changing prices, foreign currency fluctuations, tariffs, and/or duties; inflationary or deflationary pressures; slowdowns or reductions in levels of interest in the game of golf or golf course activity, development, renovation or improvement; golf course closures; reduced governmental or municipal spending; reduced infrastructure spending; reduced levels of home ownership, construction or sales; home foreclosures; the impact of U.S. federal debt, state debt and sovereign debt defaults; reduced credit availability or unfavorable credit terms for us or our distributors, dealers, or end-user customers; higher short-term, mortgage, and other interest rates; and general economic and political conditions and expectations;</w:t>
      </w:r>
    </w:p>
    <w:p>
      <w:pPr>
        <w:spacing w:after="0" w:line="7"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effects associated with COVID-19, including its variants, and the macroeconomic effects resulting therefrom, on (i) our business, financial condition, and operating results; (ii) our dealers, distributors, mass retailers, and other channel partners and customers; (iii) our suppliers and companies throughout our supply chain and any such supplier's ability to meet supply commitments, requirements, and/or demands; (iv) our ability to continue to obtain commodities, components, parts, and accessories on a timely basis through our supply chain and at anticipated costs; (v) the financial and credit markets and economic activity generally; (vi) our ability to access lending, capital markets, and other sources of liquidity when needed on reasonable terms or at all; and (vii) other risks described herein and in our U.S. Securities and Exchange Commission ("SEC") reports, which have been and could continue to be heightened as a result of COVID-19;</w:t>
      </w:r>
    </w:p>
    <w:p>
      <w:pPr>
        <w:spacing w:after="0" w:line="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disruption and/or shortages in the availability of and the cost of commodities, components, parts, or accessories used in our products;</w:t>
      </w:r>
    </w:p>
    <w:p>
      <w:pPr>
        <w:spacing w:after="0" w:line="1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enhance existing products and develop and market new products that respond to customer needs and preferences and achieve market acceptance;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that weather conditions or climate change have on demand for our products and operations, including our supply chain;</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product mix;</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of competition;</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cost-effectively expand and renovate existing facilities, open and manage new or acquired facilities, move production between manufacturing facilities, and/or any disruption at or near any of our facilities or other operations or those of our suppliers, distribution channel customers, mass retailers, or home centers where our products are sold;</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our executive officers or other key employees, attract and retain other qualified employees or successfully implement executive officer, key employee or other leadership or employee transitions and any failure by us, or our suppliers or distribution channel partners, to hire and/or retain a labor force to enhance existing products and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7"/>
          <w:szCs w:val="17"/>
          <w:color w:val="auto"/>
        </w:rPr>
        <w:t>develop and market new products, adequately staff manufacturing operations, perform service or warranty work or other necessary activities, or allow employees to adequately and safely perform their jobs;</w:t>
      </w: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maintain appropriate inventory levels, including as a result of global supply chain disruptions, and if we underestimate or overestimate demand for our products, and the effect of inventory management decisions of our distribution channel customers;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composition of, financial viability of, and the relationships with, our distribution channel customers;</w:t>
      </w:r>
    </w:p>
    <w:p>
      <w:pPr>
        <w:spacing w:after="0" w:line="1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credit arrangements and ratings and any material change in the availability or terms of, or termination or disruption of, credit offered to our customers, distributors, and dealers;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international operations, including but not limited to the effect of foreign currency exchange rate fluctuations and compliance with foreign legal and regulatory requirements, and Russia's invasion of Ukraine and the related sanctions and geopolitical tensions;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all applicable legal and regulatory requirements and the effect of product quality issues, product liability claims, and other litigation to which we are or may be subject;</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acquisitions and alliances, joint ventures, investments or partnerships and our failure to successfully complete divestitures or other restructuring activities;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protect our intellectual property and other proprietary rights or operate our business without infringing upon the intellectual property or other proprietary rights of others;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information systems or information security practices or those of our business partners or third-party service providers to adequately perform and/or protect sensitive or confidential information;</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our financial projections or other business initiatives in the time periods that we anticipate or at all;</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or tax standards and policies and/or assumptions utilized in determining accounting tax estimates;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of increased scrutiny on our environmental, social and governance (“ESG”) practices and SEC rule making on ESG disclosures.</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Part II, Item 1A, "Risk Factors" of this report; and our subsequent filings with the SEC.</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Part II, Item 1A, "Risk Factors" of this report, and our subsequent SEC filings, as well as others that we may consider immaterial or do not anticipate at this time. These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Earnings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and shares in thousands,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right"/>
              <w:ind w:right="69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69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July 30, 2021</w:t>
            </w:r>
          </w:p>
        </w:tc>
      </w:tr>
      <w:tr>
        <w:trPr>
          <w:trHeight w:val="21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1,160,550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976,836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3,342,678</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2,998,929</w:t>
            </w:r>
          </w:p>
        </w:tc>
      </w:tr>
      <w:tr>
        <w:trPr>
          <w:trHeight w:val="217"/>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760,644</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645,719</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2,236,927</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1,949,823</w:t>
            </w:r>
          </w:p>
        </w:tc>
      </w:tr>
      <w:tr>
        <w:trPr>
          <w:trHeight w:val="216"/>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399,906</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331,117</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1,105,751</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1,049,106</w:t>
            </w:r>
          </w:p>
        </w:tc>
      </w:tr>
      <w:tr>
        <w:trPr>
          <w:trHeight w:val="217"/>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236,858</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209,178</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680,500</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604,986</w:t>
            </w:r>
          </w:p>
        </w:tc>
      </w:tr>
      <w:tr>
        <w:trPr>
          <w:trHeight w:val="216"/>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163,048</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121,939</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425,251</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444,120</w:t>
            </w:r>
          </w:p>
        </w:tc>
      </w:tr>
      <w:tr>
        <w:trPr>
          <w:trHeight w:val="21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(9,182)</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(7,016)</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(24,219)</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(21,662)</w:t>
            </w:r>
          </w:p>
        </w:tc>
      </w:tr>
      <w:tr>
        <w:trPr>
          <w:trHeight w:val="22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3,225</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2,528</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8,262</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8,062</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4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157,091</w:t>
            </w:r>
          </w:p>
        </w:tc>
        <w:tc>
          <w:tcPr>
            <w:tcW w:w="240" w:type="dxa"/>
            <w:vAlign w:val="bottom"/>
          </w:tcPr>
          <w:p>
            <w:pPr>
              <w:spacing w:after="0"/>
              <w:rPr>
                <w:sz w:val="18"/>
                <w:szCs w:val="18"/>
                <w:color w:val="auto"/>
              </w:rPr>
            </w:pP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117,451</w:t>
            </w:r>
          </w:p>
        </w:tc>
        <w:tc>
          <w:tcPr>
            <w:tcW w:w="22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409,294</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430,520</w:t>
            </w:r>
          </w:p>
        </w:tc>
      </w:tr>
      <w:tr>
        <w:trPr>
          <w:trHeight w:val="22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31,941</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21,131</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83,509</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80,748</w:t>
            </w:r>
          </w:p>
        </w:tc>
      </w:tr>
      <w:tr>
        <w:trPr>
          <w:trHeight w:val="213"/>
        </w:trPr>
        <w:tc>
          <w:tcPr>
            <w:tcW w:w="5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125,150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96,320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325,785</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349,772</w:t>
            </w:r>
          </w:p>
        </w:tc>
      </w:tr>
      <w:tr>
        <w:trPr>
          <w:trHeight w:val="22"/>
        </w:trPr>
        <w:tc>
          <w:tcPr>
            <w:tcW w:w="5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0"/>
        </w:trPr>
        <w:tc>
          <w:tcPr>
            <w:tcW w:w="5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22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earnings per share of common stock</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0.90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3.10</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83"/>
        </w:trPr>
        <w:tc>
          <w:tcPr>
            <w:tcW w:w="5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17"/>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earnings per share of common stock</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0.89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3.08</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86"/>
        </w:trPr>
        <w:tc>
          <w:tcPr>
            <w:tcW w:w="5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104,827</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107,130</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104,931</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107,667</w:t>
            </w:r>
          </w:p>
        </w:tc>
      </w:tr>
      <w:tr>
        <w:trPr>
          <w:trHeight w:val="103"/>
        </w:trPr>
        <w:tc>
          <w:tcPr>
            <w:tcW w:w="5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17"/>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105,448</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108,363</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105,754</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108,818</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Comprehensive Income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4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125,150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96,320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325,785</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349,772</w:t>
            </w:r>
          </w:p>
        </w:tc>
        <w:tc>
          <w:tcPr>
            <w:tcW w:w="0" w:type="dxa"/>
            <w:vAlign w:val="bottom"/>
          </w:tcPr>
          <w:p>
            <w:pPr>
              <w:spacing w:after="0"/>
              <w:rPr>
                <w:sz w:val="1"/>
                <w:szCs w:val="1"/>
                <w:color w:val="auto"/>
              </w:rPr>
            </w:pPr>
          </w:p>
        </w:tc>
      </w:tr>
      <w:tr>
        <w:trPr>
          <w:trHeight w:val="21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(5,314)</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6,685</w:t>
            </w:r>
          </w:p>
        </w:tc>
        <w:tc>
          <w:tcPr>
            <w:tcW w:w="0" w:type="dxa"/>
            <w:vAlign w:val="bottom"/>
          </w:tcPr>
          <w:p>
            <w:pPr>
              <w:spacing w:after="0"/>
              <w:rPr>
                <w:sz w:val="1"/>
                <w:szCs w:val="1"/>
                <w:color w:val="auto"/>
              </w:rPr>
            </w:pPr>
          </w:p>
        </w:tc>
      </w:tr>
      <w:tr>
        <w:trPr>
          <w:trHeight w:val="155"/>
        </w:trPr>
        <w:tc>
          <w:tcPr>
            <w:tcW w:w="4980" w:type="dxa"/>
            <w:vAlign w:val="bottom"/>
          </w:tcPr>
          <w:p>
            <w:pPr>
              <w:ind w:left="140"/>
              <w:spacing w:after="0" w:line="155" w:lineRule="exact"/>
              <w:rPr>
                <w:sz w:val="20"/>
                <w:szCs w:val="20"/>
                <w:color w:val="auto"/>
              </w:rPr>
            </w:pPr>
            <w:r>
              <w:rPr>
                <w:rFonts w:ascii="Times New Roman" w:cs="Times New Roman" w:eastAsia="Times New Roman" w:hAnsi="Times New Roman"/>
                <w:sz w:val="16"/>
                <w:szCs w:val="16"/>
                <w:color w:val="auto"/>
              </w:rPr>
              <w:t>Derivative instruments, net of tax of $863; $2,641; $4,895; and $140,</w:t>
            </w:r>
          </w:p>
        </w:tc>
        <w:tc>
          <w:tcPr>
            <w:tcW w:w="480" w:type="dxa"/>
            <w:vAlign w:val="bottom"/>
          </w:tcPr>
          <w:p>
            <w:pPr>
              <w:spacing w:after="0"/>
              <w:rPr>
                <w:sz w:val="13"/>
                <w:szCs w:val="13"/>
                <w:color w:val="auto"/>
              </w:rPr>
            </w:pPr>
          </w:p>
        </w:tc>
        <w:tc>
          <w:tcPr>
            <w:tcW w:w="128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2,472</w:t>
            </w:r>
          </w:p>
        </w:tc>
        <w:tc>
          <w:tcPr>
            <w:tcW w:w="220" w:type="dxa"/>
            <w:vAlign w:val="bottom"/>
          </w:tcPr>
          <w:p>
            <w:pPr>
              <w:spacing w:after="0"/>
              <w:rPr>
                <w:sz w:val="13"/>
                <w:szCs w:val="13"/>
                <w:color w:val="auto"/>
              </w:rPr>
            </w:pPr>
          </w:p>
        </w:tc>
        <w:tc>
          <w:tcPr>
            <w:tcW w:w="128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8,035</w:t>
            </w:r>
          </w:p>
        </w:tc>
        <w:tc>
          <w:tcPr>
            <w:tcW w:w="240" w:type="dxa"/>
            <w:vAlign w:val="bottom"/>
          </w:tcPr>
          <w:p>
            <w:pPr>
              <w:spacing w:after="0"/>
              <w:rPr>
                <w:sz w:val="13"/>
                <w:szCs w:val="13"/>
                <w:color w:val="auto"/>
              </w:rPr>
            </w:pPr>
          </w:p>
        </w:tc>
        <w:tc>
          <w:tcPr>
            <w:tcW w:w="128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16,043</w:t>
            </w:r>
          </w:p>
        </w:tc>
        <w:tc>
          <w:tcPr>
            <w:tcW w:w="2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0" w:type="dxa"/>
            <w:vAlign w:val="bottom"/>
          </w:tcPr>
          <w:p>
            <w:pPr>
              <w:spacing w:after="0"/>
              <w:rPr>
                <w:sz w:val="1"/>
                <w:szCs w:val="1"/>
                <w:color w:val="auto"/>
              </w:rPr>
            </w:pPr>
          </w:p>
        </w:tc>
      </w:tr>
      <w:tr>
        <w:trPr>
          <w:trHeight w:val="217"/>
        </w:trPr>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4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4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2,721</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(5,147)</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7,571</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121,830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99,041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320,638</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357,343</w:t>
            </w:r>
          </w:p>
        </w:tc>
        <w:tc>
          <w:tcPr>
            <w:tcW w:w="0" w:type="dxa"/>
            <w:vAlign w:val="bottom"/>
          </w:tcPr>
          <w:p>
            <w:pPr>
              <w:spacing w:after="0"/>
              <w:rPr>
                <w:sz w:val="1"/>
                <w:szCs w:val="1"/>
                <w:color w:val="auto"/>
              </w:rPr>
            </w:pPr>
          </w:p>
        </w:tc>
      </w:tr>
      <w:tr>
        <w:trPr>
          <w:trHeight w:val="22"/>
        </w:trPr>
        <w:tc>
          <w:tcPr>
            <w:tcW w:w="4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thousands,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760" w:type="dxa"/>
            <w:vAlign w:val="bottom"/>
            <w:tcBorders>
              <w:top w:val="single" w:sz="8" w:color="auto"/>
              <w:bottom w:val="single" w:sz="8" w:color="auto"/>
            </w:tcBorders>
          </w:tcPr>
          <w:p>
            <w:pPr>
              <w:spacing w:after="0"/>
              <w:rPr>
                <w:sz w:val="20"/>
                <w:szCs w:val="20"/>
                <w:color w:val="auto"/>
              </w:rPr>
            </w:pPr>
          </w:p>
        </w:tc>
        <w:tc>
          <w:tcPr>
            <w:tcW w:w="26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8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2021</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ASSETS</w:t>
            </w:r>
          </w:p>
        </w:tc>
        <w:tc>
          <w:tcPr>
            <w:tcW w:w="5440" w:type="dxa"/>
            <w:vAlign w:val="bottom"/>
            <w:tcBorders>
              <w:bottom w:val="single" w:sz="8" w:color="CCEEFF"/>
            </w:tcBorders>
            <w:gridSpan w:val="2"/>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231,564</w:t>
            </w:r>
          </w:p>
        </w:tc>
        <w:tc>
          <w:tcPr>
            <w:tcW w:w="28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535,330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405,612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net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350,657</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301,234</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280" w:type="dxa"/>
            <w:vAlign w:val="bottom"/>
          </w:tcPr>
          <w:p>
            <w:pPr>
              <w:spacing w:after="0"/>
              <w:rPr>
                <w:sz w:val="18"/>
                <w:szCs w:val="18"/>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939,274</w:t>
            </w:r>
          </w:p>
        </w:tc>
        <w:tc>
          <w:tcPr>
            <w:tcW w:w="28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665,648</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738,170</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82,861</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43,577</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35,124</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1,604,356</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1,545,789</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1,489,185</w:t>
            </w:r>
          </w:p>
        </w:tc>
        <w:tc>
          <w:tcPr>
            <w:tcW w:w="0" w:type="dxa"/>
            <w:vAlign w:val="bottom"/>
          </w:tcPr>
          <w:p>
            <w:pPr>
              <w:spacing w:after="0"/>
              <w:rPr>
                <w:sz w:val="1"/>
                <w:szCs w:val="1"/>
                <w:color w:val="auto"/>
              </w:rPr>
            </w:pPr>
          </w:p>
        </w:tc>
      </w:tr>
      <w:tr>
        <w:trPr>
          <w:trHeight w:val="86"/>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Pr>
          <w:p>
            <w:pPr>
              <w:spacing w:after="0"/>
              <w:rPr>
                <w:sz w:val="18"/>
                <w:szCs w:val="18"/>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531,816</w:t>
            </w:r>
          </w:p>
        </w:tc>
        <w:tc>
          <w:tcPr>
            <w:tcW w:w="28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456,992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487,731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583,803</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421,958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80" w:type="dxa"/>
            <w:vAlign w:val="bottom"/>
          </w:tcPr>
          <w:p>
            <w:pPr>
              <w:spacing w:after="0"/>
              <w:rPr>
                <w:sz w:val="18"/>
                <w:szCs w:val="18"/>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595,141</w:t>
            </w:r>
          </w:p>
        </w:tc>
        <w:tc>
          <w:tcPr>
            <w:tcW w:w="28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426,497</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420,041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73,349</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72,236</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 in finance affiliate</w:t>
            </w:r>
          </w:p>
        </w:tc>
        <w:tc>
          <w:tcPr>
            <w:tcW w:w="280" w:type="dxa"/>
            <w:vAlign w:val="bottom"/>
          </w:tcPr>
          <w:p>
            <w:pPr>
              <w:spacing w:after="0"/>
              <w:rPr>
                <w:sz w:val="18"/>
                <w:szCs w:val="18"/>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31,389</w:t>
            </w:r>
          </w:p>
        </w:tc>
        <w:tc>
          <w:tcPr>
            <w:tcW w:w="28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19,272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961</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6,362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19,134</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18,943</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24,042</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3,439,949</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2,968,049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2,936,140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tcPr>
          <w:p>
            <w:pPr>
              <w:spacing w:after="0"/>
              <w:rPr>
                <w:sz w:val="18"/>
                <w:szCs w:val="18"/>
                <w:color w:val="auto"/>
              </w:rPr>
            </w:pPr>
          </w:p>
        </w:tc>
        <w:tc>
          <w:tcPr>
            <w:tcW w:w="3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CCEEFF"/>
            </w:tcBorders>
          </w:tcPr>
          <w:p>
            <w:pPr>
              <w:jc w:val="right"/>
              <w:ind w:right="38"/>
              <w:spacing w:after="0"/>
              <w:rPr>
                <w:sz w:val="20"/>
                <w:szCs w:val="20"/>
                <w:color w:val="auto"/>
              </w:rPr>
            </w:pPr>
            <w:r>
              <w:rPr>
                <w:rFonts w:ascii="Times New Roman" w:cs="Times New Roman" w:eastAsia="Times New Roman" w:hAnsi="Times New Roman"/>
                <w:sz w:val="16"/>
                <w:szCs w:val="16"/>
                <w:color w:val="auto"/>
              </w:rPr>
              <w:t>65,000</w:t>
            </w:r>
          </w:p>
        </w:tc>
        <w:tc>
          <w:tcPr>
            <w:tcW w:w="280" w:type="dxa"/>
            <w:vAlign w:val="bottom"/>
            <w:tcBorders>
              <w:top w:val="single" w:sz="8" w:color="CCEEFF"/>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rPr>
              <w:t>104,217</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487,030</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411,413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280" w:type="dxa"/>
            <w:vAlign w:val="bottom"/>
          </w:tcPr>
          <w:p>
            <w:pPr>
              <w:spacing w:after="0"/>
              <w:rPr>
                <w:sz w:val="18"/>
                <w:szCs w:val="18"/>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443,557</w:t>
            </w:r>
          </w:p>
        </w:tc>
        <w:tc>
          <w:tcPr>
            <w:tcW w:w="28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427,407</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419,620</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15,675</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15,403</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14,283</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1,011,262</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958,440</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937,019</w:t>
            </w:r>
          </w:p>
        </w:tc>
        <w:tc>
          <w:tcPr>
            <w:tcW w:w="0" w:type="dxa"/>
            <w:vAlign w:val="bottom"/>
          </w:tcPr>
          <w:p>
            <w:pPr>
              <w:spacing w:after="0"/>
              <w:rPr>
                <w:sz w:val="1"/>
                <w:szCs w:val="1"/>
                <w:color w:val="auto"/>
              </w:rPr>
            </w:pPr>
          </w:p>
        </w:tc>
      </w:tr>
      <w:tr>
        <w:trPr>
          <w:trHeight w:val="86"/>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80" w:type="dxa"/>
            <w:vAlign w:val="bottom"/>
          </w:tcPr>
          <w:p>
            <w:pPr>
              <w:spacing w:after="0"/>
              <w:rPr>
                <w:sz w:val="18"/>
                <w:szCs w:val="18"/>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990,616</w:t>
            </w:r>
          </w:p>
        </w:tc>
        <w:tc>
          <w:tcPr>
            <w:tcW w:w="28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587,345</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691,242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60,921</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60,002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50,332</w:t>
            </w:r>
          </w:p>
        </w:tc>
        <w:tc>
          <w:tcPr>
            <w:tcW w:w="28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74,381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50,397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40,216</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50,703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50,598</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6"/>
                <w:szCs w:val="16"/>
                <w:color w:val="auto"/>
              </w:rPr>
              <w:t>Preferred stock, par value $1.00 per share, authorized 1,000,000 voting and 850,000 non-</w:t>
            </w:r>
          </w:p>
        </w:tc>
        <w:tc>
          <w:tcPr>
            <w:tcW w:w="280" w:type="dxa"/>
            <w:vAlign w:val="bottom"/>
          </w:tcPr>
          <w:p>
            <w:pPr>
              <w:spacing w:after="0"/>
              <w:rPr>
                <w:sz w:val="13"/>
                <w:szCs w:val="13"/>
                <w:color w:val="auto"/>
              </w:rPr>
            </w:pPr>
          </w:p>
        </w:tc>
        <w:tc>
          <w:tcPr>
            <w:tcW w:w="146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144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voting shares, none issued and outstanding</w:t>
            </w:r>
          </w:p>
        </w:tc>
        <w:tc>
          <w:tcPr>
            <w:tcW w:w="2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rPr>
              <w:t>Common stock, par value $1.00 per share, authorized 175,000,000 shares; issued and</w:t>
            </w: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outstanding 104,193,673 shares as of July 29, 2022, 106,440,513 shares as of July 30,</w:t>
            </w:r>
          </w:p>
        </w:tc>
        <w:tc>
          <w:tcPr>
            <w:tcW w:w="2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104,194</w:t>
            </w:r>
          </w:p>
        </w:tc>
        <w:tc>
          <w:tcPr>
            <w:tcW w:w="28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106,441</w:t>
            </w:r>
          </w:p>
        </w:tc>
        <w:tc>
          <w:tcPr>
            <w:tcW w:w="2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105,206</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2021, and 105,205,734 shares as of October 31, 2021</w:t>
            </w:r>
          </w:p>
        </w:tc>
        <w:tc>
          <w:tcPr>
            <w:tcW w:w="2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1,213,551</w:t>
            </w:r>
          </w:p>
        </w:tc>
        <w:tc>
          <w:tcPr>
            <w:tcW w:w="28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1,157,428</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1,071,922</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(31,143)</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(26,691)</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(25,996)</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1,286,602</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1,237,178</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1,151,132</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3,439,949</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2,968,049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2,936,140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Cash Flows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thousands)</w:t>
      </w:r>
    </w:p>
    <w:p>
      <w:pPr>
        <w:spacing w:after="0" w:line="115"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8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July 30, 2021</w:t>
            </w:r>
          </w:p>
        </w:tc>
      </w:tr>
      <w:tr>
        <w:trPr>
          <w:trHeight w:val="214"/>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325,785</w:t>
            </w: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349,772</w:t>
            </w: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income from finance affiliate</w:t>
            </w:r>
          </w:p>
        </w:tc>
        <w:tc>
          <w:tcPr>
            <w:tcW w:w="1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(5,814)</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(4,694)</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(Contributions to)/Distributions from finance affiliate, net</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w:t>
            </w: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162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54,269</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55,301</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24,760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17,493</w:t>
            </w: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Fair value step-up adjustment to acquired inventory</w:t>
            </w:r>
          </w:p>
        </w:tc>
        <w:tc>
          <w:tcPr>
            <w:tcW w:w="162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535</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 cost for stock-based compensation awards</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17,105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16,176</w:t>
            </w: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2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3,358</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the effect of acquisitions:</w:t>
            </w:r>
          </w:p>
        </w:tc>
        <w:tc>
          <w:tcPr>
            <w:tcW w:w="1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(38,118)</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(42,217)</w:t>
            </w: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(173,000)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(20,080)</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r>
      <w:tr>
        <w:trPr>
          <w:trHeight w:val="217"/>
        </w:trPr>
        <w:tc>
          <w:tcPr>
            <w:tcW w:w="6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Accounts payable, accrued liabilities, and other liabilities</w:t>
            </w:r>
          </w:p>
        </w:tc>
        <w:tc>
          <w:tcPr>
            <w:tcW w:w="1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(16,929)</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100,563</w:t>
            </w:r>
          </w:p>
        </w:tc>
      </w:tr>
      <w:tr>
        <w:trPr>
          <w:trHeight w:val="213"/>
        </w:trPr>
        <w:tc>
          <w:tcPr>
            <w:tcW w:w="6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154,563</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477,135</w:t>
            </w:r>
          </w:p>
        </w:tc>
      </w:tr>
      <w:tr>
        <w:trPr>
          <w:trHeight w:val="86"/>
        </w:trPr>
        <w:tc>
          <w:tcPr>
            <w:tcW w:w="68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2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(75,772)</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(47,961)</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(402,386)</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(14,874)</w:t>
            </w: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acquisitions, net of cash acquired</w:t>
            </w:r>
          </w:p>
        </w:tc>
        <w:tc>
          <w:tcPr>
            <w:tcW w:w="1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(7,225)</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(27,176)</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asset disposals</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197</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r>
      <w:tr>
        <w:trPr>
          <w:trHeight w:val="217"/>
        </w:trPr>
        <w:tc>
          <w:tcPr>
            <w:tcW w:w="6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Proceeds from sale of a business</w:t>
            </w:r>
          </w:p>
        </w:tc>
        <w:tc>
          <w:tcPr>
            <w:tcW w:w="1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4,605</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18,732</w:t>
            </w:r>
          </w:p>
        </w:tc>
      </w:tr>
      <w:tr>
        <w:trPr>
          <w:trHeight w:val="213"/>
        </w:trPr>
        <w:tc>
          <w:tcPr>
            <w:tcW w:w="6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(480,581)</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(70,691)</w:t>
            </w:r>
          </w:p>
        </w:tc>
      </w:tr>
      <w:tr>
        <w:trPr>
          <w:trHeight w:val="73"/>
        </w:trPr>
        <w:tc>
          <w:tcPr>
            <w:tcW w:w="68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22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under debt arrangements</w:t>
            </w:r>
          </w:p>
        </w:tc>
        <w:tc>
          <w:tcPr>
            <w:tcW w:w="162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700,000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under debt arrangements</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(335,000)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62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4,440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12,535</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withholding taxes for stock awards</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TTC common stock</w:t>
            </w:r>
          </w:p>
        </w:tc>
        <w:tc>
          <w:tcPr>
            <w:tcW w:w="1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(110,004)</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(177,152)</w:t>
            </w:r>
          </w:p>
        </w:tc>
      </w:tr>
      <w:tr>
        <w:trPr>
          <w:trHeight w:val="220"/>
        </w:trPr>
        <w:tc>
          <w:tcPr>
            <w:tcW w:w="68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on TTC common stock</w:t>
            </w:r>
          </w:p>
        </w:tc>
        <w:tc>
          <w:tcPr>
            <w:tcW w:w="1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(94,401)</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(84,677)</w:t>
            </w:r>
          </w:p>
        </w:tc>
      </w:tr>
      <w:tr>
        <w:trPr>
          <w:trHeight w:val="213"/>
        </w:trPr>
        <w:tc>
          <w:tcPr>
            <w:tcW w:w="6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162,727</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(351,169)</w:t>
            </w:r>
          </w:p>
        </w:tc>
      </w:tr>
      <w:tr>
        <w:trPr>
          <w:trHeight w:val="86"/>
        </w:trPr>
        <w:tc>
          <w:tcPr>
            <w:tcW w:w="684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r>
      <w:tr>
        <w:trPr>
          <w:trHeight w:val="217"/>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1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(10,757)</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86"/>
        </w:trPr>
        <w:tc>
          <w:tcPr>
            <w:tcW w:w="684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r>
      <w:tr>
        <w:trPr>
          <w:trHeight w:val="217"/>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(174,048)</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55,438</w:t>
            </w:r>
          </w:p>
        </w:tc>
      </w:tr>
      <w:tr>
        <w:trPr>
          <w:trHeight w:val="213"/>
        </w:trPr>
        <w:tc>
          <w:tcPr>
            <w:tcW w:w="6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beginning of the fiscal period</w:t>
            </w:r>
          </w:p>
        </w:tc>
        <w:tc>
          <w:tcPr>
            <w:tcW w:w="16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405,612</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479,892</w:t>
            </w:r>
          </w:p>
        </w:tc>
      </w:tr>
      <w:tr>
        <w:trPr>
          <w:trHeight w:val="213"/>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end of the fiscal period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231,564</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535,330</w:t>
            </w:r>
          </w:p>
        </w:tc>
      </w:tr>
      <w:tr>
        <w:trPr>
          <w:trHeight w:val="22"/>
        </w:trPr>
        <w:tc>
          <w:tcPr>
            <w:tcW w:w="68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thousands,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98"/>
              <w:spacing w:after="0" w:line="168" w:lineRule="exact"/>
              <w:rPr>
                <w:sz w:val="20"/>
                <w:szCs w:val="20"/>
                <w:color w:val="auto"/>
              </w:rPr>
            </w:pPr>
            <w:r>
              <w:rPr>
                <w:rFonts w:ascii="Times New Roman" w:cs="Times New Roman" w:eastAsia="Times New Roman" w:hAnsi="Times New Roman"/>
                <w:sz w:val="16"/>
                <w:szCs w:val="16"/>
                <w:b w:val="1"/>
                <w:bCs w:val="1"/>
                <w:color w:val="auto"/>
              </w:rPr>
              <w:t>Common</w:t>
            </w: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18"/>
              <w:spacing w:after="0" w:line="16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8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19"/>
        </w:trPr>
        <w:tc>
          <w:tcPr>
            <w:tcW w:w="5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720" w:type="dxa"/>
            <w:vAlign w:val="bottom"/>
            <w:tcBorders>
              <w:bottom w:val="single" w:sz="8" w:color="auto"/>
            </w:tcBorders>
            <w:gridSpan w:val="2"/>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April 29, 2022</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104,568</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1,146,771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(27,823)</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1,223,516</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$0.30 per share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(31,447)</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(31,447)</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80,153 shares of common stock under stock-based compensation</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81</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2,112</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5,972</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5,972</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454,482 shares of common stock</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(35,007)</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(35,462)</w:t>
            </w: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0" w:type="dxa"/>
            <w:vAlign w:val="bottom"/>
          </w:tcPr>
          <w:p>
            <w:pPr>
              <w:spacing w:after="0"/>
              <w:rPr>
                <w:sz w:val="1"/>
                <w:szCs w:val="1"/>
                <w:color w:val="auto"/>
              </w:rPr>
            </w:pPr>
          </w:p>
        </w:tc>
      </w:tr>
      <w:tr>
        <w:trPr>
          <w:trHeight w:val="22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125,150</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125,150</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July 29, 2022</w:t>
            </w:r>
          </w:p>
        </w:tc>
        <w:tc>
          <w:tcPr>
            <w:tcW w:w="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104,194</w:t>
            </w:r>
          </w:p>
        </w:tc>
        <w:tc>
          <w:tcPr>
            <w:tcW w:w="2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1,213,551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(31,143)</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1,286,602</w:t>
            </w:r>
          </w:p>
        </w:tc>
        <w:tc>
          <w:tcPr>
            <w:tcW w:w="0" w:type="dxa"/>
            <w:vAlign w:val="bottom"/>
          </w:tcPr>
          <w:p>
            <w:pPr>
              <w:spacing w:after="0"/>
              <w:rPr>
                <w:sz w:val="1"/>
                <w:szCs w:val="1"/>
                <w:color w:val="auto"/>
              </w:rPr>
            </w:pPr>
          </w:p>
        </w:tc>
      </w:tr>
      <w:tr>
        <w:trPr>
          <w:trHeight w:val="22"/>
        </w:trPr>
        <w:tc>
          <w:tcPr>
            <w:tcW w:w="5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
        </w:trPr>
        <w:tc>
          <w:tcPr>
            <w:tcW w:w="5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2021</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105,206</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1,071,922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(25,996)</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1,151,132</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$0.90 per share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(94,401)</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(94,401)</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233,491 shares of common stock under stock-based compensation</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234</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4,239</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17,105</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17,105</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Contribution of 33,162 shares of common stock to a deferred compensation</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trust</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1,212,390 shares of common stock</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(111,099)</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(112,312)</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(5,147)</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(5,147)</w:t>
            </w:r>
          </w:p>
        </w:tc>
        <w:tc>
          <w:tcPr>
            <w:tcW w:w="0" w:type="dxa"/>
            <w:vAlign w:val="bottom"/>
          </w:tcPr>
          <w:p>
            <w:pPr>
              <w:spacing w:after="0"/>
              <w:rPr>
                <w:sz w:val="1"/>
                <w:szCs w:val="1"/>
                <w:color w:val="auto"/>
              </w:rPr>
            </w:pPr>
          </w:p>
        </w:tc>
      </w:tr>
      <w:tr>
        <w:trPr>
          <w:trHeight w:val="217"/>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325,785</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325,785</w:t>
            </w:r>
          </w:p>
        </w:tc>
        <w:tc>
          <w:tcPr>
            <w:tcW w:w="0" w:type="dxa"/>
            <w:vAlign w:val="bottom"/>
          </w:tcPr>
          <w:p>
            <w:pPr>
              <w:spacing w:after="0"/>
              <w:rPr>
                <w:sz w:val="1"/>
                <w:szCs w:val="1"/>
                <w:color w:val="auto"/>
              </w:rPr>
            </w:pPr>
          </w:p>
        </w:tc>
      </w:tr>
      <w:tr>
        <w:trPr>
          <w:trHeight w:val="238"/>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29, 2022</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104,194</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1,213,551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(31,143)</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1,286,602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5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April 30, 2021</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107,043</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1,151,786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(29,412)</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1,229,417</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$0.2625 per share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(28,075)</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(28,075)</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64,260 shares of common stock for exercised stock options and</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65</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1,605</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restricted stock units</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5,831</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666,672 shares of common stock</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(70,039)</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(70,706)</w:t>
            </w: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2,721</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w:t>
            </w:r>
          </w:p>
        </w:tc>
        <w:tc>
          <w:tcPr>
            <w:tcW w:w="0" w:type="dxa"/>
            <w:vAlign w:val="bottom"/>
          </w:tcPr>
          <w:p>
            <w:pPr>
              <w:spacing w:after="0"/>
              <w:rPr>
                <w:sz w:val="1"/>
                <w:szCs w:val="1"/>
                <w:color w:val="auto"/>
              </w:rPr>
            </w:pPr>
          </w:p>
        </w:tc>
      </w:tr>
      <w:tr>
        <w:trPr>
          <w:trHeight w:val="22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96,320</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96,320</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July 30, 2021</w:t>
            </w:r>
          </w:p>
        </w:tc>
        <w:tc>
          <w:tcPr>
            <w:tcW w:w="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106,441</w:t>
            </w:r>
          </w:p>
        </w:tc>
        <w:tc>
          <w:tcPr>
            <w:tcW w:w="2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1,157,428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(26,691)</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1,237,178</w:t>
            </w:r>
          </w:p>
        </w:tc>
        <w:tc>
          <w:tcPr>
            <w:tcW w:w="0" w:type="dxa"/>
            <w:vAlign w:val="bottom"/>
          </w:tcPr>
          <w:p>
            <w:pPr>
              <w:spacing w:after="0"/>
              <w:rPr>
                <w:sz w:val="1"/>
                <w:szCs w:val="1"/>
                <w:color w:val="auto"/>
              </w:rPr>
            </w:pPr>
          </w:p>
        </w:tc>
      </w:tr>
      <w:tr>
        <w:trPr>
          <w:trHeight w:val="22"/>
        </w:trPr>
        <w:tc>
          <w:tcPr>
            <w:tcW w:w="5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
        </w:trPr>
        <w:tc>
          <w:tcPr>
            <w:tcW w:w="5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2020</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107,583</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1,041,507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(34,262)</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1,114,828</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$0.7875 per share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(84,677)</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(84,677)</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587,723 shares of common stock for exercised stock options and</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588</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10,462</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11,050</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restricted stock units and performance share awards</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16,176</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16,176</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Contribution of 22,700 shares of common stock to a deferred compensation</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1,462</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trust</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1,752,579 shares of common stock</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(177,274)</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(179,027)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7,571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7,571</w:t>
            </w:r>
          </w:p>
        </w:tc>
        <w:tc>
          <w:tcPr>
            <w:tcW w:w="0" w:type="dxa"/>
            <w:vAlign w:val="bottom"/>
          </w:tcPr>
          <w:p>
            <w:pPr>
              <w:spacing w:after="0"/>
              <w:rPr>
                <w:sz w:val="1"/>
                <w:szCs w:val="1"/>
                <w:color w:val="auto"/>
              </w:rPr>
            </w:pPr>
          </w:p>
        </w:tc>
      </w:tr>
      <w:tr>
        <w:trPr>
          <w:trHeight w:val="217"/>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349,772</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349,772</w:t>
            </w:r>
          </w:p>
        </w:tc>
        <w:tc>
          <w:tcPr>
            <w:tcW w:w="0" w:type="dxa"/>
            <w:vAlign w:val="bottom"/>
          </w:tcPr>
          <w:p>
            <w:pPr>
              <w:spacing w:after="0"/>
              <w:rPr>
                <w:sz w:val="1"/>
                <w:szCs w:val="1"/>
                <w:color w:val="auto"/>
              </w:rPr>
            </w:pPr>
          </w:p>
        </w:tc>
      </w:tr>
      <w:tr>
        <w:trPr>
          <w:trHeight w:val="238"/>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30, 2021</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106,441</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1,157,428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(26,691)</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1,237,178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29, 2022</w:t>
      </w:r>
    </w:p>
    <w:p>
      <w:pPr>
        <w:spacing w:after="0" w:line="332" w:lineRule="exact"/>
        <w:rPr>
          <w:sz w:val="20"/>
          <w:szCs w:val="20"/>
          <w:color w:val="auto"/>
        </w:rPr>
      </w:pPr>
    </w:p>
    <w:p>
      <w:pPr>
        <w:ind w:left="600" w:hanging="579"/>
        <w:spacing w:after="0"/>
        <w:tabs>
          <w:tab w:leader="none" w:pos="600" w:val="left"/>
        </w:tabs>
        <w:numPr>
          <w:ilvl w:val="0"/>
          <w:numId w:val="5"/>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Basis of Presentation</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businesses operate, the effect of COVID-19 and the macroeconomic effects resulting therefrom on the Company's business and operating results, among other factors, operating results for the nine months ended July 29, 2022 cannot be annualized to determine the expected results for the fiscal year ending October 31, 2022.</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further information regarding the company's basis of presentation, refer to the Consolidated Financial Statements and Notes to Consolidated Financial Statements included in the company’s Annual Report on Form 10-K for the fiscal year ended October 31, 2021. The policies described in that report are used for preparing the company's quarterly reports on Form 10-Q.</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Russia's Invasion of Ukraine</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Beginning in the second quarter of fiscal 2022, in response to Russia's invasion of Ukraine, the company discontinued sales into the Russian and Belarus markets. Prior sales in those markets did not represent a significant share of our overall international business, and the company does not expect this decision to have a material impact on our financial results.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Continuing Impact of COVID-19</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COVID-19 is having lingering effects on public health and portions of the global economy. The company continues to see significant pressure on global supply chains rooted mainly in disruptions created by these effects. The continuing implications of COVID-19, including its variants, and the macroeconomic effects resulting therefrom, on the company remain uncertain and will depend on future developments, including any adverse impact due to additional variants of the virus; its impact on market demand for the company's products; its impact on the company's employees, customers, and suppliers; the range of government mandated restrictions and other measures; and the success of the COVID-19 vaccines and their effectiveness against the virus and related variants. This uncertainty could have a material impact on accounting estimates and assumptions utilized to prepare the Condensed Consolidated Financial Statements as of and for the nine months ended July 29, 2022 and in future reporting periods, which could result in a material adverse impact on the company's consolidated financial position, results of operations, and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Policies and Estimates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an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circumstances, including the economic environment. Management adjusts such estimates and assumptions when facts and circumstances dictate. As future events and their effects cannot be determined with certainty, including those impacted by COVID-19 and Russia's invasion of Ukraine and the related sanctions and geopolitical tensions, actual amounts could differ significantly from those estimated at the time the Condensed Consolidated Financial Statements are prepared.</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Pronouncements Adopted</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In December 2019, the Financial Accounting Standards Board ("FASB") issued Accounting Standards Update ("ASU") No. 2019-12, </w:t>
      </w:r>
      <w:r>
        <w:rPr>
          <w:rFonts w:ascii="Times New Roman" w:cs="Times New Roman" w:eastAsia="Times New Roman" w:hAnsi="Times New Roman"/>
          <w:sz w:val="17"/>
          <w:szCs w:val="17"/>
          <w:i w:val="1"/>
          <w:iCs w:val="1"/>
          <w:color w:val="auto"/>
        </w:rPr>
        <w:t>Income Taxes (Topic 740):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Simplifying the Accounting for Income Taxes</w:t>
      </w:r>
      <w:r>
        <w:rPr>
          <w:rFonts w:ascii="Times New Roman" w:cs="Times New Roman" w:eastAsia="Times New Roman" w:hAnsi="Times New Roman"/>
          <w:sz w:val="17"/>
          <w:szCs w:val="17"/>
          <w:color w:val="auto"/>
        </w:rPr>
        <w:t>, which eliminates certain exceptions related to the approach for intraperiod tax allocation, the methodology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calculating income taxes in an interim period, and the recognition of deferred tax liabilities for outside basis differences. The amended guidance also clarifies and simplifies other aspects of the accounting for income taxes under accounting standards codification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The amended guidance was adopted in the first quarter of fiscal 2022 and did not have a material impact on the company's Condensed Consolidated Financial Statements.</w:t>
      </w:r>
    </w:p>
    <w:p>
      <w:pPr>
        <w:spacing w:after="0" w:line="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In January 2020, the FASB issued ASU No. 2020-01, </w:t>
      </w:r>
      <w:r>
        <w:rPr>
          <w:rFonts w:ascii="Times New Roman" w:cs="Times New Roman" w:eastAsia="Times New Roman" w:hAnsi="Times New Roman"/>
          <w:sz w:val="17"/>
          <w:szCs w:val="17"/>
          <w:i w:val="1"/>
          <w:iCs w:val="1"/>
          <w:color w:val="auto"/>
        </w:rPr>
        <w:t>Investments - Equity Securities (Topic 321), Investments - Equity Method and Joint Ventures (Topic 323),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Derivatives and Hedging (Topic 815)</w:t>
      </w:r>
      <w:r>
        <w:rPr>
          <w:rFonts w:ascii="Times New Roman" w:cs="Times New Roman" w:eastAsia="Times New Roman" w:hAnsi="Times New Roman"/>
          <w:sz w:val="17"/>
          <w:szCs w:val="17"/>
          <w:color w:val="auto"/>
        </w:rPr>
        <w:t>, which clarified that before applying or upon discontinuing the equity method of accounting for an investment in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an entity should consider observable transactions that require it to apply or discontinue the equity method of accounting for the purposes of applying the fair value measurement alternative. The amended guidance was adopted in the first quarter of fiscal 2022 and did not have a material impact on the company's Condensed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Pronouncements Not Yet Adopted</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In March 2020, the FASB issued ASU No.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w:t>
      </w:r>
      <w:r>
        <w:rPr>
          <w:rFonts w:ascii="Times New Roman" w:cs="Times New Roman" w:eastAsia="Times New Roman" w:hAnsi="Times New Roman"/>
          <w:sz w:val="17"/>
          <w:szCs w:val="17"/>
          <w:color w:val="auto"/>
        </w:rPr>
        <w:t>, which provides temporary optional guidance to ease the potential burden of accounting for reference rate reform due to the cessation of the London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Interbank Offered Rate, commonly referred to as "LIBOR." The temporary guidance provides optional expedients and exceptions for applying U.S. GAAP to contracts, relationships, and transactions affected by reference rate reform if certain criteria are met. The guidance was effective upon issuance on March 12, 2020 and the provisions of the temporary optional guidance provided by the ASU may be elected on a prospective basis from the beginning of an interim period that includes the issuance date of the ASU through December 31, 2022, when the reference rate reform activity is expected to be substantially complete. In January 2021, the FASB issued ASU 2021-01, </w:t>
      </w:r>
      <w:r>
        <w:rPr>
          <w:rFonts w:ascii="Times New Roman" w:cs="Times New Roman" w:eastAsia="Times New Roman" w:hAnsi="Times New Roman"/>
          <w:sz w:val="17"/>
          <w:szCs w:val="17"/>
          <w:i w:val="1"/>
          <w:iCs w:val="1"/>
          <w:color w:val="auto"/>
        </w:rPr>
        <w:t>Reference Rate Reform (Topic 848): Scope</w:t>
      </w:r>
      <w:r>
        <w:rPr>
          <w:rFonts w:ascii="Times New Roman" w:cs="Times New Roman" w:eastAsia="Times New Roman" w:hAnsi="Times New Roman"/>
          <w:sz w:val="17"/>
          <w:szCs w:val="17"/>
          <w:color w:val="auto"/>
        </w:rPr>
        <w:t>, to provide supplemental guidance and to further clarify the scope of the amended guidance. At this time, the company does not have receivables, hedging relationships, or operating lease agreements that reference LIBOR or another reference rate expected to be discontinued; and therefore, the company has not applied the optional practical expedients under this ASU to these classes of assets. On October 5, 2021, the company entered into an amended and restated credit agreement and at such time, the company concluded that the optional practical expedients provided by the ASU would not be elected as the required criteria were not met. The amended and restated credit agreement includes a transition clause in the event LIBOR is discontinued and the company's other fixed-rate financing agreements do not reference LIBOR or another reference rate expected to be discontinued. On April 27, 2022, the company amended its October 5, 2021 amended and restated revolving credit agreement to transition the reference rate from LIBOR to Secured Overnight Financing Rate ("SOFR"). As of July 29, 2022, SOFR is the reference rate in effect for all outstanding variable interest borrowings of the company. The company does not expect the transition of LIBOR to have a material impact on the company's Condensed Consolidated Financial Statements; however, a review of other contracts and agreements is underway and is expected to be completed prior to December 31, 2022.</w:t>
      </w:r>
    </w:p>
    <w:p>
      <w:pPr>
        <w:spacing w:after="0" w:line="7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believes that all other recently issued accounting pronouncements from the FASB that the company has not noted above, will not have a material impact on its Condensed Consolidated Financial Statements or do not apply to its operations.</w:t>
      </w:r>
    </w:p>
    <w:p>
      <w:pPr>
        <w:spacing w:after="0" w:line="75" w:lineRule="exact"/>
        <w:rPr>
          <w:sz w:val="20"/>
          <w:szCs w:val="20"/>
          <w:color w:val="auto"/>
        </w:rPr>
      </w:pPr>
    </w:p>
    <w:p>
      <w:pPr>
        <w:ind w:left="600" w:hanging="579"/>
        <w:spacing w:after="0"/>
        <w:tabs>
          <w:tab w:leader="none" w:pos="600" w:val="left"/>
        </w:tabs>
        <w:numPr>
          <w:ilvl w:val="0"/>
          <w:numId w:val="6"/>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Business Combinations and Asset Acquisitions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Intimidator Group</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January 13, 2022 ("closing date"), pursuant to an equity interest purchase agreement ("equity agreement"), the company acquired the privately-held Intimidator Group ("Intimidator"). Intimidator primarily designs, manufactures, markets, and sells a commercial-grade line of zero-turn mowers under the Spartan Mowers brand, which are intended to provide innovative turf management solutions to landscape contractors and other customers who require a commercial-grade solution. The acquisition of Intimidator broadened the company's Professional reportable segment and expanded its manufacturing footprint and dealer network.</w:t>
      </w:r>
    </w:p>
    <w:p>
      <w:pPr>
        <w:spacing w:after="0" w:line="6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Intimidator acquisition was structured as an equity purchase, pursuant to which the company acquired 100 percent of the equity interests of the legal entities that comprised Intimidator, with the legal entities continuing as surviving entities and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wholly-owned subsidiaries of the company. As part of the acquisition, the company also acquired the real property used by Intimidator that was owned by an affiliate of Intimidator. As of the closing date, the aggregate purchase consideration was $398.9 million, subject to certain customary adjustments based on, among other things, the amount of actual cash, debt, and working capital in the business of Intimidator at the closing date. Such customary adjustments were finalized during the third quarter of fiscal 2022 and resulted in an aggregate purchase consideration of $399.8 million ("purchase price"). Additionally, the aggregate purchase consideration remains subject to contingent consideration through the end of calendar year 2022, in the event of certain qualifying tax changes. As a result, the company could be subject to additional cash purchase consideration for an amount not to exceed $15.0 million and remittance of such contingent consideration, if required, is due by March 15, 2023. As of July 29, 2022, no liability was recorded within the Condensed Consolidated Balance Sheets for the contingent consideration as the contingency is not probable or estimable. The company funded the purchase price with borrowings under its existing unsecured senior revolving credit facility and cash provided by operating activities. For additional information regarding the company's unsecured senior revolving credit facility utilized to fund the purchase price, refer to Note 6, </w:t>
      </w:r>
      <w:r>
        <w:rPr>
          <w:rFonts w:ascii="Times New Roman" w:cs="Times New Roman" w:eastAsia="Times New Roman" w:hAnsi="Times New Roman"/>
          <w:sz w:val="17"/>
          <w:szCs w:val="17"/>
          <w:i w:val="1"/>
          <w:iCs w:val="1"/>
          <w:color w:val="auto"/>
        </w:rPr>
        <w:t>Indebtedness</w:t>
      </w:r>
      <w:r>
        <w:rPr>
          <w:rFonts w:ascii="Times New Roman" w:cs="Times New Roman" w:eastAsia="Times New Roman" w:hAnsi="Times New Roman"/>
          <w:sz w:val="17"/>
          <w:szCs w:val="17"/>
          <w:color w:val="auto"/>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Purchase Price Allocation</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accounted for the acquisition in accordance with the accounting standards codification guidance for business combinations, whereby the aggregate purchase price was allocated to the acquired net tangible and intangible assets of Intimidator based on their fair values as of the closing date. As of July 29, 2022, the company has substantially completed its process for measuring the fair values of the assets acquired and liabilities assumed based on information available as of the closing date, with the exception of contingent consideration in the event of certain qualifying tax changes. The company expects to finalize its valuation and complete the allocation of the purchase price as soon as practicable but no later than one year from the closing date of the acquisition, as required.</w:t>
      </w:r>
    </w:p>
    <w:p>
      <w:pPr>
        <w:spacing w:after="0" w:line="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allocation of the purchase price to the fair values assigned to the assets acquired and liabilities assumed. These fair values are based on internal company and independent external third-party valuations and are subject to change as certain asset and liability valuations are finalized: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6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January 13, 2022</w:t>
            </w:r>
          </w:p>
        </w:tc>
      </w:tr>
      <w:tr>
        <w:trPr>
          <w:trHeight w:val="20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6,954</w:t>
            </w: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34,608</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27,447</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163,731</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36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Indefinite-lived trade name</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99,100</w:t>
            </w:r>
          </w:p>
        </w:tc>
      </w:tr>
      <w:tr>
        <w:trPr>
          <w:trHeight w:val="207"/>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Finite-lived trade names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w:t>
            </w:r>
          </w:p>
        </w:tc>
      </w:tr>
      <w:tr>
        <w:trPr>
          <w:trHeight w:val="207"/>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Finite-lived customer-related</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80,500</w:t>
            </w:r>
          </w:p>
        </w:tc>
      </w:tr>
      <w:tr>
        <w:trPr>
          <w:trHeight w:val="207"/>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Finite-lived backlog</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(8,535)</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liabilities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(9,152)</w:t>
            </w: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7"/>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36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0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fair value of net assets acquired</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400,741</w:t>
            </w:r>
          </w:p>
        </w:tc>
      </w:tr>
      <w:tr>
        <w:trPr>
          <w:trHeight w:val="207"/>
        </w:trPr>
        <w:tc>
          <w:tcPr>
            <w:tcW w:w="6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cash and cash equivalents acquired</w:t>
            </w:r>
          </w:p>
        </w:tc>
        <w:tc>
          <w:tcPr>
            <w:tcW w:w="36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25"/>
        </w:trPr>
        <w:tc>
          <w:tcPr>
            <w:tcW w:w="6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purchase price</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399,766</w:t>
            </w:r>
          </w:p>
        </w:tc>
      </w:tr>
      <w:tr>
        <w:trPr>
          <w:trHeight w:val="20"/>
        </w:trPr>
        <w:tc>
          <w:tcPr>
            <w:tcW w:w="618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goodwill recognized is primarily attributable to the expected future cash flows, the value of the workforce, and expected synergies, including customer and dealer growth opportunities, expanding existing product lines, and cost reduction initiatives. Key areas of expected cost synergies include increased purchasing power for commodities, components, parts, and accessories and supply chain consolidation. The goodwill resulting from the acquisition of Intimidator was recognized within the company's Professional segment and is the primary driver for the increase in the company's Professional segment goodwill to $573.4 million as of July 29, 2022 as compared to $411.1 million as of October 31, 2021. The acquisition was considered an asset acquisition for income tax purposes and as a result, the goodwill arising from the transaction is deductible. As permitted under the accounting standards codification guidance for business combinations, the company recorded increases to the carrying value of goodwill of $2.9 million and $8.1 million for the three and nine months ended July 29, 2022, respectively, as a result of revising the Intimidator purchase price for certain customary adjustments. Such purchase accounting adjustment did not impact the company's Consolidated Statements of Earnings for the three and nine month periods ended July 29, 2022.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Intangible Assets Acquired</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allocation of the purchase price to the net assets acquired resulted in the recognition of $184.2 million of value for other intangible assets as of the closing date. The fair values of the acquired trade names, customer-related, and backlog intangible assets were determined using the income approach whereby an intangible asset's fair value is equal to the present value of future economic benefits to be derived from ownership of the asset. The useful lives of the other intangible assets were determined based on the period of expected cash flows used to measure the fair value of the intangible assets adjusted as appropriate for entity-specific factors including legal, regulatory, contractual, competitive, economic, and/or other factors that may limit the useful life of the respective intangible asset. As of the closing date, the acquired finite-lived intangible assets had a weighted average useful life of 9.5 years. The fair values of the trade names were determined using the relief from royalty method, which is based on the hypothetical royalty stream that would be received if the company were to license the respective trade name and were based on expected future revenues from the respective trade name. The weighted-average useful life of the finite-lived trade name intangible assets was determined to be 9.8 years as of the closing date. The fair values of the customer-related and backlog intangible assets were determined using the excess earnings method and were based on the expected operating cash flows attributable to the respective intangible asset, which were determined by deducting expected economic costs, including operating expenses and contributory asset charges, from the revenue expected to be generated from the respective intangible asset. As of the closing date of the acquisition, the weighted-average useful life of the customer-related and backlog intangible assets were determined to be 9.6 years and 9 months, respectively.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Results of Operations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Intimidator's results of operations are included within the company's Professional reportable segment in the company's Condensed Consolidated Financial Statements from the closing date. For the three and nine months ended July 29, 2022, the company recognized $54.4 million and $114.9 million of net sales from Intimidator's operations, respectively. Intimidator's operations had an immaterial impact on Professional segment earnings for the three and nine month periods ended July 29, 2022. Unaudited pro forma financial information is not disclosed as the Intimidator acquisition was not considered material to the company's consolidated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 Acquisitions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Effective June 10, 2022, during the third quarter of fiscal 2022, the company completed the acquisition of certain assets of Voigt Smith Innovation LLC (“VSI”), a manufacturer of liquid deicing equipment, brine makers and applicators, related smart-connected technologies, and hydroseeding products. Effective June 20, 2022, during the third quarter of fiscal 2022, the company completed the acquisition of certain assets of Tornado Global Hydrovacs Ltd. (“Tornado”), a designer and manufacturer of hydrovac trucks. Effective June 21, 2022, during the third quarter of fiscal 2022, the company completed the acquisition of certain assets of River City Manufacturing, Inc. (“RCM”), a manufacturer of custom rock saws. Each of these acquisitions did not meet the definition of a business combination as substantially all of the fair value of the gross assets acquired in each acquisition was concentrated in the respective finite-lived developed technology intangible assets. As a result, the company accounted for each of these transactions as an asset acquisition. In an asset acquisition, goodwill is not recognized, but rather, any excess purchase consideration over the fair value of the net assets acquired is allocated on a relative fair value basis to the identifiable net assets as of the acquisition date and any direct acquisition-related transaction costs are capitalized as part of the purchase consideration. These asset acquisitions were immaterial in relation to the company's Consolidated Financial Condition and Results of Operations and as a result, additional purchase accounting disclosures have been omitted.</w:t>
      </w:r>
    </w:p>
    <w:p>
      <w:pPr>
        <w:spacing w:after="0" w:line="312" w:lineRule="exact"/>
        <w:rPr>
          <w:sz w:val="20"/>
          <w:szCs w:val="20"/>
          <w:color w:val="auto"/>
        </w:rPr>
      </w:pPr>
    </w:p>
    <w:p>
      <w:pPr>
        <w:ind w:left="600" w:hanging="579"/>
        <w:spacing w:after="0"/>
        <w:tabs>
          <w:tab w:leader="none" w:pos="600" w:val="left"/>
        </w:tabs>
        <w:numPr>
          <w:ilvl w:val="0"/>
          <w:numId w:val="7"/>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Segment Data</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company's businesses are organized, managed, and internally grouped into segments based on similarities in products and services. Segment selection is based on the manner in which the company's chief operating decision maker organizes segments for making operating and investment decisions and assessing performance. The company has identified twelve operating segments and has aggregated certain of those operating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The company's Other activities consist of the company's wholly-owned domestic distribution company, the company's corporate activities, and the elimination of intersegment revenues and expenses.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summarized financial information concerning the company’s reportable business segments and Other activities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July 29, 2022</w:t>
            </w:r>
          </w:p>
        </w:tc>
        <w:tc>
          <w:tcPr>
            <w:tcW w:w="15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886,232</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269,962</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4,356</w:t>
            </w:r>
          </w:p>
        </w:tc>
        <w:tc>
          <w:tcPr>
            <w:tcW w:w="3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1,160,550</w:t>
            </w: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10,436</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(10,451)</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5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166,191</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26,348</w:t>
            </w:r>
          </w:p>
        </w:tc>
        <w:tc>
          <w:tcPr>
            <w:tcW w:w="3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(35,448)</w:t>
            </w:r>
          </w:p>
        </w:tc>
        <w:tc>
          <w:tcPr>
            <w:tcW w:w="38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157,091</w:t>
            </w:r>
          </w:p>
        </w:tc>
      </w:tr>
      <w:tr>
        <w:trPr>
          <w:trHeight w:val="83"/>
        </w:trPr>
        <w:tc>
          <w:tcPr>
            <w:tcW w:w="38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July 29, 2022</w:t>
            </w:r>
          </w:p>
        </w:tc>
        <w:tc>
          <w:tcPr>
            <w:tcW w:w="1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2,484,927</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845,039</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12,712</w:t>
            </w:r>
          </w:p>
        </w:tc>
        <w:tc>
          <w:tcPr>
            <w:tcW w:w="3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3,342,678</w:t>
            </w: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23,201</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(23,251)</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5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424,833</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95,203</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(110,742)</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409,294</w:t>
            </w:r>
          </w:p>
        </w:tc>
      </w:tr>
      <w:tr>
        <w:trPr>
          <w:trHeight w:val="207"/>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2,625,481</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407,218</w:t>
            </w:r>
          </w:p>
        </w:tc>
        <w:tc>
          <w:tcPr>
            <w:tcW w:w="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407,250</w:t>
            </w:r>
          </w:p>
        </w:tc>
        <w:tc>
          <w:tcPr>
            <w:tcW w:w="3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3,439,949</w:t>
            </w: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July 30, 2021</w:t>
            </w:r>
          </w:p>
        </w:tc>
        <w:tc>
          <w:tcPr>
            <w:tcW w:w="15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718,477</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252,117</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6,242</w:t>
            </w:r>
          </w:p>
        </w:tc>
        <w:tc>
          <w:tcPr>
            <w:tcW w:w="3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976,836</w:t>
            </w: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8,241</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(8,254)</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5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122,331</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31,548</w:t>
            </w:r>
          </w:p>
        </w:tc>
        <w:tc>
          <w:tcPr>
            <w:tcW w:w="3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(36,428)</w:t>
            </w:r>
          </w:p>
        </w:tc>
        <w:tc>
          <w:tcPr>
            <w:tcW w:w="38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117,451</w:t>
            </w:r>
          </w:p>
        </w:tc>
      </w:tr>
      <w:tr>
        <w:trPr>
          <w:trHeight w:val="83"/>
        </w:trPr>
        <w:tc>
          <w:tcPr>
            <w:tcW w:w="38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July 30, 2021</w:t>
            </w:r>
          </w:p>
        </w:tc>
        <w:tc>
          <w:tcPr>
            <w:tcW w:w="1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2,197,058</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784,852</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17,019</w:t>
            </w:r>
          </w:p>
        </w:tc>
        <w:tc>
          <w:tcPr>
            <w:tcW w:w="3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2,998,929</w:t>
            </w: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24,034</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(24,073)</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5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406,279</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109,642</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(85,401)</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430,520</w:t>
            </w:r>
          </w:p>
        </w:tc>
      </w:tr>
      <w:tr>
        <w:trPr>
          <w:trHeight w:val="207"/>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1,949,681</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327,064</w:t>
            </w:r>
          </w:p>
        </w:tc>
        <w:tc>
          <w:tcPr>
            <w:tcW w:w="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691,304</w:t>
            </w:r>
          </w:p>
        </w:tc>
        <w:tc>
          <w:tcPr>
            <w:tcW w:w="3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2,968,049</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details of operating loss before income taxes for the company's Other activities: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1"/>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5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July 30, 2021</w:t>
            </w:r>
          </w:p>
        </w:tc>
      </w:tr>
      <w:tr>
        <w:trPr>
          <w:trHeight w:val="20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expenses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(94,359)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center"/>
              <w:ind w:left="560"/>
              <w:spacing w:after="0"/>
              <w:rPr>
                <w:sz w:val="20"/>
                <w:szCs w:val="20"/>
                <w:color w:val="auto"/>
              </w:rPr>
            </w:pPr>
            <w:r>
              <w:rPr>
                <w:rFonts w:ascii="Times New Roman" w:cs="Times New Roman" w:eastAsia="Times New Roman" w:hAnsi="Times New Roman"/>
                <w:sz w:val="16"/>
                <w:szCs w:val="16"/>
                <w:color w:val="auto"/>
                <w:w w:val="98"/>
              </w:rPr>
              <w:t>(78,814)</w:t>
            </w:r>
          </w:p>
        </w:tc>
      </w:tr>
      <w:tr>
        <w:trPr>
          <w:trHeight w:val="207"/>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5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(9,182)</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(7,016)</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(24,219)</w:t>
            </w:r>
          </w:p>
        </w:tc>
        <w:tc>
          <w:tcPr>
            <w:tcW w:w="240" w:type="dxa"/>
            <w:vAlign w:val="bottom"/>
          </w:tcPr>
          <w:p>
            <w:pPr>
              <w:spacing w:after="0"/>
              <w:rPr>
                <w:sz w:val="17"/>
                <w:szCs w:val="17"/>
                <w:color w:val="auto"/>
              </w:rPr>
            </w:pPr>
          </w:p>
        </w:tc>
        <w:tc>
          <w:tcPr>
            <w:tcW w:w="1220" w:type="dxa"/>
            <w:vAlign w:val="bottom"/>
          </w:tcPr>
          <w:p>
            <w:pPr>
              <w:jc w:val="center"/>
              <w:ind w:left="560"/>
              <w:spacing w:after="0"/>
              <w:rPr>
                <w:sz w:val="20"/>
                <w:szCs w:val="20"/>
                <w:color w:val="auto"/>
              </w:rPr>
            </w:pPr>
            <w:r>
              <w:rPr>
                <w:rFonts w:ascii="Times New Roman" w:cs="Times New Roman" w:eastAsia="Times New Roman" w:hAnsi="Times New Roman"/>
                <w:sz w:val="16"/>
                <w:szCs w:val="16"/>
                <w:color w:val="auto"/>
                <w:w w:val="98"/>
              </w:rPr>
              <w:t>(21,662)</w:t>
            </w:r>
          </w:p>
        </w:tc>
      </w:tr>
      <w:tr>
        <w:trPr>
          <w:trHeight w:val="155"/>
        </w:trPr>
        <w:tc>
          <w:tcPr>
            <w:tcW w:w="49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Earnings from wholly-owned domestic distribution companies and other</w:t>
            </w: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18"/>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net</w:t>
            </w:r>
          </w:p>
        </w:tc>
        <w:tc>
          <w:tcPr>
            <w:tcW w:w="5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4,550</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4,385</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7,836</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left="580"/>
              <w:spacing w:after="0"/>
              <w:rPr>
                <w:sz w:val="20"/>
                <w:szCs w:val="20"/>
                <w:color w:val="auto"/>
              </w:rPr>
            </w:pPr>
            <w:r>
              <w:rPr>
                <w:rFonts w:ascii="Times New Roman" w:cs="Times New Roman" w:eastAsia="Times New Roman" w:hAnsi="Times New Roman"/>
                <w:sz w:val="16"/>
                <w:szCs w:val="16"/>
                <w:color w:val="auto"/>
                <w:w w:val="99"/>
              </w:rPr>
              <w:t>15,075</w:t>
            </w:r>
          </w:p>
        </w:tc>
      </w:tr>
      <w:tr>
        <w:trPr>
          <w:trHeight w:val="201"/>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operating loss</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(35,448)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(36,428)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(110,742)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center"/>
              <w:ind w:left="560"/>
              <w:spacing w:after="0"/>
              <w:rPr>
                <w:sz w:val="20"/>
                <w:szCs w:val="20"/>
                <w:color w:val="auto"/>
              </w:rPr>
            </w:pPr>
            <w:r>
              <w:rPr>
                <w:rFonts w:ascii="Times New Roman" w:cs="Times New Roman" w:eastAsia="Times New Roman" w:hAnsi="Times New Roman"/>
                <w:sz w:val="16"/>
                <w:szCs w:val="16"/>
                <w:color w:val="auto"/>
                <w:w w:val="98"/>
              </w:rPr>
              <w:t>(85,401)</w:t>
            </w: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00" w:hanging="579"/>
        <w:spacing w:after="0"/>
        <w:tabs>
          <w:tab w:leader="none" w:pos="600" w:val="left"/>
        </w:tabs>
        <w:numPr>
          <w:ilvl w:val="0"/>
          <w:numId w:val="8"/>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disaggregate the company's reportable segment net sales by major product type and geographic market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July 29, 2022</w:t>
            </w:r>
          </w:p>
        </w:tc>
        <w:tc>
          <w:tcPr>
            <w:tcW w:w="16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780,738</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265,469</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1,047,309</w:t>
            </w:r>
          </w:p>
        </w:tc>
      </w:tr>
      <w:tr>
        <w:trPr>
          <w:trHeight w:val="207"/>
        </w:trPr>
        <w:tc>
          <w:tcPr>
            <w:tcW w:w="38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6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105,494</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113,241</w:t>
            </w:r>
          </w:p>
        </w:tc>
      </w:tr>
      <w:tr>
        <w:trPr>
          <w:trHeight w:val="200"/>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886,232</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269,962</w:t>
            </w:r>
          </w:p>
        </w:tc>
        <w:tc>
          <w:tcPr>
            <w:tcW w:w="10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1,160,550</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9"/>
        </w:trPr>
        <w:tc>
          <w:tcPr>
            <w:tcW w:w="38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710,386</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229,666</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944,408</w:t>
            </w:r>
          </w:p>
        </w:tc>
      </w:tr>
      <w:tr>
        <w:trPr>
          <w:trHeight w:val="207"/>
        </w:trPr>
        <w:tc>
          <w:tcPr>
            <w:tcW w:w="38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6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175,846</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40,296</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216,142</w:t>
            </w:r>
          </w:p>
        </w:tc>
      </w:tr>
      <w:tr>
        <w:trPr>
          <w:trHeight w:val="200"/>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886,232</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269,962</w:t>
            </w:r>
          </w:p>
        </w:tc>
        <w:tc>
          <w:tcPr>
            <w:tcW w:w="10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1,160,550</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July 29, 2022</w:t>
            </w:r>
          </w:p>
        </w:tc>
        <w:tc>
          <w:tcPr>
            <w:tcW w:w="16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2,149,549</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823,536</w:t>
            </w:r>
          </w:p>
        </w:tc>
        <w:tc>
          <w:tcPr>
            <w:tcW w:w="100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6,207</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2,979,292</w:t>
            </w:r>
          </w:p>
        </w:tc>
      </w:tr>
      <w:tr>
        <w:trPr>
          <w:trHeight w:val="207"/>
        </w:trPr>
        <w:tc>
          <w:tcPr>
            <w:tcW w:w="3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6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335,378</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21,503</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6,505</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363,386</w:t>
            </w:r>
          </w:p>
        </w:tc>
      </w:tr>
      <w:tr>
        <w:trPr>
          <w:trHeight w:val="20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2,484,927</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845,039</w:t>
            </w:r>
          </w:p>
        </w:tc>
        <w:tc>
          <w:tcPr>
            <w:tcW w:w="10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12,712</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3,342,678</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9"/>
        </w:trPr>
        <w:tc>
          <w:tcPr>
            <w:tcW w:w="37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1,969,933</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703,234</w:t>
            </w:r>
          </w:p>
        </w:tc>
        <w:tc>
          <w:tcPr>
            <w:tcW w:w="100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12,712</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2,685,879</w:t>
            </w:r>
          </w:p>
        </w:tc>
      </w:tr>
      <w:tr>
        <w:trPr>
          <w:trHeight w:val="207"/>
        </w:trPr>
        <w:tc>
          <w:tcPr>
            <w:tcW w:w="3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6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514,994</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141,805</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656,799</w:t>
            </w:r>
          </w:p>
        </w:tc>
      </w:tr>
      <w:tr>
        <w:trPr>
          <w:trHeight w:val="20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2,484,927</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845,039</w:t>
            </w:r>
          </w:p>
        </w:tc>
        <w:tc>
          <w:tcPr>
            <w:tcW w:w="10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12,712</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3,342,678</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July 30, 2021</w:t>
            </w:r>
          </w:p>
        </w:tc>
        <w:tc>
          <w:tcPr>
            <w:tcW w:w="16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609,022</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247,152</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859,338</w:t>
            </w:r>
          </w:p>
        </w:tc>
      </w:tr>
      <w:tr>
        <w:trPr>
          <w:trHeight w:val="207"/>
        </w:trPr>
        <w:tc>
          <w:tcPr>
            <w:tcW w:w="38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6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109,455</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117,498</w:t>
            </w:r>
          </w:p>
        </w:tc>
      </w:tr>
      <w:tr>
        <w:trPr>
          <w:trHeight w:val="200"/>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718,477</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252,117</w:t>
            </w:r>
          </w:p>
        </w:tc>
        <w:tc>
          <w:tcPr>
            <w:tcW w:w="10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6,242</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976,836</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9"/>
        </w:trPr>
        <w:tc>
          <w:tcPr>
            <w:tcW w:w="38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559,907</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219,022</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6,242</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785,171</w:t>
            </w:r>
          </w:p>
        </w:tc>
      </w:tr>
      <w:tr>
        <w:trPr>
          <w:trHeight w:val="207"/>
        </w:trPr>
        <w:tc>
          <w:tcPr>
            <w:tcW w:w="38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6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158,570</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33,095</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191,665</w:t>
            </w:r>
          </w:p>
        </w:tc>
      </w:tr>
      <w:tr>
        <w:trPr>
          <w:trHeight w:val="200"/>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718,477</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252,117</w:t>
            </w:r>
          </w:p>
        </w:tc>
        <w:tc>
          <w:tcPr>
            <w:tcW w:w="10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6,242</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976,836</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July 30, 2021</w:t>
            </w:r>
          </w:p>
        </w:tc>
        <w:tc>
          <w:tcPr>
            <w:tcW w:w="16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1,891,138</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761,724</w:t>
            </w:r>
          </w:p>
        </w:tc>
        <w:tc>
          <w:tcPr>
            <w:tcW w:w="100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11,436</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2,664,298</w:t>
            </w:r>
          </w:p>
        </w:tc>
      </w:tr>
      <w:tr>
        <w:trPr>
          <w:trHeight w:val="207"/>
        </w:trPr>
        <w:tc>
          <w:tcPr>
            <w:tcW w:w="3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6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305,920</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23,128</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334,631</w:t>
            </w:r>
          </w:p>
        </w:tc>
      </w:tr>
      <w:tr>
        <w:trPr>
          <w:trHeight w:val="20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2,197,058</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784,852</w:t>
            </w:r>
          </w:p>
        </w:tc>
        <w:tc>
          <w:tcPr>
            <w:tcW w:w="10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17,019</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2,998,929</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9"/>
        </w:trPr>
        <w:tc>
          <w:tcPr>
            <w:tcW w:w="37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1,681,972</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661,017</w:t>
            </w:r>
          </w:p>
        </w:tc>
        <w:tc>
          <w:tcPr>
            <w:tcW w:w="100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17,019</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2,360,008</w:t>
            </w:r>
          </w:p>
        </w:tc>
      </w:tr>
      <w:tr>
        <w:trPr>
          <w:trHeight w:val="207"/>
        </w:trPr>
        <w:tc>
          <w:tcPr>
            <w:tcW w:w="3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6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515,086</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123,835</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638,921</w:t>
            </w:r>
          </w:p>
        </w:tc>
      </w:tr>
      <w:tr>
        <w:trPr>
          <w:trHeight w:val="20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2,197,058</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784,852</w:t>
            </w:r>
          </w:p>
        </w:tc>
        <w:tc>
          <w:tcPr>
            <w:tcW w:w="10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17,019</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2,998,929</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July 29, 2022 and October 31, 2021, $27.3 million and $24.1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and nine months ended July 29, 2022, the company recognized $3.3 million and $8.8 million, respectively, of the October 31, 2021 deferred revenue balance within net sales in the Condensed Consolidated Statements of Earnings. The company expects to recognize approximately $2.3 million of the October 31, 2021 deferred revenue amount within net sales throughout the remainder of fiscal 2022, $7.7 million in fiscal 2023, and $5.3 million thereafter.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79"/>
        <w:spacing w:after="0"/>
        <w:tabs>
          <w:tab w:leader="none" w:pos="600" w:val="left"/>
        </w:tabs>
        <w:numPr>
          <w:ilvl w:val="0"/>
          <w:numId w:val="9"/>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Goodwill and Other Intangible Assets, Net</w:t>
      </w:r>
    </w:p>
    <w:p>
      <w:pPr>
        <w:spacing w:after="0" w:line="96"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 xml:space="preserve">The company's acquisition of Intimidator on January 13, 2022 resulted in the recognition of $163.7 million and $184.2 million of goodwill and other intangible assets, respectively. For additional information on the company's acquisition of Intimidator, refer to Note 2, </w:t>
      </w:r>
      <w:r>
        <w:rPr>
          <w:rFonts w:ascii="Times New Roman" w:cs="Times New Roman" w:eastAsia="Times New Roman" w:hAnsi="Times New Roman"/>
          <w:sz w:val="17"/>
          <w:szCs w:val="17"/>
          <w:i w:val="1"/>
          <w:iCs w:val="1"/>
          <w:color w:val="auto"/>
        </w:rPr>
        <w:t>Business Combinations and Asset Acquisitions</w:t>
      </w:r>
      <w:r>
        <w:rPr>
          <w:rFonts w:ascii="Times New Roman" w:cs="Times New Roman" w:eastAsia="Times New Roman" w:hAnsi="Times New Roman"/>
          <w:sz w:val="17"/>
          <w:szCs w:val="17"/>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the carrying amount of goodwill by reportable segment for the first nine months of fiscal 2022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8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2021</w:t>
            </w:r>
          </w:p>
        </w:tc>
        <w:tc>
          <w:tcPr>
            <w:tcW w:w="18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411,079</w:t>
            </w:r>
          </w:p>
        </w:tc>
        <w:tc>
          <w:tcPr>
            <w:tcW w:w="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10,601</w:t>
            </w:r>
          </w:p>
        </w:tc>
        <w:tc>
          <w:tcPr>
            <w:tcW w:w="110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421,680</w:t>
            </w:r>
          </w:p>
        </w:tc>
      </w:t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acquired</w:t>
            </w:r>
          </w:p>
        </w:tc>
        <w:tc>
          <w:tcPr>
            <w:tcW w:w="180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163,731</w:t>
            </w:r>
          </w:p>
        </w:tc>
        <w:tc>
          <w:tcPr>
            <w:tcW w:w="26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7"/>
                <w:szCs w:val="17"/>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163,731</w:t>
            </w:r>
          </w:p>
        </w:tc>
      </w:tr>
      <w:tr>
        <w:trPr>
          <w:trHeight w:val="207"/>
        </w:trPr>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8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1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r>
      <w:tr>
        <w:trPr>
          <w:trHeight w:val="200"/>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July 29, 2022</w:t>
            </w:r>
          </w:p>
        </w:tc>
        <w:tc>
          <w:tcPr>
            <w:tcW w:w="18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573,415</w:t>
            </w:r>
          </w:p>
        </w:tc>
        <w:tc>
          <w:tcPr>
            <w:tcW w:w="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10,388</w:t>
            </w:r>
          </w:p>
        </w:tc>
        <w:tc>
          <w:tcPr>
            <w:tcW w:w="110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583,803</w:t>
            </w: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other intangible assets, net as of July 29, 2022, July 30, 2021, and October 31, 2021 were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Borders>
              <w:top w:val="single" w:sz="8" w:color="auto"/>
            </w:tcBorders>
          </w:tcPr>
          <w:p>
            <w:pPr>
              <w:spacing w:after="0"/>
              <w:rPr>
                <w:sz w:val="14"/>
                <w:szCs w:val="14"/>
                <w:color w:val="auto"/>
              </w:rPr>
            </w:pPr>
          </w:p>
        </w:tc>
        <w:tc>
          <w:tcPr>
            <w:tcW w:w="3040" w:type="dxa"/>
            <w:vAlign w:val="bottom"/>
            <w:tcBorders>
              <w:top w:val="single" w:sz="8" w:color="auto"/>
            </w:tcBorders>
          </w:tcPr>
          <w:p>
            <w:pPr>
              <w:jc w:val="center"/>
              <w:ind w:left="1455"/>
              <w:spacing w:after="0" w:line="16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80"/>
              <w:spacing w:after="0" w:line="168" w:lineRule="exact"/>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20"/>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21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3040" w:type="dxa"/>
            <w:vAlign w:val="bottom"/>
            <w:tcBorders>
              <w:bottom w:val="single" w:sz="8" w:color="auto"/>
            </w:tcBorders>
          </w:tcPr>
          <w:p>
            <w:pPr>
              <w:jc w:val="center"/>
              <w:ind w:left="1455"/>
              <w:spacing w:after="0"/>
              <w:rPr>
                <w:sz w:val="20"/>
                <w:szCs w:val="20"/>
                <w:color w:val="auto"/>
              </w:rPr>
            </w:pPr>
            <w:r>
              <w:rPr>
                <w:rFonts w:ascii="Times New Roman" w:cs="Times New Roman" w:eastAsia="Times New Roman" w:hAnsi="Times New Roman"/>
                <w:sz w:val="16"/>
                <w:szCs w:val="16"/>
                <w:b w:val="1"/>
                <w:bCs w:val="1"/>
                <w:color w:val="auto"/>
                <w:w w:val="98"/>
              </w:rPr>
              <w:t>Useful Life in Years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1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18,252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(15,178)</w:t>
            </w:r>
          </w:p>
        </w:tc>
        <w:tc>
          <w:tcPr>
            <w:tcW w:w="4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6,887</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(6,861)</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321,113</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(78,017)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243,096</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102,013</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51,601</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10,689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7,422</w:t>
            </w:r>
          </w:p>
        </w:tc>
      </w:tr>
      <w:tr>
        <w:trPr>
          <w:trHeight w:val="22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5,730</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1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464,684</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(159,015)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305,669</w:t>
            </w:r>
          </w:p>
        </w:tc>
      </w:tr>
      <w:tr>
        <w:trPr>
          <w:trHeight w:val="20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289,472</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289,472</w:t>
            </w:r>
          </w:p>
        </w:tc>
      </w:tr>
      <w:tr>
        <w:trPr>
          <w:trHeight w:val="225"/>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754,156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(159,015)</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595,141</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69"/>
        </w:trPr>
        <w:tc>
          <w:tcPr>
            <w:tcW w:w="368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r>
        <w:trPr>
          <w:trHeight w:val="154"/>
        </w:trPr>
        <w:tc>
          <w:tcPr>
            <w:tcW w:w="3680" w:type="dxa"/>
            <w:vAlign w:val="bottom"/>
          </w:tcPr>
          <w:p>
            <w:pPr>
              <w:spacing w:after="0"/>
              <w:rPr>
                <w:sz w:val="13"/>
                <w:szCs w:val="13"/>
                <w:color w:val="auto"/>
              </w:rPr>
            </w:pPr>
          </w:p>
        </w:tc>
        <w:tc>
          <w:tcPr>
            <w:tcW w:w="3040" w:type="dxa"/>
            <w:vAlign w:val="bottom"/>
          </w:tcPr>
          <w:p>
            <w:pPr>
              <w:jc w:val="center"/>
              <w:ind w:left="1455"/>
              <w:spacing w:after="0" w:line="154"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00" w:type="dxa"/>
            <w:vAlign w:val="bottom"/>
          </w:tcPr>
          <w:p>
            <w:pPr>
              <w:spacing w:after="0"/>
              <w:rPr>
                <w:sz w:val="13"/>
                <w:szCs w:val="13"/>
                <w:color w:val="auto"/>
              </w:rPr>
            </w:pPr>
          </w:p>
        </w:tc>
        <w:tc>
          <w:tcPr>
            <w:tcW w:w="1300" w:type="dxa"/>
            <w:vAlign w:val="bottom"/>
          </w:tcPr>
          <w:p>
            <w:pPr>
              <w:jc w:val="center"/>
              <w:ind w:right="80"/>
              <w:spacing w:after="0" w:line="154" w:lineRule="exact"/>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240" w:type="dxa"/>
            <w:vAlign w:val="bottom"/>
          </w:tcPr>
          <w:p>
            <w:pPr>
              <w:spacing w:after="0"/>
              <w:rPr>
                <w:sz w:val="13"/>
                <w:szCs w:val="13"/>
                <w:color w:val="auto"/>
              </w:rPr>
            </w:pPr>
          </w:p>
        </w:tc>
        <w:tc>
          <w:tcPr>
            <w:tcW w:w="1300" w:type="dxa"/>
            <w:vAlign w:val="bottom"/>
          </w:tcPr>
          <w:p>
            <w:pPr>
              <w:jc w:val="right"/>
              <w:ind w:right="220"/>
              <w:spacing w:after="0" w:line="154"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2"/>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3040" w:type="dxa"/>
            <w:vAlign w:val="bottom"/>
            <w:tcBorders>
              <w:bottom w:val="single" w:sz="8" w:color="auto"/>
            </w:tcBorders>
          </w:tcPr>
          <w:p>
            <w:pPr>
              <w:jc w:val="center"/>
              <w:ind w:left="1455"/>
              <w:spacing w:after="0"/>
              <w:rPr>
                <w:sz w:val="20"/>
                <w:szCs w:val="20"/>
                <w:color w:val="auto"/>
              </w:rPr>
            </w:pPr>
            <w:r>
              <w:rPr>
                <w:rFonts w:ascii="Times New Roman" w:cs="Times New Roman" w:eastAsia="Times New Roman" w:hAnsi="Times New Roman"/>
                <w:sz w:val="16"/>
                <w:szCs w:val="16"/>
                <w:b w:val="1"/>
                <w:bCs w:val="1"/>
                <w:color w:val="auto"/>
                <w:w w:val="98"/>
              </w:rPr>
              <w:t>Useful Life in Years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1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18,275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(14,482)</w:t>
            </w:r>
          </w:p>
        </w:tc>
        <w:tc>
          <w:tcPr>
            <w:tcW w:w="4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6,908</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(6,861)</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239,762</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(59,017)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180,745</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87,512</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(40,943)</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46,569</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7,544</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w:t>
            </w:r>
          </w:p>
        </w:tc>
      </w:tr>
      <w:tr>
        <w:trPr>
          <w:trHeight w:val="22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4,390</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364,391</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(128,575)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235,816</w:t>
            </w:r>
          </w:p>
        </w:tc>
      </w:tr>
      <w:tr>
        <w:trPr>
          <w:trHeight w:val="20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190,681</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190,681</w:t>
            </w:r>
          </w:p>
        </w:tc>
      </w:tr>
      <w:tr>
        <w:trPr>
          <w:trHeight w:val="225"/>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555,072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(128,575)</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426,497</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902"/>
        </w:trPr>
        <w:tc>
          <w:tcPr>
            <w:tcW w:w="3680" w:type="dxa"/>
            <w:vAlign w:val="bottom"/>
          </w:tcPr>
          <w:p>
            <w:pPr>
              <w:spacing w:after="0"/>
              <w:rPr>
                <w:sz w:val="24"/>
                <w:szCs w:val="24"/>
                <w:color w:val="auto"/>
              </w:rPr>
            </w:pPr>
          </w:p>
        </w:tc>
        <w:tc>
          <w:tcPr>
            <w:tcW w:w="3040" w:type="dxa"/>
            <w:vAlign w:val="bottom"/>
          </w:tcPr>
          <w:p>
            <w:pPr>
              <w:jc w:val="right"/>
              <w:ind w:right="915"/>
              <w:spacing w:after="0"/>
              <w:rPr>
                <w:sz w:val="20"/>
                <w:szCs w:val="20"/>
                <w:color w:val="auto"/>
              </w:rPr>
            </w:pPr>
            <w:r>
              <w:rPr>
                <w:rFonts w:ascii="Times New Roman" w:cs="Times New Roman" w:eastAsia="Times New Roman" w:hAnsi="Times New Roman"/>
                <w:sz w:val="17"/>
                <w:szCs w:val="17"/>
                <w:color w:val="auto"/>
              </w:rPr>
              <w:t>15</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9"/>
        </w:trPr>
        <w:tc>
          <w:tcPr>
            <w:tcW w:w="368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Borders>
              <w:top w:val="single" w:sz="8" w:color="auto"/>
            </w:tcBorders>
          </w:tcPr>
          <w:p>
            <w:pPr>
              <w:spacing w:after="0"/>
              <w:rPr>
                <w:sz w:val="14"/>
                <w:szCs w:val="14"/>
                <w:color w:val="auto"/>
              </w:rPr>
            </w:pPr>
          </w:p>
        </w:tc>
        <w:tc>
          <w:tcPr>
            <w:tcW w:w="3040" w:type="dxa"/>
            <w:vAlign w:val="bottom"/>
            <w:tcBorders>
              <w:top w:val="single" w:sz="8" w:color="auto"/>
            </w:tcBorders>
          </w:tcPr>
          <w:p>
            <w:pPr>
              <w:jc w:val="right"/>
              <w:ind w:right="35"/>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20"/>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20"/>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21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2021</w:t>
            </w: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1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18,283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(14,670)</w:t>
            </w:r>
          </w:p>
        </w:tc>
        <w:tc>
          <w:tcPr>
            <w:tcW w:w="4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6,914</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239,679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(62,617)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177,062</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87,473</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(43,348)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44,125</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7,524</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w:t>
            </w:r>
          </w:p>
        </w:tc>
      </w:tr>
      <w:tr>
        <w:trPr>
          <w:trHeight w:val="22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4,390</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364,263</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(134,866)</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229,397</w:t>
            </w:r>
          </w:p>
        </w:tc>
      </w:tr>
      <w:tr>
        <w:trPr>
          <w:trHeight w:val="20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190,644</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190,644</w:t>
            </w:r>
          </w:p>
        </w:tc>
      </w:tr>
      <w:tr>
        <w:trPr>
          <w:trHeight w:val="225"/>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554,907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(134,866)</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420,041</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Amortization expense for finite-lived intangible assets for the three and nine months ended July 29, 2022 was $9.1 million and $24.8 million, respectively. Amortization expense for finite-lived intangible assets for the three and nine months ended July 30, 2021 was $6.4 million and $17.5 million, respectively. Estimated amortization expense for the remainder of fiscal 2022 and succeeding fiscal years is as follows: fiscal 2022 (remainder), $9.1 million; fiscal 2023, $34.9 million; fiscal 2024, $33.0 million; fiscal 2025, $30.1 million; fiscal 2026, $29.0 million; fiscal 2027, $24.0 million; and after fiscal 2027, $145.6 million.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548"/>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41"/>
                <w:szCs w:val="41"/>
                <w:b w:val="1"/>
                <w:bCs w:val="1"/>
                <w:color w:val="auto"/>
              </w:rPr>
              <w:t>6</w:t>
            </w:r>
          </w:p>
        </w:tc>
        <w:tc>
          <w:tcPr>
            <w:tcW w:w="49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Indebtedness</w:t>
            </w: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5"/>
        </w:trPr>
        <w:tc>
          <w:tcPr>
            <w:tcW w:w="5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is a summary of the company's indebtedness:</w:t>
            </w:r>
          </w:p>
        </w:tc>
        <w:tc>
          <w:tcPr>
            <w:tcW w:w="10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129"/>
        </w:trPr>
        <w:tc>
          <w:tcPr>
            <w:tcW w:w="20" w:type="dxa"/>
            <w:vAlign w:val="bottom"/>
          </w:tcPr>
          <w:p>
            <w:pPr>
              <w:spacing w:after="0"/>
              <w:rPr>
                <w:sz w:val="11"/>
                <w:szCs w:val="11"/>
                <w:color w:val="auto"/>
              </w:rPr>
            </w:pPr>
          </w:p>
        </w:tc>
        <w:tc>
          <w:tcPr>
            <w:tcW w:w="5320" w:type="dxa"/>
            <w:vAlign w:val="bottom"/>
            <w:tcBorders>
              <w:bottom w:val="single" w:sz="8" w:color="auto"/>
            </w:tcBorders>
            <w:gridSpan w:val="2"/>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200"/>
        </w:trPr>
        <w:tc>
          <w:tcPr>
            <w:tcW w:w="20" w:type="dxa"/>
            <w:vAlign w:val="bottom"/>
          </w:tcPr>
          <w:p>
            <w:pPr>
              <w:spacing w:after="0"/>
              <w:rPr>
                <w:sz w:val="17"/>
                <w:szCs w:val="17"/>
                <w:color w:val="auto"/>
              </w:rPr>
            </w:pPr>
          </w:p>
        </w:tc>
        <w:tc>
          <w:tcPr>
            <w:tcW w:w="5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0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00"/>
        </w:trPr>
        <w:tc>
          <w:tcPr>
            <w:tcW w:w="20" w:type="dxa"/>
            <w:vAlign w:val="bottom"/>
          </w:tcPr>
          <w:p>
            <w:pPr>
              <w:spacing w:after="0"/>
              <w:rPr>
                <w:sz w:val="17"/>
                <w:szCs w:val="17"/>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$600 million revolving credit facility, due October 2026</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0" w:type="dxa"/>
            <w:vAlign w:val="bottom"/>
          </w:tcPr>
          <w:p>
            <w:pPr>
              <w:spacing w:after="0"/>
              <w:rPr>
                <w:sz w:val="17"/>
                <w:szCs w:val="17"/>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million term loan, due April 2022</w:t>
            </w:r>
          </w:p>
        </w:tc>
        <w:tc>
          <w:tcPr>
            <w:tcW w:w="10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0" w:type="dxa"/>
            <w:vAlign w:val="bottom"/>
          </w:tcPr>
          <w:p>
            <w:pPr>
              <w:spacing w:after="0"/>
              <w:rPr>
                <w:sz w:val="17"/>
                <w:szCs w:val="17"/>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million term loan, due April 2024</w:t>
            </w:r>
          </w:p>
        </w:tc>
        <w:tc>
          <w:tcPr>
            <w:tcW w:w="10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0" w:type="dxa"/>
            <w:vAlign w:val="bottom"/>
          </w:tcPr>
          <w:p>
            <w:pPr>
              <w:spacing w:after="0"/>
              <w:rPr>
                <w:sz w:val="17"/>
                <w:szCs w:val="17"/>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$270 million term loan, due October 2026</w:t>
            </w:r>
          </w:p>
        </w:tc>
        <w:tc>
          <w:tcPr>
            <w:tcW w:w="10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270,000</w:t>
            </w:r>
          </w:p>
        </w:tc>
      </w:tr>
      <w:tr>
        <w:trPr>
          <w:trHeight w:val="207"/>
        </w:trPr>
        <w:tc>
          <w:tcPr>
            <w:tcW w:w="20" w:type="dxa"/>
            <w:vAlign w:val="bottom"/>
          </w:tcPr>
          <w:p>
            <w:pPr>
              <w:spacing w:after="0"/>
              <w:rPr>
                <w:sz w:val="17"/>
                <w:szCs w:val="17"/>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million term loan, due April 2027</w:t>
            </w:r>
          </w:p>
        </w:tc>
        <w:tc>
          <w:tcPr>
            <w:tcW w:w="10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0" w:type="dxa"/>
            <w:vAlign w:val="bottom"/>
          </w:tcPr>
          <w:p>
            <w:pPr>
              <w:spacing w:after="0"/>
              <w:rPr>
                <w:sz w:val="17"/>
                <w:szCs w:val="17"/>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0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20" w:type="dxa"/>
            <w:vAlign w:val="bottom"/>
          </w:tcPr>
          <w:p>
            <w:pPr>
              <w:spacing w:after="0"/>
              <w:rPr>
                <w:sz w:val="17"/>
                <w:szCs w:val="17"/>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0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20" w:type="dxa"/>
            <w:vAlign w:val="bottom"/>
          </w:tcPr>
          <w:p>
            <w:pPr>
              <w:spacing w:after="0"/>
              <w:rPr>
                <w:sz w:val="17"/>
                <w:szCs w:val="17"/>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0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0" w:type="dxa"/>
            <w:vAlign w:val="bottom"/>
          </w:tcPr>
          <w:p>
            <w:pPr>
              <w:spacing w:after="0"/>
              <w:rPr>
                <w:sz w:val="17"/>
                <w:szCs w:val="17"/>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0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20" w:type="dxa"/>
            <w:vAlign w:val="bottom"/>
          </w:tcPr>
          <w:p>
            <w:pPr>
              <w:spacing w:after="0"/>
              <w:rPr>
                <w:sz w:val="17"/>
                <w:szCs w:val="17"/>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0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124,086</w:t>
            </w: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124,024</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124,040</w:t>
            </w:r>
          </w:p>
        </w:tc>
      </w:tr>
      <w:tr>
        <w:trPr>
          <w:trHeight w:val="207"/>
        </w:trPr>
        <w:tc>
          <w:tcPr>
            <w:tcW w:w="20" w:type="dxa"/>
            <w:vAlign w:val="bottom"/>
          </w:tcPr>
          <w:p>
            <w:pPr>
              <w:spacing w:after="0"/>
              <w:rPr>
                <w:sz w:val="17"/>
                <w:szCs w:val="17"/>
                <w:color w:val="auto"/>
              </w:rPr>
            </w:pPr>
          </w:p>
        </w:tc>
        <w:tc>
          <w:tcPr>
            <w:tcW w:w="53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discounts, debt issuance costs, and deferred charges</w:t>
            </w:r>
          </w:p>
        </w:tc>
        <w:tc>
          <w:tcPr>
            <w:tcW w:w="10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3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r>
      <w:tr>
        <w:trPr>
          <w:trHeight w:val="200"/>
        </w:trPr>
        <w:tc>
          <w:tcPr>
            <w:tcW w:w="20" w:type="dxa"/>
            <w:vAlign w:val="bottom"/>
          </w:tcPr>
          <w:p>
            <w:pPr>
              <w:spacing w:after="0"/>
              <w:rPr>
                <w:sz w:val="17"/>
                <w:szCs w:val="17"/>
                <w:color w:val="auto"/>
              </w:rPr>
            </w:pPr>
          </w:p>
        </w:tc>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long-term debt</w:t>
            </w:r>
          </w:p>
        </w:tc>
        <w:tc>
          <w:tcPr>
            <w:tcW w:w="10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1,055,616</w:t>
            </w: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691,562</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691,242</w:t>
            </w:r>
          </w:p>
        </w:tc>
      </w:tr>
      <w:tr>
        <w:trPr>
          <w:trHeight w:val="207"/>
        </w:trPr>
        <w:tc>
          <w:tcPr>
            <w:tcW w:w="20" w:type="dxa"/>
            <w:vAlign w:val="bottom"/>
          </w:tcPr>
          <w:p>
            <w:pPr>
              <w:spacing w:after="0"/>
              <w:rPr>
                <w:sz w:val="17"/>
                <w:szCs w:val="17"/>
                <w:color w:val="auto"/>
              </w:rPr>
            </w:pPr>
          </w:p>
        </w:tc>
        <w:tc>
          <w:tcPr>
            <w:tcW w:w="53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0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3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104,217</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20" w:type="dxa"/>
            <w:vAlign w:val="bottom"/>
          </w:tcPr>
          <w:p>
            <w:pPr>
              <w:spacing w:after="0"/>
              <w:rPr>
                <w:sz w:val="17"/>
                <w:szCs w:val="17"/>
                <w:color w:val="auto"/>
              </w:rPr>
            </w:pPr>
          </w:p>
        </w:tc>
        <w:tc>
          <w:tcPr>
            <w:tcW w:w="5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990,616</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587,345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691,242</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Principal payments required on the company's outstanding indebtedness, based on the maturity dates defined within the company's debt arrangements, for the remainder of fiscal 2022 and succeeding fiscal years are as follows: fiscal 2022 (remainder), $0.0 million; fiscal 2023, $0.0 million; fiscal 2024, $0.0 million; fiscal 2025, $37.0 million; fiscal 2026, $328.0 million; fiscal 2027, $270.0 million; and after fiscal 2027, $425.0 million. Typically, the company's revolving credit facility is classified as long-term debt within the Condensed Consolidated Balance Sheets as the company has the ability to extend the outstanding borrowings under the revolving credit facility for the full-term of the facility. However, if the company intends to prepay a portion of the outstanding balance under the revolving credit facility within the next twelve months, the company reclassifies the portion of outstanding borrowings under the revolving credit facility that the company intends to repay within the next twelve months to current portion of long-term debt within the Condensed Consolidated Balance Sheets. As of July 29, 2022, the company reclassified $65.0 million of outstanding borrowings under the revolving credit facility to current portion of long-term debt within the Condensed Consolidated Balance Sheets as the company currently intends to repay this amount within the next twelve months.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3.97% Senior Notes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June 30, 2022, the company issued $100.0 million of 3.97% Senior Notes due June 30, 2032 ("3.97% Senior Notes") pursuant to a private placement note purchase agreement ("2022 Note Purchase Agreement") with certain purchasers ("holders"). The proceeds were used pay down certain of its outstanding borrowings incurred in connection with the company's acquisition of Intimidator on January 13, 2022 and borrowed under its revolving credit facility provided under an amended and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restated revolving credit agreement dated as of October 5, 2021. In connection with the 2022 Note Purchase Agreement, the company incurred immaterial debt issuance costs, which were capitalized as contra-debt on our Condensed Consolidated Balance Sheets and will be amortized over the life of the 3.97% Senior Notes. Interest on the 3.97% Senior Notes is payable semiannually on the 30th day of June and December in each year. The 3.97% Senior Notes are unsecured senior obligations of the company and mature on June 30, 2032.</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has the right to prepay all or a portion of the 3.97% Senior Notes upon notice to the holders for 100% of the prepaid principal amount plus a make-whole premium, as set forth in the 2022 Note Purchase Agreement, plus accrued and unpaid interest, if any, to the date of prepayment. In addition, at any time during the 90 day period ending on the maturity date of the 3.97% Senior Notes, the company will have the right to prepay all of the 3.97% Senior Notes without any make-whole premium. Upon the occurrence of certain change of control events, holders of the 3.97% Senior Notes will have the right to require that the company purchase such holder’s 3.97% Senior Notes in cash at a purchase price equal to 100% of the principal amount thereof plus accrued and unpaid interest, if any, to the date of repurchase.</w:t>
      </w:r>
    </w:p>
    <w:p>
      <w:pPr>
        <w:spacing w:after="0" w:line="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2022 Note Purchase Agreement contains customary representations and warranties of the company, as well as certain customary covenants, including, without limitation, financial covenants generally consistent with those applicable under the company's revolving credit facility. The company was in compliance with all covenants as of July 29,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$200.0 Million Term Loan Credit Agreement</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April 27, 2022, the company entered into a term loan credit agreement ("$200.0 million term loan") with certain financial institutions for the purpose of paying down certain of its outstanding borrowings incurred in connection with the company's acquisition of Intimidator on January 13, 2022 and borrowed under its revolving credit facility provided under an amended and restated revolving credit agreement dated as of October 5, 2021. The entire $200.0 million available under the agreement was funded on April 27, 2022, and matures on April 27, 2027. In connection with the company's entry into the $200.0 million term loan, the company incurred immaterial debt issuance costs, which are being deferred and amortized over the life of the $200.0 million term loan and are netted against the outstanding borrowings under the $200.0 million term loan within the long-term debt, less current portion line item on the company's Condensed Consolidated Balance Sheets.</w:t>
      </w:r>
    </w:p>
    <w:p>
      <w:pPr>
        <w:spacing w:after="0" w:line="2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Outstanding borrowings under the $200.0 million term loan bear interest on the outstanding principal amount thereof for each interest period at a variable rate generally based on Term SOFR or an alternative variable rate based on the highest of the Bank of America prime rate, the federal funds rate or a rate generally based on Term SOFR, depending on the leverage ratio (as measured quarterly and defined as the ratio of (i) total indebtedness to (ii) consolidated EBIT (earnings before interest and taxes) plus depreciation and amortization expense) and our debt rating. Interest is payable quarterly in arrears.</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Beginning with the last business day of June 2025, the company is required to make quarterly amortization payments on the $200.0 million term loan equal to 2.5% of the original aggregate principal amount reduced by any applicable prepayments. The $200.0 million term loan may be prepaid and terminated at the company's election at any time without penalty or premium. Amounts repaid or prepaid may not be reborrowed.</w:t>
      </w:r>
    </w:p>
    <w:p>
      <w:pPr>
        <w:spacing w:after="0" w:line="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$200.0 million term loan contains customary covenants, including, without limitation, financial covenants generally consistent with those applicable under the company's revolving credit facility. The company was in compliance with all covenants as of July 29, 2022.</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Revolving Credit Facility</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On April 27, 2022, the company amended its October 5, 2021 amended and restated revolving credit agreement to transition the reference rate from LIBOR to term SOFR. As of July 29, 2022, SOFR is the reference rate in effect for all outstanding variable interest borrowings of the company.</w:t>
      </w:r>
    </w:p>
    <w:p>
      <w:pPr>
        <w:spacing w:after="0" w:line="75" w:lineRule="exact"/>
        <w:rPr>
          <w:sz w:val="20"/>
          <w:szCs w:val="20"/>
          <w:color w:val="auto"/>
        </w:rPr>
      </w:pPr>
    </w:p>
    <w:p>
      <w:pPr>
        <w:ind w:left="600" w:hanging="579"/>
        <w:spacing w:after="0"/>
        <w:tabs>
          <w:tab w:leader="none" w:pos="600" w:val="left"/>
        </w:tabs>
        <w:numPr>
          <w:ilvl w:val="0"/>
          <w:numId w:val="10"/>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Inventories, Net</w:t>
      </w:r>
    </w:p>
    <w:p>
      <w:pPr>
        <w:spacing w:after="0" w:line="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Inventories are valued at the lower of cost or net realizable value, with cost determined by the first-in, first-out ("FIFO") and average cost methods for a majority of the company's inventories. All remaining inventories are valued at the lower of cost or market, with cost determined under the last-in, first-out ("LIFO") method.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spacing w:after="0" w:line="7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 xml:space="preserve">On January 13, 2022, with the acquisition of Intimidator, the company acquired $34.6 million of inventory. For additional information on the company's acquisition of Intimidator, refer to Note 2, </w:t>
      </w:r>
      <w:r>
        <w:rPr>
          <w:rFonts w:ascii="Times New Roman" w:cs="Times New Roman" w:eastAsia="Times New Roman" w:hAnsi="Times New Roman"/>
          <w:sz w:val="17"/>
          <w:szCs w:val="17"/>
          <w:i w:val="1"/>
          <w:iCs w:val="1"/>
          <w:color w:val="auto"/>
        </w:rPr>
        <w:t>Business Combinations and Asset Acquisitions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net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0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work in process</w:t>
            </w:r>
          </w:p>
        </w:tc>
        <w:tc>
          <w:tcPr>
            <w:tcW w:w="2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402,719</w:t>
            </w:r>
          </w:p>
        </w:tc>
        <w:tc>
          <w:tcPr>
            <w:tcW w:w="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280,774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335,325</w:t>
            </w:r>
          </w:p>
        </w:tc>
      </w:tr>
      <w:tr>
        <w:trPr>
          <w:trHeight w:val="207"/>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Finished goods and service parts</w:t>
            </w:r>
          </w:p>
        </w:tc>
        <w:tc>
          <w:tcPr>
            <w:tcW w:w="2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672,042</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466,961</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538,332</w:t>
            </w:r>
          </w:p>
        </w:tc>
      </w:tr>
      <w:tr>
        <w:trPr>
          <w:trHeight w:val="20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FIFO and average cost value</w:t>
            </w:r>
          </w:p>
        </w:tc>
        <w:tc>
          <w:tcPr>
            <w:tcW w:w="2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1,074,761</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747,735</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873,657</w:t>
            </w:r>
          </w:p>
        </w:tc>
      </w:tr>
      <w:tr>
        <w:trPr>
          <w:trHeight w:val="207"/>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adjustment to LIFO value</w:t>
            </w:r>
          </w:p>
        </w:tc>
        <w:tc>
          <w:tcPr>
            <w:tcW w:w="2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135,487</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82,087</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135,487</w:t>
            </w:r>
          </w:p>
        </w:tc>
      </w:tr>
      <w:tr>
        <w:trPr>
          <w:trHeight w:val="225"/>
        </w:trPr>
        <w:tc>
          <w:tcPr>
            <w:tcW w:w="4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 net</w:t>
            </w:r>
          </w:p>
        </w:tc>
        <w:tc>
          <w:tcPr>
            <w:tcW w:w="21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939,274</w:t>
            </w:r>
          </w:p>
        </w:tc>
        <w:tc>
          <w:tcPr>
            <w:tcW w:w="3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665,648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738,170</w:t>
            </w:r>
          </w:p>
        </w:tc>
      </w:tr>
      <w:tr>
        <w:trPr>
          <w:trHeight w:val="20"/>
        </w:trPr>
        <w:tc>
          <w:tcPr>
            <w:tcW w:w="42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11"/>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Property, Plant and Equipment, Net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Condensed Consolidated Statements of Earnings depending on the nature and use of the related asset. Interest is capitalized during the construction period for significant capital projects.</w:t>
      </w:r>
    </w:p>
    <w:p>
      <w:pPr>
        <w:spacing w:after="0" w:line="7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 xml:space="preserve">On January 13, 2022, with the acquisition of Intimidator, the company acquired $27.4 million of property, plant, and equipment. For additional information on the company's acquisition of Intimidator, refer to Note 2, </w:t>
      </w:r>
      <w:r>
        <w:rPr>
          <w:rFonts w:ascii="Times New Roman" w:cs="Times New Roman" w:eastAsia="Times New Roman" w:hAnsi="Times New Roman"/>
          <w:sz w:val="17"/>
          <w:szCs w:val="17"/>
          <w:i w:val="1"/>
          <w:iCs w:val="1"/>
          <w:color w:val="auto"/>
        </w:rPr>
        <w:t>Business Combinations and Asset Acquisitions</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net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0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57,169</w:t>
            </w:r>
          </w:p>
        </w:tc>
        <w:tc>
          <w:tcPr>
            <w:tcW w:w="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57,690</w:t>
            </w:r>
          </w:p>
        </w:tc>
      </w:tr>
      <w:tr>
        <w:trPr>
          <w:trHeight w:val="207"/>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0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326,111</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299,484</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308,217</w:t>
            </w:r>
          </w:p>
        </w:tc>
      </w:tr>
      <w:tr>
        <w:trPr>
          <w:trHeight w:val="20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0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535,303</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508,383</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522,012</w:t>
            </w:r>
          </w:p>
        </w:tc>
      </w:tr>
      <w:tr>
        <w:trPr>
          <w:trHeight w:val="207"/>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Tooling</w:t>
            </w:r>
          </w:p>
        </w:tc>
        <w:tc>
          <w:tcPr>
            <w:tcW w:w="20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221,290</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233,171</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220,966</w:t>
            </w:r>
          </w:p>
        </w:tc>
      </w:tr>
      <w:tr>
        <w:trPr>
          <w:trHeight w:val="20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20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96,834</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102,293</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97,485</w:t>
            </w:r>
          </w:p>
        </w:tc>
      </w:tr>
      <w:tr>
        <w:trPr>
          <w:trHeight w:val="20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20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141,503</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82,211</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85,722</w:t>
            </w:r>
          </w:p>
        </w:tc>
      </w:tr>
      <w:tr>
        <w:trPr>
          <w:trHeight w:val="20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20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1,378,210</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1,281,546</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1,292,092</w:t>
            </w:r>
          </w:p>
        </w:tc>
      </w:tr>
      <w:tr>
        <w:trPr>
          <w:trHeight w:val="20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846,394</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824,554</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804,361</w:t>
            </w:r>
          </w:p>
        </w:tc>
      </w:tr>
      <w:tr>
        <w:trPr>
          <w:trHeight w:val="225"/>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531,816</w:t>
            </w:r>
          </w:p>
        </w:tc>
        <w:tc>
          <w:tcPr>
            <w:tcW w:w="3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456,992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487,731</w:t>
            </w: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00" w:hanging="579"/>
        <w:spacing w:after="0"/>
        <w:tabs>
          <w:tab w:leader="none" w:pos="600" w:val="left"/>
        </w:tabs>
        <w:numPr>
          <w:ilvl w:val="0"/>
          <w:numId w:val="12"/>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Product Warranty Guarantees</w:t>
      </w:r>
    </w:p>
    <w:p>
      <w:pPr>
        <w:spacing w:after="0" w:line="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At the time of sale, the company recognizes expense and records an accrual by product line for estimated costs in connection with forecasted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accrued warranties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1"/>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July 30, 2021</w:t>
            </w:r>
          </w:p>
        </w:tc>
      </w:tr>
      <w:tr>
        <w:trPr>
          <w:trHeight w:val="20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126,830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119,389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116,783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107,121</w:t>
            </w:r>
          </w:p>
        </w:tc>
      </w:tr>
      <w:tr>
        <w:trPr>
          <w:trHeight w:val="207"/>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Provisions</w:t>
            </w:r>
          </w:p>
        </w:tc>
        <w:tc>
          <w:tcPr>
            <w:tcW w:w="216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21,824</w:t>
            </w:r>
          </w:p>
        </w:tc>
        <w:tc>
          <w:tcPr>
            <w:tcW w:w="20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17,686</w:t>
            </w:r>
          </w:p>
        </w:tc>
        <w:tc>
          <w:tcPr>
            <w:tcW w:w="220" w:type="dxa"/>
            <w:vAlign w:val="bottom"/>
          </w:tcPr>
          <w:p>
            <w:pPr>
              <w:spacing w:after="0"/>
              <w:rPr>
                <w:sz w:val="17"/>
                <w:szCs w:val="17"/>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62,917</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56,204</w:t>
            </w:r>
          </w:p>
        </w:tc>
      </w:tr>
      <w:tr>
        <w:trPr>
          <w:trHeight w:val="20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2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2,466</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5,663</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Claims</w:t>
            </w:r>
          </w:p>
        </w:tc>
        <w:tc>
          <w:tcPr>
            <w:tcW w:w="2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(20,829)</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(20,300)</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(54,601)</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(51,104)</w:t>
            </w:r>
          </w:p>
        </w:tc>
      </w:tr>
      <w:tr>
        <w:trPr>
          <w:trHeight w:val="207"/>
        </w:trPr>
        <w:tc>
          <w:tcPr>
            <w:tcW w:w="3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estimates</w:t>
            </w:r>
          </w:p>
        </w:tc>
        <w:tc>
          <w:tcPr>
            <w:tcW w:w="2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727</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377</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256</w:t>
            </w: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4,931</w:t>
            </w:r>
          </w:p>
        </w:tc>
      </w:tr>
      <w:tr>
        <w:trPr>
          <w:trHeight w:val="200"/>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131,018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117,152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131,018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117,152</w:t>
            </w: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10 </w:t>
      </w:r>
      <w:r>
        <w:rPr>
          <w:rFonts w:ascii="Times New Roman" w:cs="Times New Roman" w:eastAsia="Times New Roman" w:hAnsi="Times New Roman"/>
          <w:sz w:val="18"/>
          <w:szCs w:val="18"/>
          <w:b w:val="1"/>
          <w:bCs w:val="1"/>
          <w:color w:val="auto"/>
        </w:rPr>
        <w:t>Investment in Finance Affiliate</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and TCF Inventory Finance, Inc. ("TCFIF"), a subsidiary of The Huntington National Bank, are parties to the Red Iron joint venture ("Red Iron"), the primary purpose of which is to provide inventory financing to certain distributors and dealers of certain of the company’s products in the U.S. These financing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The company has also entered into a limited inventory repurchase agreement with Red Iron, under which the company has agreed to repurchase certain repossessed products, up to a maximum aggregate amount of $7.5 million in a calendar year. The company's financial exposure under this limited inventory repurchase agreement is limited to the difference between the amount paid for repurchases of repossessed product and the amount received upon the subsequent resale of the repossessed product. The company has repurchased immaterial amounts of inventory under this limited inventory repurchase agreement for the nine months ended July 29, 2022 and July 30, 2021.</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Under separate agreements between Red Iron and the dealers and distributors, Red Iron provides loans to the dealers and distributors for the advances paid by Red Iron to the company. The net amount of receivables financed for dealers and distributors under this arrangement for the nine months ended July 29, 2022 and July 30, 2021 were $1,886.1 million and $1,733.0 million, respectively. As of July 29, 2022, Red Iron’s total assets were $641.6 million and total liabilities were $571.9 million. The total amount of receivables due from Red Iron to the company as of July 29, 2022, July 30, 2021, and October 31, 2021 were $14.4 million, $13.8 million and $31.0 million, respectively.</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owns 45 percent of Red Iron and TCFIF owns 55 percent of Red Iron. The company accounts for its investment in Red Iron under the equity method of accounting. At inception,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$625.0 million secured revolving credit facility established under a credit agreement between Red Iron and TCFIF. The company’s total investment in Red Iron as of July 29, 2022, July 30, 2021, and October 31, 2021 was $31.4 million, $19.3 million, and $20.7 million, respectively. The company has not guaranteed the outstanding indebtedness of Red Iron.</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11 </w:t>
      </w:r>
      <w:r>
        <w:rPr>
          <w:rFonts w:ascii="Times New Roman" w:cs="Times New Roman" w:eastAsia="Times New Roman" w:hAnsi="Times New Roman"/>
          <w:sz w:val="18"/>
          <w:szCs w:val="18"/>
          <w:b w:val="1"/>
          <w:bCs w:val="1"/>
          <w:color w:val="auto"/>
        </w:rPr>
        <w:t>Stock-Based Compensation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costs related to stock-based compensation awards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69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1"/>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July 30, 2021</w:t>
            </w:r>
          </w:p>
        </w:tc>
      </w:tr>
      <w:tr>
        <w:trPr>
          <w:trHeight w:val="20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awards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2,664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7,207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7,271</w:t>
            </w:r>
          </w:p>
        </w:tc>
      </w:tr>
      <w:tr>
        <w:trPr>
          <w:trHeight w:val="220"/>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share awards</w:t>
            </w:r>
          </w:p>
        </w:tc>
        <w:tc>
          <w:tcPr>
            <w:tcW w:w="800" w:type="dxa"/>
            <w:vAlign w:val="bottom"/>
          </w:tcPr>
          <w:p>
            <w:pPr>
              <w:spacing w:after="0"/>
              <w:rPr>
                <w:sz w:val="19"/>
                <w:szCs w:val="1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1,697</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2,184</w:t>
            </w:r>
          </w:p>
        </w:tc>
        <w:tc>
          <w:tcPr>
            <w:tcW w:w="26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5,235</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5,205</w:t>
            </w:r>
          </w:p>
        </w:tc>
      </w:tr>
      <w:tr>
        <w:trPr>
          <w:trHeight w:val="22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 awards</w:t>
            </w:r>
          </w:p>
        </w:tc>
        <w:tc>
          <w:tcPr>
            <w:tcW w:w="8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1,611</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4,034</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3,029</w:t>
            </w:r>
          </w:p>
        </w:tc>
      </w:tr>
      <w:tr>
        <w:trPr>
          <w:trHeight w:val="207"/>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Unrestricted common stock awards</w:t>
            </w:r>
          </w:p>
        </w:tc>
        <w:tc>
          <w:tcPr>
            <w:tcW w:w="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629</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225"/>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compensation cost for stock-based compensation awards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5,972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5,831</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17,105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16,176</w:t>
            </w:r>
          </w:p>
        </w:tc>
      </w:tr>
      <w:tr>
        <w:trPr>
          <w:trHeight w:val="20"/>
        </w:trPr>
        <w:tc>
          <w:tcPr>
            <w:tcW w:w="46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March 15, 2022, the company’s shareholders approved The Toro Company 2022 Equity and Incentive Plan (the “2022 plan”), which became effective immediately and replaced The Toro Company Amended and Restated 2010 Equity and Incentive Plan, as amended (the “2010 plan”). The 2022 plan is administered by the Compensation &amp; Human Resources Committee of the Board and permits the grant of nonqualified and incentive stock options, stock appreciation rights, restricted stock, restricted stock units, performance shares, performance units, annual performance awards, non-employee director awards and other cash-based and stock-based awards to eligible individuals. Subject to adjustment as provided in the 2022 plan, the maximum aggregate number of shares of the company’s common stock authorized for issuance under the 2022 plan is equal 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sum of: (a) 1,250,000 shares, plus (b) the number of shares remaining available for grant under the 2010 plan but not subject to outstanding awards thereunder as of March 15, 2022, and plus (c) the number of shares subject to awards outstanding under the 2010 plan as of March 15, 2022 but only to the extent that such outstanding awards are forfeited, expire or otherwise terminate without the issuance of such shares.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 Awards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2022 plan or 2010 plan, as applicable.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7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table below illustrates the weighted-average valuation assumptions used under the Black-Scholes valuation method for options granted in the first nine months of the following fiscal periods: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20" w:type="dxa"/>
            <w:vAlign w:val="bottom"/>
            <w:tcBorders>
              <w:top w:val="single" w:sz="8" w:color="auto"/>
              <w:bottom w:val="single" w:sz="8" w:color="auto"/>
            </w:tcBorders>
          </w:tcPr>
          <w:p>
            <w:pPr>
              <w:spacing w:after="0"/>
              <w:rPr>
                <w:sz w:val="19"/>
                <w:szCs w:val="19"/>
                <w:color w:val="auto"/>
              </w:rPr>
            </w:pPr>
          </w:p>
        </w:tc>
        <w:tc>
          <w:tcPr>
            <w:tcW w:w="3740" w:type="dxa"/>
            <w:vAlign w:val="bottom"/>
            <w:tcBorders>
              <w:top w:val="single" w:sz="8" w:color="auto"/>
              <w:bottom w:val="single" w:sz="8" w:color="auto"/>
            </w:tcBorders>
          </w:tcPr>
          <w:p>
            <w:pPr>
              <w:ind w:left="2600"/>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14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Fiscal 2021</w:t>
            </w:r>
          </w:p>
        </w:tc>
      </w:tr>
      <w:tr>
        <w:trPr>
          <w:trHeight w:val="20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life of option in years</w:t>
            </w:r>
          </w:p>
        </w:tc>
        <w:tc>
          <w:tcPr>
            <w:tcW w:w="3740" w:type="dxa"/>
            <w:vAlign w:val="bottom"/>
            <w:shd w:val="clear" w:color="auto" w:fill="CCEEFF"/>
          </w:tcPr>
          <w:p>
            <w:pPr>
              <w:jc w:val="center"/>
              <w:ind w:left="2140"/>
              <w:spacing w:after="0"/>
              <w:rPr>
                <w:sz w:val="20"/>
                <w:szCs w:val="20"/>
                <w:color w:val="auto"/>
              </w:rPr>
            </w:pPr>
            <w:r>
              <w:rPr>
                <w:rFonts w:ascii="Times New Roman" w:cs="Times New Roman" w:eastAsia="Times New Roman" w:hAnsi="Times New Roman"/>
                <w:sz w:val="16"/>
                <w:szCs w:val="16"/>
                <w:color w:val="auto"/>
                <w:w w:val="99"/>
              </w:rPr>
              <w:t>6.19</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6.21</w:t>
            </w: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3740" w:type="dxa"/>
            <w:vAlign w:val="bottom"/>
          </w:tcPr>
          <w:p>
            <w:pPr>
              <w:jc w:val="center"/>
              <w:ind w:left="2140"/>
              <w:spacing w:after="0"/>
              <w:rPr>
                <w:sz w:val="20"/>
                <w:szCs w:val="20"/>
                <w:color w:val="auto"/>
              </w:rPr>
            </w:pPr>
            <w:r>
              <w:rPr>
                <w:rFonts w:ascii="Times New Roman" w:cs="Times New Roman" w:eastAsia="Times New Roman" w:hAnsi="Times New Roman"/>
                <w:sz w:val="16"/>
                <w:szCs w:val="16"/>
                <w:color w:val="auto"/>
                <w:w w:val="97"/>
              </w:rPr>
              <w:t>23.74%</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23.26%</w:t>
            </w:r>
          </w:p>
        </w:tc>
      </w:tr>
      <w:tr>
        <w:trPr>
          <w:trHeight w:val="20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3740" w:type="dxa"/>
            <w:vAlign w:val="bottom"/>
            <w:shd w:val="clear" w:color="auto" w:fill="CCEEFF"/>
          </w:tcPr>
          <w:p>
            <w:pPr>
              <w:jc w:val="center"/>
              <w:ind w:left="2140"/>
              <w:spacing w:after="0"/>
              <w:rPr>
                <w:sz w:val="20"/>
                <w:szCs w:val="20"/>
                <w:color w:val="auto"/>
              </w:rPr>
            </w:pPr>
            <w:r>
              <w:rPr>
                <w:rFonts w:ascii="Times New Roman" w:cs="Times New Roman" w:eastAsia="Times New Roman" w:hAnsi="Times New Roman"/>
                <w:sz w:val="16"/>
                <w:szCs w:val="16"/>
                <w:color w:val="auto"/>
                <w:w w:val="96"/>
              </w:rPr>
              <w:t>1.31%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0.55%</w:t>
            </w: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3740" w:type="dxa"/>
            <w:vAlign w:val="bottom"/>
          </w:tcPr>
          <w:p>
            <w:pPr>
              <w:jc w:val="center"/>
              <w:ind w:left="2140"/>
              <w:spacing w:after="0"/>
              <w:rPr>
                <w:sz w:val="20"/>
                <w:szCs w:val="20"/>
                <w:color w:val="auto"/>
              </w:rPr>
            </w:pPr>
            <w:r>
              <w:rPr>
                <w:rFonts w:ascii="Times New Roman" w:cs="Times New Roman" w:eastAsia="Times New Roman" w:hAnsi="Times New Roman"/>
                <w:sz w:val="16"/>
                <w:szCs w:val="16"/>
                <w:color w:val="auto"/>
                <w:w w:val="96"/>
              </w:rPr>
              <w:t>0.94%</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0.86%</w:t>
            </w:r>
          </w:p>
        </w:tc>
      </w:tr>
      <w:tr>
        <w:trPr>
          <w:trHeight w:val="207"/>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weighted-average fair value at date of grant</w:t>
            </w:r>
          </w:p>
        </w:tc>
        <w:tc>
          <w:tcPr>
            <w:tcW w:w="3740" w:type="dxa"/>
            <w:vAlign w:val="bottom"/>
            <w:tcBorders>
              <w:bottom w:val="single" w:sz="8" w:color="auto"/>
            </w:tcBorders>
            <w:shd w:val="clear" w:color="auto" w:fill="CCEEFF"/>
          </w:tcPr>
          <w:p>
            <w:pPr>
              <w:jc w:val="center"/>
              <w:ind w:left="2140"/>
              <w:spacing w:after="0"/>
              <w:rPr>
                <w:sz w:val="20"/>
                <w:szCs w:val="20"/>
                <w:color w:val="auto"/>
              </w:rPr>
            </w:pPr>
            <w:r>
              <w:rPr>
                <w:rFonts w:ascii="Times New Roman" w:cs="Times New Roman" w:eastAsia="Times New Roman" w:hAnsi="Times New Roman"/>
                <w:sz w:val="16"/>
                <w:szCs w:val="16"/>
                <w:color w:val="auto"/>
                <w:w w:val="99"/>
              </w:rPr>
              <w:t>$22.55</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$19.39</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Share Awards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 performance share awards granted during the first quarter of fiscal 2022 and 2021 was $98.41 and $90.59, respectively. No performance share awards were granted during the second or third quarters of fiscal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Awards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Restricted stock unit awards are generally granted to certain employees who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nine months of fiscal 2022 and 2021 was $89.19 and $97.84,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Unrestricted Common Stock Awards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During the first nine months of fiscal 2022 and 2021, 6,453 and 8,070 shares, respectively, of fully vested unrestricted common stock awards were granted to certain Board members as a component of their compensation for their service on the Board and were recorded within selling, general and administrative expense in the Condensed Consolidated Statements of Earnings. Additionally, the Company's Board members may elect to convert a portion or all of their calendar year annual retainers otherwise payable in cash into shares of the company's common stock. No shares of fully vested unrestricted common stock awards were granted during the second or third quarters of fiscal 2022 and 2021.</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12 </w:t>
      </w:r>
      <w:r>
        <w:rPr>
          <w:rFonts w:ascii="Times New Roman" w:cs="Times New Roman" w:eastAsia="Times New Roman" w:hAnsi="Times New Roman"/>
          <w:sz w:val="18"/>
          <w:szCs w:val="18"/>
          <w:b w:val="1"/>
          <w:bCs w:val="1"/>
          <w:color w:val="auto"/>
        </w:rPr>
        <w:t>Stockholders'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Loss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components of accumulated other comprehensive loss ("AOCL"), net of tax, within the Condensed Consolidated Statements of Stockholders' Equity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8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0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40,725</w:t>
            </w:r>
          </w:p>
        </w:tc>
        <w:tc>
          <w:tcPr>
            <w:tcW w:w="2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19,535</w:t>
            </w:r>
          </w:p>
        </w:tc>
      </w:tr>
      <w:tr>
        <w:trPr>
          <w:trHeight w:val="20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benefits</w:t>
            </w:r>
          </w:p>
        </w:tc>
        <w:tc>
          <w:tcPr>
            <w:tcW w:w="1860" w:type="dxa"/>
            <w:vAlign w:val="bottom"/>
          </w:tcPr>
          <w:p>
            <w:pPr>
              <w:spacing w:after="0"/>
              <w:rPr>
                <w:sz w:val="17"/>
                <w:szCs w:val="17"/>
                <w:color w:val="auto"/>
              </w:rPr>
            </w:pPr>
          </w:p>
        </w:tc>
        <w:tc>
          <w:tcPr>
            <w:tcW w:w="14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3,899</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3,899</w:t>
            </w:r>
          </w:p>
        </w:tc>
      </w:tr>
      <w:tr>
        <w:trPr>
          <w:trHeight w:val="207"/>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derivative instruments</w:t>
            </w:r>
          </w:p>
        </w:tc>
        <w:tc>
          <w:tcPr>
            <w:tcW w:w="18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(13,481)</w:t>
            </w: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w:t>
            </w:r>
          </w:p>
        </w:tc>
      </w:tr>
      <w:tr>
        <w:trPr>
          <w:trHeight w:val="200"/>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1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31,143</w:t>
            </w:r>
          </w:p>
        </w:tc>
        <w:tc>
          <w:tcPr>
            <w:tcW w:w="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26,691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25,996</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and activity of AOCL, net of tax, for the three and nine month periods ended July 29, 2022 and July 30, 2021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w w:val="97"/>
              </w:rPr>
              <w:t>Currency</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20" w:type="dxa"/>
            <w:vAlign w:val="bottom"/>
          </w:tcPr>
          <w:p>
            <w:pPr>
              <w:spacing w:after="0"/>
              <w:rPr>
                <w:sz w:val="14"/>
                <w:szCs w:val="14"/>
                <w:color w:val="auto"/>
              </w:rPr>
            </w:pPr>
          </w:p>
        </w:tc>
        <w:tc>
          <w:tcPr>
            <w:tcW w:w="1260" w:type="dxa"/>
            <w:vAlign w:val="bottom"/>
          </w:tcPr>
          <w:p>
            <w:pPr>
              <w:jc w:val="center"/>
              <w:ind w:right="140"/>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40" w:type="dxa"/>
            <w:vAlign w:val="bottom"/>
          </w:tcPr>
          <w:p>
            <w:pPr>
              <w:spacing w:after="0"/>
              <w:rPr>
                <w:sz w:val="14"/>
                <w:szCs w:val="14"/>
                <w:color w:val="auto"/>
              </w:rPr>
            </w:pPr>
          </w:p>
        </w:tc>
        <w:tc>
          <w:tcPr>
            <w:tcW w:w="1160" w:type="dxa"/>
            <w:vAlign w:val="bottom"/>
          </w:tcPr>
          <w:p>
            <w:pPr>
              <w:ind w:left="180"/>
              <w:spacing w:after="0" w:line="168" w:lineRule="exact"/>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w w:val="98"/>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April 29, 2022</w:t>
            </w: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34,933</w:t>
            </w:r>
          </w:p>
        </w:tc>
        <w:tc>
          <w:tcPr>
            <w:tcW w:w="3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(11,009)</w:t>
            </w:r>
          </w:p>
        </w:tc>
        <w:tc>
          <w:tcPr>
            <w:tcW w:w="3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27,823</w:t>
            </w:r>
          </w:p>
        </w:tc>
        <w:tc>
          <w:tcPr>
            <w:tcW w:w="0" w:type="dxa"/>
            <w:vAlign w:val="bottom"/>
          </w:tcPr>
          <w:p>
            <w:pPr>
              <w:spacing w:after="0"/>
              <w:rPr>
                <w:sz w:val="1"/>
                <w:szCs w:val="1"/>
                <w:color w:val="auto"/>
              </w:rPr>
            </w:pPr>
          </w:p>
        </w:tc>
      </w:tr>
      <w:tr>
        <w:trPr>
          <w:trHeight w:val="20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9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5,792</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5,160</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5,792</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29, 2022</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40,725</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(13,481)</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jc w:val="center"/>
              <w:ind w:right="180"/>
              <w:spacing w:after="0" w:line="148"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w w:val="97"/>
              </w:rPr>
              <w:t>Currency</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20" w:type="dxa"/>
            <w:vAlign w:val="bottom"/>
          </w:tcPr>
          <w:p>
            <w:pPr>
              <w:spacing w:after="0"/>
              <w:rPr>
                <w:sz w:val="14"/>
                <w:szCs w:val="14"/>
                <w:color w:val="auto"/>
              </w:rPr>
            </w:pPr>
          </w:p>
        </w:tc>
        <w:tc>
          <w:tcPr>
            <w:tcW w:w="1260" w:type="dxa"/>
            <w:vAlign w:val="bottom"/>
          </w:tcPr>
          <w:p>
            <w:pPr>
              <w:jc w:val="center"/>
              <w:ind w:right="140"/>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40" w:type="dxa"/>
            <w:vAlign w:val="bottom"/>
          </w:tcPr>
          <w:p>
            <w:pPr>
              <w:spacing w:after="0"/>
              <w:rPr>
                <w:sz w:val="14"/>
                <w:szCs w:val="14"/>
                <w:color w:val="auto"/>
              </w:rPr>
            </w:pPr>
          </w:p>
        </w:tc>
        <w:tc>
          <w:tcPr>
            <w:tcW w:w="1160" w:type="dxa"/>
            <w:vAlign w:val="bottom"/>
          </w:tcPr>
          <w:p>
            <w:pPr>
              <w:ind w:left="180"/>
              <w:spacing w:after="0" w:line="168" w:lineRule="exact"/>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w w:val="98"/>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2021</w:t>
            </w: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19,535</w:t>
            </w:r>
          </w:p>
        </w:tc>
        <w:tc>
          <w:tcPr>
            <w:tcW w:w="3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2,562</w:t>
            </w:r>
          </w:p>
        </w:tc>
        <w:tc>
          <w:tcPr>
            <w:tcW w:w="3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25,996</w:t>
            </w:r>
          </w:p>
        </w:tc>
        <w:tc>
          <w:tcPr>
            <w:tcW w:w="0" w:type="dxa"/>
            <w:vAlign w:val="bottom"/>
          </w:tcPr>
          <w:p>
            <w:pPr>
              <w:spacing w:after="0"/>
              <w:rPr>
                <w:sz w:val="1"/>
                <w:szCs w:val="1"/>
                <w:color w:val="auto"/>
              </w:rPr>
            </w:pPr>
          </w:p>
        </w:tc>
      </w:tr>
      <w:tr>
        <w:trPr>
          <w:trHeight w:val="20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9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21,190</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(14,448)</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6,742</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21,190</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(16,043)</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5,147</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29, 2022</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40,725</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(13,481)</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200"/>
              <w:spacing w:after="0" w:line="168"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Times New Roman" w:cs="Times New Roman" w:eastAsia="Times New Roman" w:hAnsi="Times New Roman"/>
                <w:sz w:val="16"/>
                <w:szCs w:val="16"/>
                <w:b w:val="1"/>
                <w:bCs w:val="1"/>
                <w:color w:val="auto"/>
                <w:w w:val="97"/>
              </w:rPr>
              <w:t>Currency</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20" w:type="dxa"/>
            <w:vAlign w:val="bottom"/>
          </w:tcPr>
          <w:p>
            <w:pPr>
              <w:spacing w:after="0"/>
              <w:rPr>
                <w:sz w:val="14"/>
                <w:szCs w:val="14"/>
                <w:color w:val="auto"/>
              </w:rPr>
            </w:pPr>
          </w:p>
        </w:tc>
        <w:tc>
          <w:tcPr>
            <w:tcW w:w="1280" w:type="dxa"/>
            <w:vAlign w:val="bottom"/>
          </w:tcPr>
          <w:p>
            <w:pPr>
              <w:jc w:val="center"/>
              <w:ind w:right="160"/>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60" w:type="dxa"/>
            <w:vAlign w:val="bottom"/>
          </w:tcPr>
          <w:p>
            <w:pPr>
              <w:ind w:left="180"/>
              <w:spacing w:after="0" w:line="168" w:lineRule="exact"/>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w w:val="98"/>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April 30, 2021</w:t>
            </w: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12,509</w:t>
            </w:r>
          </w:p>
        </w:tc>
        <w:tc>
          <w:tcPr>
            <w:tcW w:w="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11,797</w:t>
            </w:r>
          </w:p>
        </w:tc>
        <w:tc>
          <w:tcPr>
            <w:tcW w:w="3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29,412</w:t>
            </w:r>
          </w:p>
        </w:tc>
        <w:tc>
          <w:tcPr>
            <w:tcW w:w="0" w:type="dxa"/>
            <w:vAlign w:val="bottom"/>
          </w:tcPr>
          <w:p>
            <w:pPr>
              <w:spacing w:after="0"/>
              <w:rPr>
                <w:sz w:val="1"/>
                <w:szCs w:val="1"/>
                <w:color w:val="auto"/>
              </w:rPr>
            </w:pPr>
          </w:p>
        </w:tc>
      </w:tr>
      <w:tr>
        <w:trPr>
          <w:trHeight w:val="20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92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5,314</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(11,117)</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(5,803)</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3,082</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5,314</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(8,035)</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(2,721)</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30, 2021</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17,823</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3,762</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jc w:val="center"/>
              <w:ind w:right="200"/>
              <w:spacing w:after="0" w:line="148"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Times New Roman" w:cs="Times New Roman" w:eastAsia="Times New Roman" w:hAnsi="Times New Roman"/>
                <w:sz w:val="16"/>
                <w:szCs w:val="16"/>
                <w:b w:val="1"/>
                <w:bCs w:val="1"/>
                <w:color w:val="auto"/>
                <w:w w:val="97"/>
              </w:rPr>
              <w:t>Currency</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20" w:type="dxa"/>
            <w:vAlign w:val="bottom"/>
          </w:tcPr>
          <w:p>
            <w:pPr>
              <w:spacing w:after="0"/>
              <w:rPr>
                <w:sz w:val="14"/>
                <w:szCs w:val="14"/>
                <w:color w:val="auto"/>
              </w:rPr>
            </w:pPr>
          </w:p>
        </w:tc>
        <w:tc>
          <w:tcPr>
            <w:tcW w:w="1280" w:type="dxa"/>
            <w:vAlign w:val="bottom"/>
          </w:tcPr>
          <w:p>
            <w:pPr>
              <w:jc w:val="center"/>
              <w:ind w:right="160"/>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60" w:type="dxa"/>
            <w:vAlign w:val="bottom"/>
          </w:tcPr>
          <w:p>
            <w:pPr>
              <w:ind w:left="180"/>
              <w:spacing w:after="0" w:line="168" w:lineRule="exact"/>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w w:val="98"/>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2020</w:t>
            </w: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24,508</w:t>
            </w:r>
          </w:p>
        </w:tc>
        <w:tc>
          <w:tcPr>
            <w:tcW w:w="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4,648</w:t>
            </w:r>
          </w:p>
        </w:tc>
        <w:tc>
          <w:tcPr>
            <w:tcW w:w="3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34,262</w:t>
            </w:r>
          </w:p>
        </w:tc>
        <w:tc>
          <w:tcPr>
            <w:tcW w:w="0" w:type="dxa"/>
            <w:vAlign w:val="bottom"/>
          </w:tcPr>
          <w:p>
            <w:pPr>
              <w:spacing w:after="0"/>
              <w:rPr>
                <w:sz w:val="1"/>
                <w:szCs w:val="1"/>
                <w:color w:val="auto"/>
              </w:rPr>
            </w:pPr>
          </w:p>
        </w:tc>
      </w:tr>
      <w:tr>
        <w:trPr>
          <w:trHeight w:val="20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9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(6,685)</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(10,151)</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(16,836)</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9,265</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9,265</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(6,685)</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(7,571)</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30, 2021</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17,823</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3,762</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 xml:space="preserve">For additional information on the components reclassified from AOCL to the respective line items in net earnings for derivative instruments refer to Note 16, </w:t>
      </w:r>
      <w:r>
        <w:rPr>
          <w:rFonts w:ascii="Times New Roman" w:cs="Times New Roman" w:eastAsia="Times New Roman" w:hAnsi="Times New Roman"/>
          <w:sz w:val="17"/>
          <w:szCs w:val="17"/>
          <w:i w:val="1"/>
          <w:iCs w:val="1"/>
          <w:color w:val="auto"/>
        </w:rPr>
        <w:t>Derivative Instruments and Hedging Activities</w:t>
      </w:r>
      <w:r>
        <w:rPr>
          <w:rFonts w:ascii="Times New Roman" w:cs="Times New Roman" w:eastAsia="Times New Roman" w:hAnsi="Times New Roman"/>
          <w:sz w:val="17"/>
          <w:szCs w:val="17"/>
          <w:color w:val="auto"/>
        </w:rPr>
        <w: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13 </w:t>
      </w:r>
      <w:r>
        <w:rPr>
          <w:rFonts w:ascii="Times New Roman" w:cs="Times New Roman" w:eastAsia="Times New Roman" w:hAnsi="Times New Roman"/>
          <w:sz w:val="18"/>
          <w:szCs w:val="18"/>
          <w:b w:val="1"/>
          <w:bCs w:val="1"/>
          <w:color w:val="auto"/>
        </w:rPr>
        <w:t>Per Share Data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Reconciliations of basic and diluted weighted-average number of shares of common stock outstanding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8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1"/>
        </w:trPr>
        <w:tc>
          <w:tcPr>
            <w:tcW w:w="20" w:type="dxa"/>
            <w:vAlign w:val="bottom"/>
            <w:tcBorders>
              <w:bottom w:val="single" w:sz="8" w:color="auto"/>
            </w:tcBorders>
          </w:tcPr>
          <w:p>
            <w:pPr>
              <w:spacing w:after="0"/>
              <w:rPr>
                <w:sz w:val="17"/>
                <w:szCs w:val="17"/>
                <w:color w:val="auto"/>
              </w:rPr>
            </w:pPr>
          </w:p>
        </w:tc>
        <w:tc>
          <w:tcPr>
            <w:tcW w:w="5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(Shares in thousands)</w:t>
            </w:r>
          </w:p>
        </w:tc>
        <w:tc>
          <w:tcPr>
            <w:tcW w:w="16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15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15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13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July 30, 2021</w:t>
            </w:r>
          </w:p>
        </w:tc>
      </w:tr>
      <w:tr>
        <w:trPr>
          <w:trHeight w:val="180"/>
        </w:trPr>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i w:val="1"/>
                <w:iCs w:val="1"/>
                <w:color w:val="auto"/>
                <w:w w:val="95"/>
              </w:rPr>
              <w:t>Basic</w:t>
            </w:r>
          </w:p>
        </w:tc>
        <w:tc>
          <w:tcPr>
            <w:tcW w:w="4820" w:type="dxa"/>
            <w:vAlign w:val="bottom"/>
            <w:tcBorders>
              <w:bottom w:val="single" w:sz="8" w:color="CCEEFF"/>
            </w:tcBorders>
            <w:gridSpan w:val="2"/>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r>
      <w:tr>
        <w:trPr>
          <w:trHeight w:val="207"/>
        </w:trPr>
        <w:tc>
          <w:tcPr>
            <w:tcW w:w="20" w:type="dxa"/>
            <w:vAlign w:val="bottom"/>
          </w:tcPr>
          <w:p>
            <w:pPr>
              <w:spacing w:after="0"/>
              <w:rPr>
                <w:sz w:val="17"/>
                <w:szCs w:val="17"/>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w:t>
            </w: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104,827</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107,130</w:t>
            </w:r>
          </w:p>
        </w:tc>
        <w:tc>
          <w:tcPr>
            <w:tcW w:w="15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104,924</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107,661</w:t>
            </w: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51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Assumed issuance of contingent shares</w:t>
            </w: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0"/>
        </w:trPr>
        <w:tc>
          <w:tcPr>
            <w:tcW w:w="20" w:type="dxa"/>
            <w:vAlign w:val="bottom"/>
            <w:tcBorders>
              <w:bottom w:val="single" w:sz="8" w:color="auto"/>
            </w:tcBorders>
          </w:tcPr>
          <w:p>
            <w:pPr>
              <w:spacing w:after="0"/>
              <w:rPr>
                <w:sz w:val="17"/>
                <w:szCs w:val="17"/>
                <w:color w:val="auto"/>
              </w:rPr>
            </w:pPr>
          </w:p>
        </w:tc>
        <w:tc>
          <w:tcPr>
            <w:tcW w:w="5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16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104,827</w:t>
            </w:r>
          </w:p>
        </w:tc>
        <w:tc>
          <w:tcPr>
            <w:tcW w:w="15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107,130</w:t>
            </w:r>
          </w:p>
        </w:tc>
        <w:tc>
          <w:tcPr>
            <w:tcW w:w="15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104,931</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107,667</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9"/>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7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i w:val="1"/>
                <w:iCs w:val="1"/>
                <w:color w:val="auto"/>
                <w:w w:val="95"/>
              </w:rPr>
              <w:t>Diluted</w:t>
            </w:r>
          </w:p>
        </w:tc>
        <w:tc>
          <w:tcPr>
            <w:tcW w:w="47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r>
      <w:tr>
        <w:trPr>
          <w:trHeight w:val="207"/>
        </w:trPr>
        <w:tc>
          <w:tcPr>
            <w:tcW w:w="20" w:type="dxa"/>
            <w:vAlign w:val="bottom"/>
          </w:tcPr>
          <w:p>
            <w:pPr>
              <w:spacing w:after="0"/>
              <w:rPr>
                <w:sz w:val="17"/>
                <w:szCs w:val="17"/>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104,827</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107,130</w:t>
            </w:r>
          </w:p>
        </w:tc>
        <w:tc>
          <w:tcPr>
            <w:tcW w:w="15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104,931</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107,667</w:t>
            </w: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51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dilutive shares</w:t>
            </w: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621</w:t>
            </w:r>
          </w:p>
        </w:tc>
        <w:tc>
          <w:tcPr>
            <w:tcW w:w="15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1,233</w:t>
            </w: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r>
      <w:tr>
        <w:trPr>
          <w:trHeight w:val="200"/>
        </w:trPr>
        <w:tc>
          <w:tcPr>
            <w:tcW w:w="20" w:type="dxa"/>
            <w:vAlign w:val="bottom"/>
            <w:tcBorders>
              <w:bottom w:val="single" w:sz="8" w:color="auto"/>
            </w:tcBorders>
          </w:tcPr>
          <w:p>
            <w:pPr>
              <w:spacing w:after="0"/>
              <w:rPr>
                <w:sz w:val="17"/>
                <w:szCs w:val="17"/>
                <w:color w:val="auto"/>
              </w:rPr>
            </w:pPr>
          </w:p>
        </w:tc>
        <w:tc>
          <w:tcPr>
            <w:tcW w:w="5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16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105,448</w:t>
            </w:r>
          </w:p>
        </w:tc>
        <w:tc>
          <w:tcPr>
            <w:tcW w:w="15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108,363</w:t>
            </w:r>
          </w:p>
        </w:tc>
        <w:tc>
          <w:tcPr>
            <w:tcW w:w="15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105,754</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108,818</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effect of dilutive shares from stock option awards and restricted stock unit awards is computed under the treasury stock method. Stock option awards to purchase 1,066,621 and 2,109 shares of common stock during the third quarter of fiscal 2022 and 2021, respectively, and to purchase 896,184 and 425,748 shares of common stock during the first nine months of fiscal 2022 and 2021, respectively, were excluded from the computation of diluted net earnings per share of common stock because they were anti-dilutive.</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14 </w:t>
      </w:r>
      <w:r>
        <w:rPr>
          <w:rFonts w:ascii="Times New Roman" w:cs="Times New Roman" w:eastAsia="Times New Roman" w:hAnsi="Times New Roman"/>
          <w:sz w:val="18"/>
          <w:szCs w:val="18"/>
          <w:b w:val="1"/>
          <w:bCs w:val="1"/>
          <w:color w:val="auto"/>
        </w:rPr>
        <w:t>Contingencies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or employment-related disputes, and patent litigation cases in which it is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Litigation Settlement</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November 19, 2020, Exmark Manufacturing Company Incorporated ("Exmark"), a wholly-owned subsidiary of the company,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In the Infringement Action, Exmark alleged that certain mower decks manufactured by BSPPG infringed an Exmark mower deck patent. Despite favorable judgments in the Infringement Action in favor of Exmark, including with regard to awarded damages, actions by BGG during the second half of calendar year 2020 put in jeopardy the certainty and timing of the eventual receipt of the damages awarded to Exmark in the Infringement Action, including (i) the filing by BGG and certain of its subsidiaries for bankruptcy relief under chapter 11 of title 11 of the United States Bankruptcy Code (“BGG Bankruptcy”); (ii) the sale of substantially all the assets (but not certain liabilities, including the Infringement Action) of BGG and its subsidiaries to a third-party pursuant to Section 363 of the United States Bankruptcy Code; and (iii) a petition filed by BGG for a panel rehearing of the United States Court of Appeals for the Federal Circuit's decision in the Infringement Action (“Rehearing Petition”).</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a result, on November 19, 2020, Exmark entered into the Settlement Agreement with BGG which provided, among other things, that (i) upon approval by the bankruptcy court, and such approval becoming final and nonappealable, BGG agreed to pay Exmark $33.65 million (“Settlement Amount”), (ii) BGG agreed to immediately withdraw the Rehearing Petition and otherwise not pursue additional appellate review regarding the Infringement Action, and (iii) after receipt of the Settlement Amount, Exmark agreed to release a supersedeas appeal bond that had been obtained by BGG to support payment of the damages awarded to Exmark in the Infringement Action. On November 20, 2020, BGG filed a motion to withdraw the Rehearing Petition and on December 16, 2020, the bankruptcy court approved the Settlement Agreement.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the company recognized in selling, general and administrative expense within the Condensed Consolidated Statements of Earnings during the first quarter of fiscal 2021 (i) the gain associated with the Infringement Action and (ii) a corresponding expense related to the contingent fee arrangement with the company's external legal counsel customary in patent infringement cases equal to approximately 50 percent of the Settlement Amount.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15 </w:t>
      </w:r>
      <w:r>
        <w:rPr>
          <w:rFonts w:ascii="Times New Roman" w:cs="Times New Roman" w:eastAsia="Times New Roman" w:hAnsi="Times New Roman"/>
          <w:sz w:val="18"/>
          <w:szCs w:val="18"/>
          <w:b w:val="1"/>
          <w:bCs w:val="1"/>
          <w:color w:val="auto"/>
        </w:rPr>
        <w:t>Leases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lease expense incurred on the company’s operating, short-term, and variable leases: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1"/>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July 30, 2021</w:t>
            </w:r>
          </w:p>
        </w:tc>
      </w:tr>
      <w:tr>
        <w:trPr>
          <w:trHeight w:val="20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16,304</w:t>
            </w:r>
          </w:p>
        </w:tc>
        <w:tc>
          <w:tcPr>
            <w:tcW w:w="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14,488</w:t>
            </w:r>
          </w:p>
        </w:tc>
      </w:tr>
      <w:tr>
        <w:trPr>
          <w:trHeight w:val="207"/>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expense</w:t>
            </w:r>
          </w:p>
        </w:tc>
        <w:tc>
          <w:tcPr>
            <w:tcW w:w="20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r>
      <w:tr>
        <w:trPr>
          <w:trHeight w:val="207"/>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expense</w:t>
            </w:r>
          </w:p>
        </w:tc>
        <w:tc>
          <w:tcPr>
            <w:tcW w:w="20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00"/>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lease expense</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19,761</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16,253</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supplemental cash flow information related to the company's operating leases:</w:t>
      </w:r>
    </w:p>
    <w:p>
      <w:pPr>
        <w:spacing w:after="0" w:line="150"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7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July 30, 2021</w:t>
            </w:r>
          </w:p>
        </w:tc>
      </w:tr>
      <w:tr>
        <w:trPr>
          <w:trHeight w:val="20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flows for amounts included in the measurement of lease liabilities</w:t>
            </w:r>
          </w:p>
        </w:tc>
        <w:tc>
          <w:tcPr>
            <w:tcW w:w="1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14,129</w:t>
            </w:r>
          </w:p>
        </w:tc>
        <w:tc>
          <w:tcPr>
            <w:tcW w:w="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14,288</w:t>
            </w:r>
          </w:p>
        </w:tc>
      </w:tr>
      <w:tr>
        <w:trPr>
          <w:trHeight w:val="207"/>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1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18,236</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4,739</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other lease information related to the company's operating leases: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5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174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16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0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of operating leases in years</w:t>
            </w:r>
          </w:p>
        </w:tc>
        <w:tc>
          <w:tcPr>
            <w:tcW w:w="25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6.2</w:t>
            </w:r>
          </w:p>
        </w:tc>
        <w:tc>
          <w:tcPr>
            <w:tcW w:w="17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7"/>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of operating leases</w:t>
            </w:r>
          </w:p>
        </w:tc>
        <w:tc>
          <w:tcPr>
            <w:tcW w:w="25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2.99 %</w:t>
            </w:r>
          </w:p>
        </w:tc>
        <w:tc>
          <w:tcPr>
            <w:tcW w:w="17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2.70 %</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2.71 %</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July 29, 2022: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5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July 29, 2022</w:t>
            </w:r>
          </w:p>
        </w:tc>
      </w:tr>
      <w:tr>
        <w:trPr>
          <w:trHeight w:val="20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(remaining)</w:t>
            </w:r>
          </w:p>
        </w:tc>
        <w:tc>
          <w:tcPr>
            <w:tcW w:w="35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4,579</w:t>
            </w:r>
          </w:p>
        </w:tc>
      </w:tr>
      <w:tr>
        <w:trPr>
          <w:trHeight w:val="207"/>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35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17,540</w:t>
            </w:r>
          </w:p>
        </w:tc>
      </w:tr>
      <w:tr>
        <w:trPr>
          <w:trHeight w:val="20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5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16,164</w:t>
            </w:r>
          </w:p>
        </w:tc>
      </w:tr>
      <w:tr>
        <w:trPr>
          <w:trHeight w:val="207"/>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5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14,001</w:t>
            </w:r>
          </w:p>
        </w:tc>
      </w:tr>
      <w:tr>
        <w:trPr>
          <w:trHeight w:val="20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5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8,819</w:t>
            </w:r>
          </w:p>
        </w:tc>
      </w:tr>
      <w:tr>
        <w:trPr>
          <w:trHeight w:val="207"/>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24,086</w:t>
            </w:r>
          </w:p>
        </w:tc>
      </w:tr>
      <w:tr>
        <w:trPr>
          <w:trHeight w:val="20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future minimum operating lease payments</w:t>
            </w:r>
          </w:p>
        </w:tc>
        <w:tc>
          <w:tcPr>
            <w:tcW w:w="35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85,189</w:t>
            </w:r>
          </w:p>
        </w:tc>
      </w:tr>
      <w:tr>
        <w:trPr>
          <w:trHeight w:val="207"/>
        </w:trPr>
        <w:tc>
          <w:tcPr>
            <w:tcW w:w="6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3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8,593</w:t>
            </w:r>
          </w:p>
        </w:tc>
      </w:tr>
      <w:tr>
        <w:trPr>
          <w:trHeight w:val="225"/>
        </w:trPr>
        <w:tc>
          <w:tcPr>
            <w:tcW w:w="6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35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76,596</w:t>
            </w:r>
          </w:p>
        </w:tc>
      </w:tr>
      <w:tr>
        <w:trPr>
          <w:trHeight w:val="20"/>
        </w:trPr>
        <w:tc>
          <w:tcPr>
            <w:tcW w:w="6460" w:type="dxa"/>
            <w:vAlign w:val="bottom"/>
            <w:tcBorders>
              <w:top w:val="single" w:sz="8" w:color="CCEEFF"/>
              <w:bottom w:val="single" w:sz="8" w:color="auto"/>
            </w:tcBorders>
          </w:tcPr>
          <w:p>
            <w:pPr>
              <w:spacing w:after="0" w:line="20" w:lineRule="exact"/>
              <w:rPr>
                <w:sz w:val="1"/>
                <w:szCs w:val="1"/>
                <w:color w:val="auto"/>
              </w:rPr>
            </w:pPr>
          </w:p>
        </w:tc>
        <w:tc>
          <w:tcPr>
            <w:tcW w:w="3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16 </w:t>
      </w:r>
      <w:r>
        <w:rPr>
          <w:rFonts w:ascii="Times New Roman" w:cs="Times New Roman" w:eastAsia="Times New Roman" w:hAnsi="Times New Roman"/>
          <w:sz w:val="18"/>
          <w:szCs w:val="18"/>
          <w:b w:val="1"/>
          <w:bCs w:val="1"/>
          <w:color w:val="auto"/>
        </w:rPr>
        <w:t>Derivative Instruments and Hedging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Objective of Using Derivatives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To reduce its exposure to foreign currency exchange rate risk, the company enters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Hedging Instruments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costs associated with</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75" w:lineRule="exact"/>
        <w:rPr>
          <w:sz w:val="20"/>
          <w:szCs w:val="20"/>
          <w:color w:val="auto"/>
        </w:rPr>
      </w:pPr>
    </w:p>
    <w:p>
      <w:pPr>
        <w:ind w:right="960"/>
        <w:spacing w:after="0" w:line="380" w:lineRule="auto"/>
        <w:rPr>
          <w:sz w:val="20"/>
          <w:szCs w:val="20"/>
          <w:color w:val="auto"/>
        </w:rPr>
      </w:pPr>
      <w:r>
        <w:rPr>
          <w:rFonts w:ascii="Times New Roman" w:cs="Times New Roman" w:eastAsia="Times New Roman" w:hAnsi="Times New Roman"/>
          <w:sz w:val="17"/>
          <w:szCs w:val="17"/>
          <w:color w:val="auto"/>
        </w:rPr>
        <w:t xml:space="preserve">As of July 29, 2022, the notional amount outstanding of forward currency contracts designated as cash flow hedging instruments was $293.0 million. </w:t>
      </w:r>
      <w:r>
        <w:rPr>
          <w:rFonts w:ascii="Times New Roman" w:cs="Times New Roman" w:eastAsia="Times New Roman" w:hAnsi="Times New Roman"/>
          <w:sz w:val="17"/>
          <w:szCs w:val="17"/>
          <w:b w:val="1"/>
          <w:bCs w:val="1"/>
          <w:i w:val="1"/>
          <w:iCs w:val="1"/>
          <w:color w:val="auto"/>
        </w:rPr>
        <w:t>Derivatives Not Designated as Cash Flow Hedging Instruments</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fair value and location of the company’s derivative instruments on the Condensed Consolidated Balance Sheets: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0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17,723</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07"/>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1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w:t>
            </w:r>
          </w:p>
        </w:tc>
        <w:tc>
          <w:tcPr>
            <w:tcW w:w="3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0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assets</w:t>
            </w:r>
          </w:p>
        </w:tc>
        <w:tc>
          <w:tcPr>
            <w:tcW w:w="1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22,341</w:t>
            </w: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9"/>
        </w:trPr>
        <w:tc>
          <w:tcPr>
            <w:tcW w:w="5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0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w:t>
            </w:r>
          </w:p>
        </w:tc>
      </w:tr>
      <w:tr>
        <w:trPr>
          <w:trHeight w:val="207"/>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1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r>
      <w:tr>
        <w:trPr>
          <w:trHeight w:val="20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2,132</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Condensed Consolidated Balance Sheets.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effects of the master netting arrangements on the fair value of the company’s derivative instruments that are recorded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7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0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7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amount of derivative assets</w:t>
            </w:r>
          </w:p>
        </w:tc>
        <w:tc>
          <w:tcPr>
            <w:tcW w:w="17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22,424</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07"/>
        </w:trPr>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Derivative liabilities offsetting derivative assets</w:t>
            </w:r>
          </w:p>
        </w:tc>
        <w:tc>
          <w:tcPr>
            <w:tcW w:w="17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25"/>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assets</w:t>
            </w:r>
          </w:p>
        </w:tc>
        <w:tc>
          <w:tcPr>
            <w:tcW w:w="17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22,341</w:t>
            </w: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46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0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7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amount of derivative liabilities</w:t>
            </w:r>
          </w:p>
        </w:tc>
        <w:tc>
          <w:tcPr>
            <w:tcW w:w="17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w:t>
            </w:r>
          </w:p>
        </w:tc>
      </w:tr>
      <w:tr>
        <w:trPr>
          <w:trHeight w:val="207"/>
        </w:trPr>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Derivative assets offsetting derivative liabilities</w:t>
            </w:r>
          </w:p>
        </w:tc>
        <w:tc>
          <w:tcPr>
            <w:tcW w:w="17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2,721</w:t>
            </w:r>
          </w:p>
        </w:tc>
      </w:tr>
      <w:tr>
        <w:trPr>
          <w:trHeight w:val="225"/>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liabilities</w:t>
            </w:r>
          </w:p>
        </w:tc>
        <w:tc>
          <w:tcPr>
            <w:tcW w:w="17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w:t>
            </w: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presents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and nine months ended July 29, 2022 and July 30,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150"/>
        </w:trPr>
        <w:tc>
          <w:tcPr>
            <w:tcW w:w="5280" w:type="dxa"/>
            <w:vAlign w:val="bottom"/>
          </w:tcPr>
          <w:p>
            <w:pPr>
              <w:spacing w:after="0"/>
              <w:rPr>
                <w:sz w:val="13"/>
                <w:szCs w:val="13"/>
                <w:color w:val="auto"/>
              </w:rPr>
            </w:pPr>
          </w:p>
        </w:tc>
        <w:tc>
          <w:tcPr>
            <w:tcW w:w="2980" w:type="dxa"/>
            <w:vAlign w:val="bottom"/>
            <w:gridSpan w:val="4"/>
          </w:tcPr>
          <w:p>
            <w:pPr>
              <w:jc w:val="right"/>
              <w:ind w:right="20"/>
              <w:spacing w:after="0" w:line="150" w:lineRule="exact"/>
              <w:rPr>
                <w:sz w:val="20"/>
                <w:szCs w:val="20"/>
                <w:color w:val="auto"/>
              </w:rPr>
            </w:pPr>
            <w:r>
              <w:rPr>
                <w:rFonts w:ascii="Times New Roman" w:cs="Times New Roman" w:eastAsia="Times New Roman" w:hAnsi="Times New Roman"/>
                <w:sz w:val="16"/>
                <w:szCs w:val="16"/>
                <w:b w:val="1"/>
                <w:bCs w:val="1"/>
                <w:color w:val="auto"/>
              </w:rPr>
              <w:t>Gain (Loss) Reclassified from AOCL into</w:t>
            </w:r>
          </w:p>
        </w:tc>
        <w:tc>
          <w:tcPr>
            <w:tcW w:w="160" w:type="dxa"/>
            <w:vAlign w:val="bottom"/>
          </w:tcPr>
          <w:p>
            <w:pPr>
              <w:spacing w:after="0"/>
              <w:rPr>
                <w:sz w:val="13"/>
                <w:szCs w:val="13"/>
                <w:color w:val="auto"/>
              </w:rPr>
            </w:pPr>
          </w:p>
        </w:tc>
        <w:tc>
          <w:tcPr>
            <w:tcW w:w="2820" w:type="dxa"/>
            <w:vAlign w:val="bottom"/>
            <w:gridSpan w:val="3"/>
          </w:tcPr>
          <w:p>
            <w:pPr>
              <w:jc w:val="center"/>
              <w:ind w:right="20"/>
              <w:spacing w:after="0" w:line="150" w:lineRule="exact"/>
              <w:rPr>
                <w:sz w:val="20"/>
                <w:szCs w:val="20"/>
                <w:color w:val="auto"/>
              </w:rPr>
            </w:pPr>
            <w:r>
              <w:rPr>
                <w:rFonts w:ascii="Times New Roman" w:cs="Times New Roman" w:eastAsia="Times New Roman" w:hAnsi="Times New Roman"/>
                <w:sz w:val="16"/>
                <w:szCs w:val="16"/>
                <w:b w:val="1"/>
                <w:bCs w:val="1"/>
                <w:color w:val="auto"/>
                <w:w w:val="99"/>
              </w:rPr>
              <w:t>Gain (Loss) Recognized in OCI on</w:t>
            </w:r>
          </w:p>
        </w:tc>
      </w:tr>
      <w:tr>
        <w:trPr>
          <w:trHeight w:val="215"/>
        </w:trPr>
        <w:tc>
          <w:tcPr>
            <w:tcW w:w="5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Derivatives</w:t>
            </w:r>
          </w:p>
        </w:tc>
      </w:tr>
      <w:tr>
        <w:trPr>
          <w:trHeight w:val="205"/>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July 30, 2021</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July 30, 2021</w:t>
            </w:r>
          </w:p>
        </w:tc>
      </w:tr>
      <w:tr>
        <w:trPr>
          <w:trHeight w:val="20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1,640</w:t>
            </w:r>
          </w:p>
        </w:tc>
        <w:tc>
          <w:tcPr>
            <w:tcW w:w="3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w:t>
            </w:r>
          </w:p>
        </w:tc>
      </w:tr>
      <w:tr>
        <w:trPr>
          <w:trHeight w:val="207"/>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200</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r>
      <w:tr>
        <w:trPr>
          <w:trHeight w:val="225"/>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1,840</w:t>
            </w:r>
          </w:p>
        </w:tc>
        <w:tc>
          <w:tcPr>
            <w:tcW w:w="3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8,035</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gridSpan w:val="3"/>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50"/>
        </w:trPr>
        <w:tc>
          <w:tcPr>
            <w:tcW w:w="5280" w:type="dxa"/>
            <w:vAlign w:val="bottom"/>
          </w:tcPr>
          <w:p>
            <w:pPr>
              <w:spacing w:after="0"/>
              <w:rPr>
                <w:sz w:val="13"/>
                <w:szCs w:val="13"/>
                <w:color w:val="auto"/>
              </w:rPr>
            </w:pPr>
          </w:p>
        </w:tc>
        <w:tc>
          <w:tcPr>
            <w:tcW w:w="2980" w:type="dxa"/>
            <w:vAlign w:val="bottom"/>
            <w:gridSpan w:val="4"/>
          </w:tcPr>
          <w:p>
            <w:pPr>
              <w:jc w:val="right"/>
              <w:ind w:right="20"/>
              <w:spacing w:after="0" w:line="150" w:lineRule="exact"/>
              <w:rPr>
                <w:sz w:val="20"/>
                <w:szCs w:val="20"/>
                <w:color w:val="auto"/>
              </w:rPr>
            </w:pPr>
            <w:r>
              <w:rPr>
                <w:rFonts w:ascii="Times New Roman" w:cs="Times New Roman" w:eastAsia="Times New Roman" w:hAnsi="Times New Roman"/>
                <w:sz w:val="16"/>
                <w:szCs w:val="16"/>
                <w:b w:val="1"/>
                <w:bCs w:val="1"/>
                <w:color w:val="auto"/>
              </w:rPr>
              <w:t>Gain (Loss) Reclassified from AOCL into</w:t>
            </w: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18"/>
        </w:trPr>
        <w:tc>
          <w:tcPr>
            <w:tcW w:w="5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Gain Recognized in OCI on Derivatives</w:t>
            </w:r>
          </w:p>
        </w:tc>
      </w:tr>
      <w:tr>
        <w:trPr>
          <w:trHeight w:val="201"/>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July 30, 2021</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July 30, 2021</w:t>
            </w:r>
          </w:p>
        </w:tc>
      </w:tr>
      <w:tr>
        <w:trPr>
          <w:trHeight w:val="20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1,431</w:t>
            </w:r>
          </w:p>
        </w:tc>
        <w:tc>
          <w:tcPr>
            <w:tcW w:w="3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r>
      <w:tr>
        <w:trPr>
          <w:trHeight w:val="207"/>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164</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1,207</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25"/>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1,595</w:t>
            </w:r>
          </w:p>
        </w:tc>
        <w:tc>
          <w:tcPr>
            <w:tcW w:w="3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16,043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recognized immaterial gains within other income, net in the Condensed Consolidated Statements of Earnings during the third quarter and first nine months of fiscal 2022, and recognized immaterial losses within other income, net in the Condensed Consolidated Statements of Earnings during third quarter and first nine months of fiscal 2021, respectively, due to the discontinuance of cash flow hedge accounting on certain forward currency contracts designated as cash flow hedging instruments. As of July 29, 2022, the company expects to reclassify approximately $12.4 million of gains from AOCL to earnings during the next twelve months.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32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Gain (Loss) Recognized in Earnings on Cash Flow Hedging Instruments</w:t>
            </w:r>
          </w:p>
        </w:tc>
      </w:tr>
      <w:tr>
        <w:trPr>
          <w:trHeight w:val="20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114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3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July 30, 2021</w:t>
            </w:r>
          </w:p>
        </w:tc>
      </w:tr>
      <w:tr>
        <w:trPr>
          <w:trHeight w:val="20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Cost of Sales</w:t>
            </w:r>
          </w:p>
        </w:tc>
      </w:tr>
      <w:tr>
        <w:trPr>
          <w:trHeight w:val="148"/>
        </w:trPr>
        <w:tc>
          <w:tcPr>
            <w:tcW w:w="46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Condensed Consolidated Statements of Earnings income (expense)</w:t>
            </w: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63"/>
        </w:trPr>
        <w:tc>
          <w:tcPr>
            <w:tcW w:w="462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amounts in which the effects of cash flow hedging instruments are</w:t>
            </w: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1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recorded</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1,160,550</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(760,644)</w:t>
            </w:r>
          </w:p>
        </w:tc>
        <w:tc>
          <w:tcPr>
            <w:tcW w:w="3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976,836</w:t>
            </w:r>
          </w:p>
        </w:tc>
        <w:tc>
          <w:tcPr>
            <w:tcW w:w="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(645,719)</w:t>
            </w:r>
          </w:p>
        </w:tc>
      </w:tr>
      <w:tr>
        <w:trPr>
          <w:trHeight w:val="155"/>
        </w:trPr>
        <w:tc>
          <w:tcPr>
            <w:tcW w:w="462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i w:val="1"/>
                <w:iCs w:val="1"/>
                <w:color w:val="auto"/>
              </w:rPr>
              <w:t>Gain (loss) on derivatives designated as cash flow hedging</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15"/>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instruments: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2"/>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7"/>
        </w:trPr>
        <w:tc>
          <w:tcPr>
            <w:tcW w:w="4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gain (loss) reclassified from AOCL into earnings</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300" w:type="dxa"/>
            <w:vAlign w:val="bottom"/>
          </w:tcPr>
          <w:p>
            <w:pPr>
              <w:spacing w:after="0"/>
              <w:rPr>
                <w:sz w:val="17"/>
                <w:szCs w:val="17"/>
                <w:color w:val="auto"/>
              </w:rPr>
            </w:pP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200</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155"/>
        </w:trPr>
        <w:tc>
          <w:tcPr>
            <w:tcW w:w="4620" w:type="dxa"/>
            <w:vAlign w:val="bottom"/>
            <w:shd w:val="clear" w:color="auto" w:fill="CCEEFF"/>
          </w:tcPr>
          <w:p>
            <w:pPr>
              <w:ind w:left="220"/>
              <w:spacing w:after="0" w:line="155" w:lineRule="exact"/>
              <w:rPr>
                <w:sz w:val="20"/>
                <w:szCs w:val="20"/>
                <w:color w:val="auto"/>
              </w:rPr>
            </w:pPr>
            <w:r>
              <w:rPr>
                <w:rFonts w:ascii="Times New Roman" w:cs="Times New Roman" w:eastAsia="Times New Roman" w:hAnsi="Times New Roman"/>
                <w:sz w:val="16"/>
                <w:szCs w:val="16"/>
                <w:color w:val="auto"/>
              </w:rPr>
              <w:t>Gain on components excluded from effectiveness testing</w:t>
            </w: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18"/>
        </w:trPr>
        <w:tc>
          <w:tcPr>
            <w:tcW w:w="4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recognized in earnings based on changes in fair value</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627</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322</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32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Gain (Loss) Recognized in Earnings on Cash Flow Hedging Instruments</w:t>
            </w:r>
          </w:p>
        </w:tc>
      </w:tr>
      <w:tr>
        <w:trPr>
          <w:trHeight w:val="20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114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3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July 30, 2021</w:t>
            </w:r>
          </w:p>
        </w:tc>
      </w:tr>
      <w:tr>
        <w:trPr>
          <w:trHeight w:val="20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Cost of Sales</w:t>
            </w:r>
          </w:p>
        </w:tc>
      </w:tr>
      <w:tr>
        <w:trPr>
          <w:trHeight w:val="148"/>
        </w:trPr>
        <w:tc>
          <w:tcPr>
            <w:tcW w:w="46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Condensed Consolidated Statements of Earnings income (expense)</w:t>
            </w: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55"/>
        </w:trPr>
        <w:tc>
          <w:tcPr>
            <w:tcW w:w="46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amounts in which the effects of cash flow hedging instruments are</w:t>
            </w: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2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recorded</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3,342,678</w:t>
            </w:r>
          </w:p>
        </w:tc>
        <w:tc>
          <w:tcPr>
            <w:tcW w:w="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(2,236,927)</w:t>
            </w:r>
          </w:p>
        </w:tc>
        <w:tc>
          <w:tcPr>
            <w:tcW w:w="3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2,998,929</w:t>
            </w:r>
          </w:p>
        </w:tc>
        <w:tc>
          <w:tcPr>
            <w:tcW w:w="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(1,949,823)</w:t>
            </w:r>
          </w:p>
        </w:tc>
      </w:tr>
      <w:tr>
        <w:trPr>
          <w:trHeight w:val="155"/>
        </w:trPr>
        <w:tc>
          <w:tcPr>
            <w:tcW w:w="462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i w:val="1"/>
                <w:iCs w:val="1"/>
                <w:color w:val="auto"/>
              </w:rPr>
              <w:t>Gain (loss) on derivatives designated as cash flow hedging</w:t>
            </w: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15"/>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instruments: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2"/>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7"/>
        </w:trPr>
        <w:tc>
          <w:tcPr>
            <w:tcW w:w="4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gain (loss) reclassified from AOCL into earnings</w:t>
            </w:r>
          </w:p>
        </w:tc>
        <w:tc>
          <w:tcPr>
            <w:tcW w:w="30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1,431</w:t>
            </w:r>
          </w:p>
        </w:tc>
        <w:tc>
          <w:tcPr>
            <w:tcW w:w="280" w:type="dxa"/>
            <w:vAlign w:val="bottom"/>
          </w:tcPr>
          <w:p>
            <w:pPr>
              <w:spacing w:after="0"/>
              <w:rPr>
                <w:sz w:val="17"/>
                <w:szCs w:val="17"/>
                <w:color w:val="auto"/>
              </w:rPr>
            </w:pP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164</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(9,325)</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155"/>
        </w:trPr>
        <w:tc>
          <w:tcPr>
            <w:tcW w:w="4620" w:type="dxa"/>
            <w:vAlign w:val="bottom"/>
            <w:shd w:val="clear" w:color="auto" w:fill="CCEEFF"/>
          </w:tcPr>
          <w:p>
            <w:pPr>
              <w:ind w:left="220"/>
              <w:spacing w:after="0" w:line="155" w:lineRule="exact"/>
              <w:rPr>
                <w:sz w:val="20"/>
                <w:szCs w:val="20"/>
                <w:color w:val="auto"/>
              </w:rPr>
            </w:pPr>
            <w:r>
              <w:rPr>
                <w:rFonts w:ascii="Times New Roman" w:cs="Times New Roman" w:eastAsia="Times New Roman" w:hAnsi="Times New Roman"/>
                <w:sz w:val="16"/>
                <w:szCs w:val="16"/>
                <w:color w:val="auto"/>
              </w:rPr>
              <w:t>Gain (loss) on components excluded from effectiveness testing</w:t>
            </w: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18"/>
        </w:trPr>
        <w:tc>
          <w:tcPr>
            <w:tcW w:w="4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recognized in earnings based on changes in fair value</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1,180</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784</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r>
    </w:tbl>
    <w:p>
      <w:pPr>
        <w:spacing w:after="0" w:line="8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impact and location of derivative instruments on the Condensed Consolidated Statements of Earnings for the company’s derivatives not designated as cash flow hedging instruments: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1"/>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July 30, 2021</w:t>
            </w:r>
          </w:p>
        </w:tc>
      </w:tr>
      <w:tr>
        <w:trPr>
          <w:trHeight w:val="20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Gain (loss) on derivatives not designated as cash flow hedging instruments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7"/>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5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4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3,639</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w:t>
            </w:r>
          </w:p>
        </w:tc>
      </w:tr>
      <w:tr>
        <w:trPr>
          <w:trHeight w:val="148"/>
        </w:trPr>
        <w:tc>
          <w:tcPr>
            <w:tcW w:w="50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Total gain (loss) on derivatives not designated as cash flow hedging</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1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3,639</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(4,511)</w:t>
            </w:r>
          </w:p>
        </w:tc>
      </w:tr>
      <w:tr>
        <w:trPr>
          <w:trHeight w:val="21"/>
        </w:trPr>
        <w:tc>
          <w:tcPr>
            <w:tcW w:w="5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17 </w:t>
      </w:r>
      <w:r>
        <w:rPr>
          <w:rFonts w:ascii="Times New Roman" w:cs="Times New Roman" w:eastAsia="Times New Roman" w:hAnsi="Times New Roman"/>
          <w:sz w:val="18"/>
          <w:szCs w:val="18"/>
          <w:b w:val="1"/>
          <w:bCs w:val="1"/>
          <w:color w:val="auto"/>
        </w:rPr>
        <w:t>Fair Value Measurements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1</w:t>
      </w:r>
      <w:r>
        <w:rPr>
          <w:rFonts w:ascii="Times New Roman" w:cs="Times New Roman" w:eastAsia="Times New Roman" w:hAnsi="Times New Roman"/>
          <w:sz w:val="17"/>
          <w:szCs w:val="17"/>
          <w:color w:val="auto"/>
        </w:rPr>
        <w:t>: Unadjusted quoted prices in active markets for identical assets or liabilities.</w:t>
      </w:r>
    </w:p>
    <w:p>
      <w:pPr>
        <w:spacing w:after="0" w:line="115"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17"/>
          <w:szCs w:val="17"/>
          <w:b w:val="1"/>
          <w:bCs w:val="1"/>
          <w:color w:val="auto"/>
        </w:rPr>
        <w:t>Level 2</w:t>
      </w:r>
      <w:r>
        <w:rPr>
          <w:rFonts w:ascii="Times New Roman" w:cs="Times New Roman" w:eastAsia="Times New Roman" w:hAnsi="Times New Roman"/>
          <w:sz w:val="17"/>
          <w:szCs w:val="17"/>
          <w:color w:val="auto"/>
        </w:rPr>
        <w:t>: Observable inputs other than Level 1 prices, such as quoted prices for similar assets or liabilities in active markets; quoted prices for identical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assets or liabilities in markets that are not active; or other inputs that are observable or can be corroborated by observable market data for substantially the full term of the assets or liabilities.</w:t>
      </w:r>
    </w:p>
    <w:p>
      <w:pPr>
        <w:spacing w:after="0" w:line="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3</w:t>
      </w:r>
      <w:r>
        <w:rPr>
          <w:rFonts w:ascii="Times New Roman" w:cs="Times New Roman" w:eastAsia="Times New Roman" w:hAnsi="Times New Roman"/>
          <w:sz w:val="17"/>
          <w:szCs w:val="17"/>
          <w:color w:val="auto"/>
        </w:rPr>
        <w:t>: Unobservable inputs reflecting management’s assumptions about the inputs used in pricing the asset or liability.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tables present, by level within the fair value hierarchy, the company's financial assets and liabilities that are measured at fair value on a recurring basis as of July 29, 2022, July 30, 2021, and October 31, 2021, according to the valuation technique utilized to determine their fair values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57150</wp:posOffset>
            </wp:positionV>
            <wp:extent cx="32162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7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15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22,341</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22,341</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22,341</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22,341</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3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147955</wp:posOffset>
            </wp:positionV>
            <wp:extent cx="32162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80" w:type="dxa"/>
            <w:vAlign w:val="bottom"/>
            <w:tcBorders>
              <w:bottom w:val="single" w:sz="8" w:color="auto"/>
            </w:tcBorders>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4"/>
              </w:rPr>
              <w:t>1,544</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80" w:type="dxa"/>
            <w:vAlign w:val="bottom"/>
            <w:tcBorders>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4"/>
              </w:rPr>
              <w:t>1,544</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31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80" w:type="dxa"/>
            <w:vAlign w:val="bottom"/>
            <w:tcBorders>
              <w:bottom w:val="single" w:sz="8" w:color="auto"/>
            </w:tcBorders>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4"/>
              </w:rPr>
              <w:t>5,236</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480" w:type="dxa"/>
            <w:vAlign w:val="bottom"/>
            <w:tcBorders>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4"/>
              </w:rPr>
              <w:t>5,236</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131445</wp:posOffset>
            </wp:positionV>
            <wp:extent cx="32162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19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2021</w:t>
            </w:r>
          </w:p>
        </w:tc>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80" w:type="dxa"/>
            <w:vAlign w:val="bottom"/>
            <w:tcBorders>
              <w:bottom w:val="single" w:sz="8" w:color="auto"/>
            </w:tcBorders>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322</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80" w:type="dxa"/>
            <w:vAlign w:val="bottom"/>
            <w:tcBorders>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322</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31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80" w:type="dxa"/>
            <w:vAlign w:val="bottom"/>
            <w:tcBorders>
              <w:bottom w:val="single" w:sz="8" w:color="auto"/>
            </w:tcBorders>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4"/>
              </w:rPr>
              <w:t>2,132</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480" w:type="dxa"/>
            <w:vAlign w:val="bottom"/>
            <w:tcBorders>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4"/>
              </w:rPr>
              <w:t>2,132</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or asset acquisition are also measured at fair value on a non-recurring basis during the measurement period allowed by the accounting standards codification guidance for business combinations and asset acquisitions, when applicable. For additional information on the company's business combination and the related non-recurring fair value measurement of the assets acquired and liabilities assumed, refer to Note 2, </w:t>
      </w:r>
      <w:r>
        <w:rPr>
          <w:rFonts w:ascii="Times New Roman" w:cs="Times New Roman" w:eastAsia="Times New Roman" w:hAnsi="Times New Roman"/>
          <w:sz w:val="17"/>
          <w:szCs w:val="17"/>
          <w:i w:val="1"/>
          <w:iCs w:val="1"/>
          <w:color w:val="auto"/>
        </w:rPr>
        <w:t>Business Combinations and Asset Acquisitions</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Fair Value Disclosures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carrying values of the company's short-term financial instruments, including cash and cash equivalents, accounts receivable, accounts payable, and short-term debt, including current maturities of long-term debt, when applicable, approximate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their fair values due to their short-term nature. As of July 29, 2022, July 30, 2021 and October 31, 2021, the company's long-term debt included $524.1 million, $424.0 million and $424.0 million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July 29, 2022, the estimated gross fair value of long-term debt with fixed interest rates was $541.0 million compared to its gross carrying amount of $524.1 million. As of July 30, 2021, the estimated gross fair value of long-term debt with fixed interest rates was $525.9 million compared to its gross carrying amount of $424.0 million. As of October 31, 2021, the estimated gross fair value of long-term debt with fixed interest rates was $517.9 million compared to its gross carrying amount of $424.0 million. For additional information regarding long-term debt with fixed interest rates, refer to Note 6, </w:t>
      </w:r>
      <w:r>
        <w:rPr>
          <w:rFonts w:ascii="Times New Roman" w:cs="Times New Roman" w:eastAsia="Times New Roman" w:hAnsi="Times New Roman"/>
          <w:sz w:val="17"/>
          <w:szCs w:val="17"/>
          <w:i w:val="1"/>
          <w:iCs w:val="1"/>
          <w:color w:val="auto"/>
        </w:rPr>
        <w:t>Indebtedness.</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18 </w:t>
      </w:r>
      <w:r>
        <w:rPr>
          <w:rFonts w:ascii="Times New Roman" w:cs="Times New Roman" w:eastAsia="Times New Roman" w:hAnsi="Times New Roman"/>
          <w:sz w:val="18"/>
          <w:szCs w:val="18"/>
          <w:b w:val="1"/>
          <w:bCs w:val="1"/>
          <w:color w:val="auto"/>
        </w:rPr>
        <w:t>Subsequent Events</w:t>
      </w:r>
    </w:p>
    <w:p>
      <w:pPr>
        <w:spacing w:after="0" w:line="12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is intended to provide a reader of our Condensed Consolidated Financial Statements with a narrative from the perspective of management on our financial condition, results of operations, liquidity, and certain other factors that may affect our future results. Unless the context indicates otherwise, the terms "company," "TTC," "we," "our," or "us" refer to The Toro Company and its consolidated subsidiaries. This MD&amp;A should be read in conjunction with the MD&amp;A included in Part II, Item 7 of our Annual Report on Form 10-K for the fiscal year ended October 31, 2021. Unless expressly stated otherwise, the comparisons presented in this MD&amp;A refer to the same period in the prior fiscal year. Our MD&amp;A is presented as follows:</w:t>
      </w:r>
    </w:p>
    <w:p>
      <w:pPr>
        <w:spacing w:after="0" w:line="73" w:lineRule="exact"/>
        <w:rPr>
          <w:sz w:val="20"/>
          <w:szCs w:val="20"/>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Overview</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Segments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Position</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Financial Measures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Critical Accounting Policies and Estimates</w:t>
      </w:r>
    </w:p>
    <w:p>
      <w:pPr>
        <w:spacing w:after="0" w:line="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This discussion contains various "forward-looking statements" within the meaning of the Private Securities Litigation Reform Act of 1995 and we refer readers to the section titled "Cautionary Note Regarding Forward-Looking Statements" located at the beginning of this Quarterly Report on Form 10-Q for more information.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Throughout this MD&amp;A, we have provided financial measures that are not calculated or presented in accordance with United States ("U.S.") generally accepted accounting principles ("GAAP") ("non-GAAP," "adjusted" financial measures), as information supplemental and in addition to the most directly comparable financial measures presented in this Quarterly Report on Form 10-Q that are calculated and presented in accordance with U.S. GAAP.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 within this MD&amp;A.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Our purpose is to help our customers enrich the beauty, productivity, and sustainability of the land. Sustainability is a constant theme of our enterprise strategic priorities of accelerating profitable growth, driving productivity and operational excellence, and empowering our people. Our focus on alternative power, smart connected, and autonomous solutions, as well as our continued efforts to address sustainability-focused matters, including environmental, social, and governance priorities, are embedded as part of our "Sustainability Endures" initiative.</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sell our products worldwide through a network of distributors, dealers, mass retailers, hardware retailers, equipment rental centers, home centers, as well as online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 We classify our operations into two reportable business segments: Professional and Residential. Our remaining activities are presented as "Other" due to their insignificance, as described in greater detail within the section titled "Business Segments" in this MD&amp;A.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 of Intimidator Group</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January 13, 2022, during the first quarter of fiscal 2022, we acquired the privately-held Intimidator Group ("Intimidator"). Intimidator primarily designs, manufactures, markets, and sells a commercial-grade line of zero-turn mowers under the Spartan Mowers brand, which are intended to provide innovative turf management solutions to landscape contractors and other customers who require a commercial-grade solution. The acquisition of Intimidator broadened our Professional reportable segment and expanded our manufacturing footprint and dealer network. The aggregate purchase consideration was $399.8 million ("purchase price"). The aggregate purchase consideration remains subject to contingent consideration through the end of calendar year 2022, in the event of certain qualifying tax changes. As a result, we could be subject to additional cash purchase consideration for an amount not to exceed $15.0 million and remittance of such contingent consideration, if required, is due by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March 15, 2023. As of July 29, 2022, no liability was recorded within the Condensed Consolidated Balance Sheets for the contingent consideration as the contingency is not probable or estimable. We funded the purchase price with borrowings under our existing unsecured senior revolving credit facility and cash provided by operating activities. Intimidator's results of operations are included within our Professional reportable segment in our Condensed Consolidated Financial Statements from the closing date. For the three and nine months ended July 29, 2022, we recognized $54.4 million and $114.9 million, respectively, of net sales from Intimidator's operations. Intimidator's operations had an immaterial impact on Professional segment earnings for the three and nine month periods ended July 29, 2022. For additional information regarding the acquisition, refer to Note 2, </w:t>
      </w:r>
      <w:r>
        <w:rPr>
          <w:rFonts w:ascii="Times New Roman" w:cs="Times New Roman" w:eastAsia="Times New Roman" w:hAnsi="Times New Roman"/>
          <w:sz w:val="17"/>
          <w:szCs w:val="17"/>
          <w:i w:val="1"/>
          <w:iCs w:val="1"/>
          <w:color w:val="auto"/>
        </w:rPr>
        <w:t>Business Combinations and Asset Acquisitions</w:t>
      </w:r>
      <w:r>
        <w:rPr>
          <w:rFonts w:ascii="Times New Roman" w:cs="Times New Roman" w:eastAsia="Times New Roman" w:hAnsi="Times New Roman"/>
          <w:sz w:val="17"/>
          <w:szCs w:val="17"/>
          <w:color w:val="auto"/>
        </w:rPr>
        <w:t>, in the Notes to Condensed Consolidated Financial Statements included in Part I, Item 1 of this Quarterly Report on Form 10-Q.</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Russia's Invasion of Ukraine</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Beginning in the second quarter of fiscal 2022, in response to Russia's invasion of Ukraine, we discontinued sales into the Russian and Belarus markets. Prior sales in those markets did not represent a significant share of our overall international business, and we do not expect this decision to have a material impact on our financial results.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Continuing Impact of COVID-19</w:t>
      </w:r>
    </w:p>
    <w:p>
      <w:pPr>
        <w:spacing w:after="0" w:line="1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COVID-19 is having lingering effects on public health and portions of the global economy. We continue to see significant pressure on global supply chains rooted mainly in disruptions created by these effects. Our main focus has been, and will continue to be, the health, safety, and well-being of our employees, customers, suppliers and communities around the world as we work through these ongoing supply chain challenges. As always, we are maintaining focus on our responsibility to meet the needs of our customers as we supply products that are critical to maintaining essential global infrastructure and agricultural food production. Ongoing communication and prioritization continues with our suppliers in an attempt to identify and mitigate such risks and to proactively manage inventory levels of commodities, components, and parts to align with anticipated demand for our products.</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continuing implications of COVID-19, including its variants, and the macroeconomic effects resulting therefrom, on us remain uncertain and will depend on future developments, including any adverse impact due to additional variants of the virus; its impact on market demand for our products; its impact on our employees, customers, and suppliers; the range of government mandated restrictions and other measures; and the success of the COVID-19 vaccines and their effectiveness against the virus and related variants. As a result, the ultimate impact on our future business and manufacturing operations, as well as results of operations, financial position, and cash flows as a result of COVID-19 is unknown at this time. We continue to monitor the situation and the guidance from global government authorities, as well as federal, state, local and foreign public health authorities, and may take additional meaningful actions based on their requirements and recommendations in an attempt to protect the health and well-being of our employees, customers, suppliers, and communities. In these circumstances, there may be developments outside our control requiring us to adjust our operating plans and implement appropriate cost reduction measures. If the adverse impacts from COVID-19 continue or worsen beyond expectations, our business and related results of operations, financial position, or cash flows could be adversely impacted. Any sustained adverse impacts to our business, the industries in which we operate, market demand for our products, and/or certain suppliers or customers may also affect the future valuation of certain of our assets, and therefore, may increase the likelihood of a charge related to an impairment, write-off, valuation adjustment, allowance, or reserve associated with such assets, including, but not limited to, goodwill, indefinite and finite-lived intangible assets, inventories, accounts receivable, deferred income taxes, right-of-use assets, and property, plant and equipment. Such a charge could be material to our future results of operations, financial position, or cash flows. For additional information regarding risks associated with COVID-19, refer to the section titled "Cautionary Note Regarding Forward-Looking Statements" located at the beginning of this Quarterly Report on Form 10-Q and also refer to Part I, Item 1A, "Risk Factors", within our Annual Report on Form 10-K for the fiscal year ended October 31, 2021.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Consolidated net sales for the third quarter of fiscal 2022 were $1,160.6 million, up 18.8 percent compared to $976.8 million in the third quarter of fiscal 2021. For the first nine months of fiscal 2022, consolidated net sales were $3,342.7 million, up 11.5 percent compared to $2,998.9 million from the same period in the prior fiscal year.</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Professional segment net sales for the third quarter of fiscal 2022 were $886.2 million, an increase of 23.3 percent compared to $718.5 million in the third quarter of the prior fiscal year. For the first nine months of fiscal 2022, Professional segment net sales were $2,484.9 million, an increase of 13.1 percent compared to $2,197.1 million in the prior fiscal year comparable period.</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Residential segment net sales for the third quarter of fiscal 2022 were $270.0 million, an increase of 7.1 percent compared to $252.1 million in the third quarter of the prior fiscal year. For the first nine months of fiscal 2022, Residential segment net sales were $845.0 million, an increase of 7.7 percent compared to $784.9 million in the prior fiscal year comparable period.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earnings for the third quarter of fiscal 2022 were $125.2 million, or $1.19 per diluted share, compared to $96.3 million, or $0.89 per diluted share, for the third quarter of fiscal 2021. Net earnings for the first nine months of fiscal 2022 were $325.8 million, or $3.08 per diluted share, compared to $349.8 million, or $3.21 per diluted share, in the comparable fiscal 2021 period.</w:t>
      </w:r>
    </w:p>
    <w:p>
      <w:pPr>
        <w:spacing w:after="0" w:line="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Adjusted net earnings for the third quarter of fiscal 2022 were $125.1 million, or $1.19 per diluted share, compared to $99.4 million, or $0.92 per diluted share, for the third quarter of fiscal 2021. Adjusted net earnings for the first nine months of fiscal 2022 were $327.0 million, or $3.09 per diluted share, compared to $333.0 million, or $3.06 per diluted share, in the comparable fiscal 2021 period. Reconciliations of non-GAAP financial measures to the most directly comparable reported U.S. GAAP financial measures are included in the section titled "Non-GAAP Financial Measures" within this MD&amp;A.</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continued our history of paying quarterly cash dividends and increased our cash dividend for the third quarter of fiscal 2022 by 14.3 percent to $0.30 per share compared to $0.2625 per share paid in the third quarter of fiscal 2021. We also continued repurchasing shares of our common stock under our Board authorized repurchase plan. As a result of the combination of quarterly cash dividends and share repurchases, we returned $204.4 million of cash to our shareholders during the first nine months of fiscal 2022.</w:t>
      </w:r>
    </w:p>
    <w:p>
      <w:pPr>
        <w:spacing w:after="0" w:line="6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Field inventory levels were higher as of the end of the third quarter of fiscal 2022 compared to the end of the third quarter of fiscal 2021 primarily driven by increased inventory costs resulting from inflation and inventory buildup to offset longer lead times and meet expected future demand.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Consolidated net sales for the third quarter of fiscal 2022 were $1,160.6 million, up 18.8 percent compared to $976.8 million in the third quarter of fiscal 2021. For the year-to-date period of fiscal 2022, consolidated net sales were $3,342.7 million, up 11.5 percent compared to $2,998.9 million from the same period in the prior fiscal year. For both the third quarter and year-to-date periods of fiscal 2022, the increases to net sales were primarily driven by net price realization across both Professional and Residential segment product lines and the acquisition of Intimidator, partially offset by lower volumes in certain key product categories. For the third quarter and year-to-date periods of fiscal 2022, the acquisition of Intimidator contributed $54.4 million and $114.9 million of net sales, respectively.</w:t>
      </w:r>
    </w:p>
    <w:p>
      <w:pPr>
        <w:spacing w:after="0" w:line="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Net sales in international markets increased by $24.5 million and $17.9 million for the third quarter and year-to-date periods of fiscal 2022, respectively. Changes in foreign currency exchange rates resulted in a decrease in our net sales of approximately $5.0 million and $2.8 million for the third quarter and year-to-date periods of fiscal 2022, respectively. The international net sales increases for both the third quarter and year-to-date periods of fiscal 2022 were mainly driven by net price realization.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as a percentage of consolidated net sales: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2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2"/>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0" w:type="dxa"/>
            <w:vAlign w:val="bottom"/>
            <w:tcBorders>
              <w:bottom w:val="single" w:sz="8" w:color="auto"/>
            </w:tcBorders>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1"/>
        </w:trPr>
        <w:tc>
          <w:tcPr>
            <w:tcW w:w="40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16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16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1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July 30, 2021</w:t>
            </w:r>
          </w:p>
        </w:tc>
      </w:tr>
      <w:tr>
        <w:trPr>
          <w:trHeight w:val="20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6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100.0 %</w:t>
            </w: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100.0 %</w:t>
            </w: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100.0 %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7"/>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6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(65.5)</w:t>
            </w:r>
          </w:p>
        </w:tc>
        <w:tc>
          <w:tcPr>
            <w:tcW w:w="16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(66.1)</w:t>
            </w:r>
          </w:p>
        </w:tc>
        <w:tc>
          <w:tcPr>
            <w:tcW w:w="16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(66.9)</w:t>
            </w:r>
          </w:p>
        </w:tc>
        <w:tc>
          <w:tcPr>
            <w:tcW w:w="14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(65.0)</w:t>
            </w:r>
          </w:p>
        </w:tc>
      </w:tr>
      <w:tr>
        <w:trPr>
          <w:trHeight w:val="20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2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34.5</w:t>
            </w:r>
          </w:p>
        </w:tc>
        <w:tc>
          <w:tcPr>
            <w:tcW w:w="16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33.9</w:t>
            </w:r>
          </w:p>
        </w:tc>
        <w:tc>
          <w:tcPr>
            <w:tcW w:w="16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33.1</w:t>
            </w:r>
          </w:p>
        </w:tc>
        <w:tc>
          <w:tcPr>
            <w:tcW w:w="14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w:t>
            </w:r>
          </w:p>
        </w:tc>
      </w:tr>
      <w:tr>
        <w:trPr>
          <w:trHeight w:val="207"/>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6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(20.5)</w:t>
            </w:r>
          </w:p>
        </w:tc>
        <w:tc>
          <w:tcPr>
            <w:tcW w:w="16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(21.4)</w:t>
            </w:r>
          </w:p>
        </w:tc>
        <w:tc>
          <w:tcPr>
            <w:tcW w:w="16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(20.4)</w:t>
            </w:r>
          </w:p>
        </w:tc>
        <w:tc>
          <w:tcPr>
            <w:tcW w:w="14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(20.2)</w:t>
            </w:r>
          </w:p>
        </w:tc>
      </w:tr>
      <w:tr>
        <w:trPr>
          <w:trHeight w:val="20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262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14.0</w:t>
            </w:r>
          </w:p>
        </w:tc>
        <w:tc>
          <w:tcPr>
            <w:tcW w:w="16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12.5</w:t>
            </w:r>
          </w:p>
        </w:tc>
        <w:tc>
          <w:tcPr>
            <w:tcW w:w="16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12.7</w:t>
            </w:r>
          </w:p>
        </w:tc>
        <w:tc>
          <w:tcPr>
            <w:tcW w:w="14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14.8</w:t>
            </w:r>
          </w:p>
        </w:tc>
      </w:tr>
      <w:tr>
        <w:trPr>
          <w:trHeight w:val="207"/>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(0.8)</w:t>
            </w:r>
          </w:p>
        </w:tc>
        <w:tc>
          <w:tcPr>
            <w:tcW w:w="16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(0.7)</w:t>
            </w:r>
          </w:p>
        </w:tc>
        <w:tc>
          <w:tcPr>
            <w:tcW w:w="16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(0.7)</w:t>
            </w:r>
          </w:p>
        </w:tc>
        <w:tc>
          <w:tcPr>
            <w:tcW w:w="14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r>
      <w:tr>
        <w:trPr>
          <w:trHeight w:val="207"/>
        </w:trPr>
        <w:tc>
          <w:tcPr>
            <w:tcW w:w="4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62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0.3</w:t>
            </w:r>
          </w:p>
        </w:tc>
        <w:tc>
          <w:tcPr>
            <w:tcW w:w="160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0.2</w:t>
            </w:r>
          </w:p>
        </w:tc>
        <w:tc>
          <w:tcPr>
            <w:tcW w:w="160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0.2</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r>
      <w:tr>
        <w:trPr>
          <w:trHeight w:val="200"/>
        </w:trPr>
        <w:tc>
          <w:tcPr>
            <w:tcW w:w="4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62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13.5</w:t>
            </w:r>
          </w:p>
        </w:tc>
        <w:tc>
          <w:tcPr>
            <w:tcW w:w="160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12.0</w:t>
            </w:r>
          </w:p>
        </w:tc>
        <w:tc>
          <w:tcPr>
            <w:tcW w:w="160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12.2</w:t>
            </w: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14.4</w:t>
            </w:r>
          </w:p>
        </w:tc>
      </w:tr>
      <w:tr>
        <w:trPr>
          <w:trHeight w:val="207"/>
        </w:trPr>
        <w:tc>
          <w:tcPr>
            <w:tcW w:w="4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2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(2.7)</w:t>
            </w:r>
          </w:p>
        </w:tc>
        <w:tc>
          <w:tcPr>
            <w:tcW w:w="160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w:t>
            </w:r>
          </w:p>
        </w:tc>
        <w:tc>
          <w:tcPr>
            <w:tcW w:w="160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(2.5)</w:t>
            </w:r>
          </w:p>
        </w:tc>
        <w:tc>
          <w:tcPr>
            <w:tcW w:w="14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w:t>
            </w:r>
          </w:p>
        </w:tc>
      </w:tr>
      <w:tr>
        <w:trPr>
          <w:trHeight w:val="200"/>
        </w:trPr>
        <w:tc>
          <w:tcPr>
            <w:tcW w:w="4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6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10.8 %</w:t>
            </w:r>
          </w:p>
        </w:tc>
        <w:tc>
          <w:tcPr>
            <w:tcW w:w="16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9.9 %</w:t>
            </w:r>
          </w:p>
        </w:tc>
        <w:tc>
          <w:tcPr>
            <w:tcW w:w="16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9.7 %</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11.7 %</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 and Gross Margin</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Gross profit for the third quarter of fiscal 2022 was $399.9 million, up 20.8 percent compared to $331.1 million in the third quarter of fiscal 2021. Adjusted gross profit for the third quarter of fiscal 2022 was $400.3 million, up 20.9 percent compared to $331.1 million for the third quarter of fiscal 2021. Gross margin was 34.5 percent for the third quarter of fiscal 2022 compared to 33.9 percent for the third quarter of fiscal 2021, an increase of 60 basis points. The increase in gross margin was primarily due to net price realization and productivity improvements, partially offset by higher material, freight and manufacturing costs, and the addition of the Intimidator Group at a lower initial gross margin than the company average.</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Gross profit for the year-to-date period of fiscal 2022 was $1,105.8 million, up 5.4 percent compared to $1,049.1 million in the same period of fiscal 2021. Adjusted gross profit for the year-to-date period of fiscal 2022 was $1,107.2 million, up 5.5 percent compared to $1,049.1 million for the same period of fiscal 2021. Gross margin was 33.1 percent for the year-to-date period of</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fiscal 2022 compared to 35.0 percent for the prior year comparable period, a decrease of 190 basis points. The decrease in gross margin was primarily due to higher material, freight and manufacturing costs, and the addition of the Intimidator Group at a lower initial gross margin than the company average, partially offset by increased net price realization and productivity improvements.</w:t>
      </w:r>
    </w:p>
    <w:p>
      <w:pPr>
        <w:spacing w:after="0" w:line="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Reconciliations of non-GAAP financial measures to the most directly comparable reported U.S. GAAP financial measures are included in the section titled "Non-GAAP Financial Measures" within this MD&amp;A.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("SG&amp;A") Expense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SG&amp;A expense increased $27.7 million, or 13.2 percent, for the third quarter of fiscal 2022 and increased $75.5 million, or 12.5 percent, for the year-to-date period of fiscal 2022 compared to the same periods of fiscal 2021. As a percentage of net sales, SG&amp;A expense decreased 90 basis points and increased 20 basis points for the third quarter and year-to-date periods of fiscal 2022, respectively, compared to the same periods of fiscal 2021. The decline in SG&amp;A expense as a percentage of net sales for the third quarter comparison was primarily due to an unfavorable charge incurred in fiscal 2021 for a legal settlement related to a series of ongoing patent infringement disputes that did not recur in fiscal 2022 and increased net sales leverage, partially offset by higher indirect marketing expenses in the current-year period compared to the same period of fiscal 2021. The increase in SG&amp;A expense as a percentage of net sales for the year-to-date comparison was primarily due to a favorable net legal settlement with Briggs &amp; Stratton ("BGG") that was recognized in fiscal 2021 and did not repeat in fiscal 2022, partially offset by an unfavorable charge incurred in fiscal 2021 for a legal settlement related to a series of ongoing patent infringement disputes that did not recur in fiscal 2022.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expense increased $2.2 million and $2.6 million for the third quarter and year-to-date periods of fiscal 2022, respectively, compared to the same periods of fiscal 2021. These increases were driven by incremental borrowing during the current fiscal year periods to fund the Intimidator acquisition, as well as higher average interest rates.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Net</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income, net increased $0.7 million and $0.2 million for the third quarter and year-to-date periods of fiscal 2022, respectively, compared to the same periods of fiscal 2021. These increases were primarily due to higher income from our Red Iron joint venture, partially offset by the unfavorable impact of foreign currency exchange rate fluctuations.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effective tax rate for the third quarter of fiscal 2022 was 20.3 percent compared to 18.0 percent in the third quarter of fiscal 2021. The effective tax rate for the year-to-date period of fiscal 2022 was 20.4 percent compared to 18.8 percent in the same period of fiscal 2021. The increases in the effective tax rate for both the third quarter and year-to-date comparison periods were primarily due to less favorable one-time adjustments and lower tax benefits recorded as excess tax deductions for stock compensation in the current-year periods compared to the same periods of fiscal 2021.</w:t>
      </w:r>
    </w:p>
    <w:p>
      <w:pPr>
        <w:spacing w:after="0" w:line="6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adjusted effective tax rate for the third quarter of fiscal 2022 was 20.7 percent, compared to an adjusted effective tax rate of 19.3 percent in the third quarter of fiscal 2021. The adjusted effective tax rate for the year-to-date period of fiscal 2022 was 20.8 percent compared to 20.6 percent in the same period of fiscal 2021.</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Reconciliations of non-GAAP financial measures to the most directly comparable reported U.S. GAAP financial measures are included in the section titled "Non-GAAP Financial Measures."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Earnings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Net earnings for the third quarter of fiscal 2022 were $125.2 million, or $1.19 per diluted share, compared to $96.3 million, or $0.89 per diluted share, for the third quarter of fiscal 2021, an increase of 33.7 percent per diluted share. Adjusted net earnings for the third quarter of fiscal 2022 were $125.1 million, or $1.19 per diluted share, compared to $99.4 million, or $0.92 per diluted share, for the third quarter of fiscal 2021, an increase of 29.3 percent per diluted share. The increase in net earnings per diluted share for the third quarter comparison was primarily due to improved net price realization, ongoing productivity improvements and lower weighted average shares outstanding due to ongoing share repurchases under our Board authorized repurchase program, partially offset by higher material, freight and manufacturing costs.</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Net earnings for the first nine months of fiscal 2022 were $325.8 million, or $3.08 per diluted share, compared to $349.8 million, or $3.21 per diluted share, for the same period of fiscal 2021. Adjusted net earnings for the first nine months of fiscal 2022 were $327.0 million, or $3.09 per diluted share, compared to $333.0 million, or $3.06 per diluted share, for the same year-to-date period of fiscal 2021, an increase of 1.0 percent per diluted share. The decrease in net earnings per diluted share for the year-to-date comparison was primarily due to higher material, freight and manufacturing costs, a favorable net legal settlement with BGG that was recognized in fiscal 2021 and did not repeat in fiscal 2022, and lower tax benefits recorded as excess tax</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deductions for stock compensation, partially offset by improved net price realization, ongoing productivity improvements and lower weighted average shares outstanding due to ongoing share repurchases under our Board authorized repurchase program.</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Reconciliations of non-GAAP financial measures to the most directly comparable reported U.S. GAAP financial measures are included in the section titled "Non-GAAP Financial Measures" within this MD&amp;A.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included earnings (loss) from our wholly-owned domestic distribution company, Red Iron joint venture, corporate activities, other income, and interest expense. Corporate activities include general corporate expenditures, such as finance, human resources, legal, information services, public relations, and similar activities, as well as other unallocated corporate assets and liabilities, such as corporate facilities and deferred tax assets and liabilities. The following tables summarize net sales for our reportable business segments and Other activities: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00" w:type="dxa"/>
            <w:vAlign w:val="bottom"/>
            <w:tcBorders>
              <w:bottom w:val="single" w:sz="8" w:color="auto"/>
            </w:tcBorders>
          </w:tcPr>
          <w:p>
            <w:pPr>
              <w:spacing w:after="0"/>
              <w:rPr>
                <w:sz w:val="18"/>
                <w:szCs w:val="18"/>
                <w:color w:val="auto"/>
              </w:rPr>
            </w:pPr>
          </w:p>
        </w:tc>
      </w:tr>
      <w:tr>
        <w:trPr>
          <w:trHeight w:val="150"/>
        </w:trPr>
        <w:tc>
          <w:tcPr>
            <w:tcW w:w="3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500"/>
              <w:spacing w:after="0" w:line="150"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00" w:type="dxa"/>
            <w:vAlign w:val="bottom"/>
          </w:tcPr>
          <w:p>
            <w:pPr>
              <w:spacing w:after="0"/>
              <w:rPr>
                <w:sz w:val="13"/>
                <w:szCs w:val="13"/>
                <w:color w:val="auto"/>
              </w:rPr>
            </w:pPr>
          </w:p>
        </w:tc>
      </w:tr>
      <w:tr>
        <w:trPr>
          <w:trHeight w:val="218"/>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6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r>
      <w:tr>
        <w:trPr>
          <w:trHeight w:val="20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886,232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718,477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167,755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23.3 %</w:t>
            </w:r>
          </w:p>
        </w:tc>
      </w:tr>
      <w:tr>
        <w:trPr>
          <w:trHeight w:val="207"/>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660" w:type="dxa"/>
            <w:vAlign w:val="bottom"/>
          </w:tcPr>
          <w:p>
            <w:pPr>
              <w:spacing w:after="0"/>
              <w:rPr>
                <w:sz w:val="17"/>
                <w:szCs w:val="17"/>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269,962</w:t>
            </w:r>
          </w:p>
        </w:tc>
        <w:tc>
          <w:tcPr>
            <w:tcW w:w="26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252,117</w:t>
            </w:r>
          </w:p>
        </w:tc>
        <w:tc>
          <w:tcPr>
            <w:tcW w:w="240" w:type="dxa"/>
            <w:vAlign w:val="bottom"/>
          </w:tcPr>
          <w:p>
            <w:pPr>
              <w:spacing w:after="0"/>
              <w:rPr>
                <w:sz w:val="17"/>
                <w:szCs w:val="17"/>
                <w:color w:val="auto"/>
              </w:rPr>
            </w:pP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17,845</w:t>
            </w:r>
          </w:p>
        </w:tc>
        <w:tc>
          <w:tcPr>
            <w:tcW w:w="15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7.1</w:t>
            </w:r>
          </w:p>
        </w:tc>
      </w:tr>
      <w:tr>
        <w:trPr>
          <w:trHeight w:val="207"/>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4,356</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6,242</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(1,886)</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(30.2)</w:t>
            </w:r>
          </w:p>
        </w:tc>
      </w:tr>
      <w:tr>
        <w:trPr>
          <w:trHeight w:val="200"/>
        </w:trPr>
        <w:tc>
          <w:tcPr>
            <w:tcW w:w="3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1,160,550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976,836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183,714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18.8 %</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9"/>
        </w:trPr>
        <w:tc>
          <w:tcPr>
            <w:tcW w:w="378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r>
      <w:tr>
        <w:trPr>
          <w:trHeight w:val="207"/>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*Includes international net sales of:</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216,142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191,665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24,477</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12.8 %</w:t>
            </w: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500" w:type="dxa"/>
            <w:vAlign w:val="bottom"/>
            <w:tcBorders>
              <w:bottom w:val="single" w:sz="8" w:color="auto"/>
            </w:tcBorders>
          </w:tcPr>
          <w:p>
            <w:pPr>
              <w:spacing w:after="0"/>
              <w:rPr>
                <w:sz w:val="18"/>
                <w:szCs w:val="18"/>
                <w:color w:val="auto"/>
              </w:rPr>
            </w:pPr>
          </w:p>
        </w:tc>
      </w:tr>
      <w:tr>
        <w:trPr>
          <w:trHeight w:val="150"/>
        </w:trPr>
        <w:tc>
          <w:tcPr>
            <w:tcW w:w="3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500"/>
              <w:spacing w:after="0" w:line="150"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00" w:type="dxa"/>
            <w:vAlign w:val="bottom"/>
          </w:tcPr>
          <w:p>
            <w:pPr>
              <w:spacing w:after="0"/>
              <w:rPr>
                <w:sz w:val="13"/>
                <w:szCs w:val="13"/>
                <w:color w:val="auto"/>
              </w:rPr>
            </w:pPr>
          </w:p>
        </w:tc>
      </w:tr>
      <w:tr>
        <w:trPr>
          <w:trHeight w:val="218"/>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r>
      <w:tr>
        <w:trPr>
          <w:trHeight w:val="20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2,484,927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2,197,058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287,869</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13.1 %</w:t>
            </w:r>
          </w:p>
        </w:tc>
      </w:tr>
      <w:tr>
        <w:trPr>
          <w:trHeight w:val="207"/>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66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845,039</w:t>
            </w:r>
          </w:p>
        </w:tc>
        <w:tc>
          <w:tcPr>
            <w:tcW w:w="24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784,852</w:t>
            </w:r>
          </w:p>
        </w:tc>
        <w:tc>
          <w:tcPr>
            <w:tcW w:w="240" w:type="dxa"/>
            <w:vAlign w:val="bottom"/>
          </w:tcPr>
          <w:p>
            <w:pPr>
              <w:spacing w:after="0"/>
              <w:rPr>
                <w:sz w:val="17"/>
                <w:szCs w:val="17"/>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60,187</w:t>
            </w:r>
          </w:p>
        </w:tc>
        <w:tc>
          <w:tcPr>
            <w:tcW w:w="15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7.7</w:t>
            </w:r>
          </w:p>
        </w:tc>
      </w:tr>
      <w:tr>
        <w:trPr>
          <w:trHeight w:val="207"/>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12,712</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17,019</w:t>
            </w: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(4,307)</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(25.3)</w:t>
            </w:r>
          </w:p>
        </w:tc>
      </w:tr>
      <w:tr>
        <w:trPr>
          <w:trHeight w:val="200"/>
        </w:trPr>
        <w:tc>
          <w:tcPr>
            <w:tcW w:w="3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3,342,678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2,998,929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343,749</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11.5 %</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9"/>
        </w:trPr>
        <w:tc>
          <w:tcPr>
            <w:tcW w:w="378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r>
      <w:tr>
        <w:trPr>
          <w:trHeight w:val="207"/>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*Includes international net sales of:</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656,799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638,921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17,878</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segment earnings for our reportable business segments and operating (loss) for our Other activities: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00" w:type="dxa"/>
            <w:vAlign w:val="bottom"/>
            <w:tcBorders>
              <w:bottom w:val="single" w:sz="8" w:color="auto"/>
            </w:tcBorders>
          </w:tcPr>
          <w:p>
            <w:pPr>
              <w:spacing w:after="0"/>
              <w:rPr>
                <w:sz w:val="18"/>
                <w:szCs w:val="18"/>
                <w:color w:val="auto"/>
              </w:rPr>
            </w:pPr>
          </w:p>
        </w:tc>
      </w:tr>
      <w:tr>
        <w:trPr>
          <w:trHeight w:val="150"/>
        </w:trPr>
        <w:tc>
          <w:tcPr>
            <w:tcW w:w="3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500"/>
              <w:spacing w:after="0" w:line="150"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00" w:type="dxa"/>
            <w:vAlign w:val="bottom"/>
          </w:tcPr>
          <w:p>
            <w:pPr>
              <w:spacing w:after="0"/>
              <w:rPr>
                <w:sz w:val="13"/>
                <w:szCs w:val="13"/>
                <w:color w:val="auto"/>
              </w:rPr>
            </w:pPr>
          </w:p>
        </w:tc>
      </w:tr>
      <w:tr>
        <w:trPr>
          <w:trHeight w:val="218"/>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9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r>
      <w:tr>
        <w:trPr>
          <w:trHeight w:val="20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166,191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122,331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43,860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35.9 %</w:t>
            </w:r>
          </w:p>
        </w:tc>
      </w:tr>
      <w:tr>
        <w:trPr>
          <w:trHeight w:val="207"/>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9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26,348</w:t>
            </w:r>
          </w:p>
        </w:tc>
        <w:tc>
          <w:tcPr>
            <w:tcW w:w="24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31,548</w:t>
            </w:r>
          </w:p>
        </w:tc>
        <w:tc>
          <w:tcPr>
            <w:tcW w:w="220" w:type="dxa"/>
            <w:vAlign w:val="bottom"/>
          </w:tcPr>
          <w:p>
            <w:pPr>
              <w:spacing w:after="0"/>
              <w:rPr>
                <w:sz w:val="17"/>
                <w:szCs w:val="17"/>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(5,200)</w:t>
            </w:r>
          </w:p>
        </w:tc>
        <w:tc>
          <w:tcPr>
            <w:tcW w:w="15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(16.5)</w:t>
            </w:r>
          </w:p>
        </w:tc>
      </w:tr>
      <w:tr>
        <w:trPr>
          <w:trHeight w:val="207"/>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9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(35,448)</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(36,428)</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980</w:t>
            </w: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r>
      <w:tr>
        <w:trPr>
          <w:trHeight w:val="200"/>
        </w:trPr>
        <w:tc>
          <w:tcPr>
            <w:tcW w:w="3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segment earnings</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157,091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117,451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39,640</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33.8 %</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500" w:type="dxa"/>
            <w:vAlign w:val="bottom"/>
            <w:tcBorders>
              <w:bottom w:val="single" w:sz="8" w:color="auto"/>
            </w:tcBorders>
          </w:tcPr>
          <w:p>
            <w:pPr>
              <w:spacing w:after="0"/>
              <w:rPr>
                <w:sz w:val="18"/>
                <w:szCs w:val="18"/>
                <w:color w:val="auto"/>
              </w:rPr>
            </w:pPr>
          </w:p>
        </w:tc>
      </w:tr>
      <w:tr>
        <w:trPr>
          <w:trHeight w:val="150"/>
        </w:trPr>
        <w:tc>
          <w:tcPr>
            <w:tcW w:w="3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center"/>
              <w:ind w:right="180"/>
              <w:spacing w:after="0" w:line="150"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00" w:type="dxa"/>
            <w:vAlign w:val="bottom"/>
          </w:tcPr>
          <w:p>
            <w:pPr>
              <w:spacing w:after="0"/>
              <w:rPr>
                <w:sz w:val="13"/>
                <w:szCs w:val="13"/>
                <w:color w:val="auto"/>
              </w:rPr>
            </w:pPr>
          </w:p>
        </w:tc>
      </w:tr>
      <w:tr>
        <w:trPr>
          <w:trHeight w:val="218"/>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9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Value Change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r>
      <w:tr>
        <w:trPr>
          <w:trHeight w:val="20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424,833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406,279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center"/>
              <w:ind w:left="520"/>
              <w:spacing w:after="0"/>
              <w:rPr>
                <w:sz w:val="20"/>
                <w:szCs w:val="20"/>
                <w:color w:val="auto"/>
              </w:rPr>
            </w:pPr>
            <w:r>
              <w:rPr>
                <w:rFonts w:ascii="Times New Roman" w:cs="Times New Roman" w:eastAsia="Times New Roman" w:hAnsi="Times New Roman"/>
                <w:sz w:val="16"/>
                <w:szCs w:val="16"/>
                <w:color w:val="auto"/>
                <w:w w:val="95"/>
              </w:rPr>
              <w:t>18,554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07"/>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9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95,203</w:t>
            </w:r>
          </w:p>
        </w:tc>
        <w:tc>
          <w:tcPr>
            <w:tcW w:w="240" w:type="dxa"/>
            <w:vAlign w:val="bottom"/>
          </w:tcPr>
          <w:p>
            <w:pPr>
              <w:spacing w:after="0"/>
              <w:rPr>
                <w:sz w:val="17"/>
                <w:szCs w:val="17"/>
                <w:color w:val="auto"/>
              </w:rPr>
            </w:pPr>
          </w:p>
        </w:tc>
        <w:tc>
          <w:tcPr>
            <w:tcW w:w="12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109,642</w:t>
            </w:r>
          </w:p>
        </w:tc>
        <w:tc>
          <w:tcPr>
            <w:tcW w:w="220" w:type="dxa"/>
            <w:vAlign w:val="bottom"/>
          </w:tcPr>
          <w:p>
            <w:pPr>
              <w:spacing w:after="0"/>
              <w:rPr>
                <w:sz w:val="17"/>
                <w:szCs w:val="17"/>
                <w:color w:val="auto"/>
              </w:rPr>
            </w:pPr>
          </w:p>
        </w:tc>
        <w:tc>
          <w:tcPr>
            <w:tcW w:w="134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8"/>
              </w:rPr>
              <w:t>(14,439)</w:t>
            </w:r>
          </w:p>
        </w:tc>
        <w:tc>
          <w:tcPr>
            <w:tcW w:w="15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(13.2)</w:t>
            </w:r>
          </w:p>
        </w:tc>
      </w:tr>
      <w:tr>
        <w:trPr>
          <w:trHeight w:val="207"/>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9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(110,742)</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(85,401)</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center"/>
              <w:ind w:left="480"/>
              <w:spacing w:after="0"/>
              <w:rPr>
                <w:sz w:val="20"/>
                <w:szCs w:val="20"/>
                <w:color w:val="auto"/>
              </w:rPr>
            </w:pPr>
            <w:r>
              <w:rPr>
                <w:rFonts w:ascii="Times New Roman" w:cs="Times New Roman" w:eastAsia="Times New Roman" w:hAnsi="Times New Roman"/>
                <w:sz w:val="16"/>
                <w:szCs w:val="16"/>
                <w:color w:val="auto"/>
                <w:w w:val="98"/>
              </w:rPr>
              <w:t>(25,341)</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(29.7)</w:t>
            </w:r>
          </w:p>
        </w:tc>
      </w:tr>
      <w:tr>
        <w:trPr>
          <w:trHeight w:val="200"/>
        </w:trPr>
        <w:tc>
          <w:tcPr>
            <w:tcW w:w="3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segment earnings</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409,294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430,520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center"/>
              <w:ind w:left="480"/>
              <w:spacing w:after="0"/>
              <w:rPr>
                <w:sz w:val="20"/>
                <w:szCs w:val="20"/>
                <w:color w:val="auto"/>
              </w:rPr>
            </w:pPr>
            <w:r>
              <w:rPr>
                <w:rFonts w:ascii="Times New Roman" w:cs="Times New Roman" w:eastAsia="Times New Roman" w:hAnsi="Times New Roman"/>
                <w:sz w:val="16"/>
                <w:szCs w:val="16"/>
                <w:color w:val="auto"/>
                <w:w w:val="98"/>
              </w:rPr>
              <w:t>(21,226)</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Professional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Worldwide net sales for our Professional segment for the third quarter of fiscal 2022 increased 23.3 percent compared to the third quarter of fiscal 2021. The increase was driven primarily by net price realization, increased shipments of zero-turn and stand-on mowers, and incremental revenue from our acquisition of Intimidator, partially offset by lower volume in certain key</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product categories due to product availability constraints. Worldwide net sales for our Professional segment for the year-to-date period of fiscal 2022 increased 13.1 percent compared to the same period of fiscal 2021. The increase was driven primarily by net price realization and incremental revenue from our acquisition of Intimidator, partially offset by lower volume in certain key product categories due to product availability constraints.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Professional segment earnings for the third quarter of fiscal 2022 increased 35.9 percent compared to the third quarter of fiscal 2021, and Professional segment earnings margin increased to 18.8 percent from 17.0 percent in the third quarter of fiscal 2021. The increase in Professional segment earnings margin was primarily due to net price realization, productivity improvements and net sales leverage, partially offset by higher material, freight and manufacturing costs, and the addition of the Intimidator Group at a lower initial earnings margin than the segment average. Professional segment earnings for the year-to-date period of fiscal 2022 increased 4.6 percent compared to the same period of fiscal 2021, and Professional segment earnings margin decreased to 17.1 percent from 18.5 percent in the year-to-date period of fiscal 2021. The decrease in Professional segment earnings margin was largely due to higher material, freight and manufacturing costs, and the addition of the Intimidator Group at a lower initial earnings margin than the segment average, partially offset by net price realization and productivity improvements.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Residential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Worldwide net sales for our Residential segment for the third quarter of fiscal 2022 increased 7.1 percent compared to the third quarter of fiscal 2021. Worldwide net sales for our Residential segment for the year-to-date period of fiscal 2022 increased 7.7 percent compared to the same period of fiscal 2021. The increases in Residential segment net sales for both the third quarter and year-to-date periods of 2022 were primarily driven by net price realization and higher shipments of zero-turn riding mowers and snow products, partially offset by lower sales of walk-power mowers and portable-power products.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Residential segment earnings for the third quarter of fiscal 2022 decreased 16.5 percent compared to the third quarter of fiscal 2021, and Residential segment earnings margin decreased to 9.8 percent from 12.5 percent in the third quarter of fiscal 2021. Residential segment earnings for the year-to-date period of fiscal 2022 decreased 13.2 percent compared to the same period of fiscal 2021, and Residential segment earnings margin decreased to 11.3 percent from 14.0 percent in the year-to-date period of fiscal 2021. The decreases in Residential segment earnings margin for both the third quarter and year-to-date periods of fiscal 2022 were largely driven by higher material, freight and manufacturing costs, partially offset by increased price realization, productivity improvements and favorable product mix.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Net Sales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Net sales for our Other activities included sales from our wholly-owned domestic distribution company less sales from the Professional and Residential segments to the distribution company. Net sales for our Other activities in the third quarter of fiscal 2022 decreased by $1.9 million compared to the same period in fiscal 2021. This decline was due to increased intercompany sales eliminations for sales from our Professional and Residential segments to our wholly-owned domestic distribution company.</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sales for our Other activities in the year-to-date period of fiscal 2022 decreased by $4.3 million compared to the same period in fiscal 2021. This year-to-date decrease was due to lower sales from our wholly-owned domestic distribution company due to product availability limitations, partially offset by reduced intercompany sales eliminations for sales from our Professional and Residential segments to our wholly-owned domestic distribution company.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Loss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operating loss for our Other activities for the third quarter of fiscal 2022 decreased $1.0 million compared to the third quarter of fiscal 2021 and was primarily due to an unfavorable fiscal 2021 legal settlement related to a series of ongoing patent infringement disputes which did not recur in fiscal 2022, partially offset by higher interest expense driven by incremental borrowing to fund the Intimidator acquisition.</w:t>
      </w:r>
    </w:p>
    <w:p>
      <w:pPr>
        <w:spacing w:after="0" w:line="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operating loss for our Other activities for the year-to-date period of fiscal 2022 increased $25.3 million compared to the same period in fiscal 2021. The increased year-to-date operating loss was primarily due to a favorable net legal settlement with BGG that was recognized in fiscal 2021 and did not repeat in fiscal 2022, lower intercompany cost eliminations related to sales from our Professional and Residential segments to our wholly-owned domestic distribution company, and higher interest expense driven by incremental borrowing to fund the Intimidator acquisition, partially offset by an unfavorable fiscal 2021 legal settlement related to a series of ongoing patent infringement disputes which did not recur in fiscal 2022.</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POSITION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Given the challenging macroeconomic environment that has created supply chain disruption and more specifically, resulted in challenging conditions for sourcing adequate amounts of certain commodity and component parts inventory and, in certain cases, the inability of our suppliers to meet our commodity and component parts demand requirements, our working capital strategy continues to place primary emphasis on procuring key commodities and components when available in an attempt to maintain requisite inventory levels to meet our anticipated production requirements, avoid manufacturing delays, and meet the anticipated continued strong demand for our products, as well as attempting to ensure service parts availability for our customers. Accounts receivable as of the end of the third quarter of fiscal 2022 increased $49.4 million, or 16.4 percent, compared to the end of the third quarter of fiscal 2021, primarily driven by higher International sales, as well as a higher receivable from our Red Iron joint venture as a result of increased sales financed under the joint venture near quarter-end. Inventory levels were up $273.6 million, or 41.1 percent, as of the third quarter of fiscal 2022 compared to the third quarter of fiscal 2021, primarily due to higher finished goods, work-in-process and parts inventory driven by increased costs resulting from inflation, constrained component supply which limited finished product assembly, and incremental inventories as a result of our acquisition of Intimidator. Accounts payable increased $75.6 million, or 18.4 percent, as of the end of the third quarter of fiscal 2022 compared to the end of the third quarter of fiscal 2021, mainly due to higher purchases and the impact of inflation on the cost of commodities, component parts, and other purchased goods and services.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Cash provided by operating activities for the first nine months of fiscal 2022 was $154.6 million compared to cash provided by operating activities for the first nine months of fiscal 2021 of $477.1 million. This decrease in cash provided by operating activities was primarily due to more cash consumed within inventory due to increased costs resulting from inflation and constrained component supply which limited finished product assembly, in addition to more cash used to satisfy accounts payable and accrued liabilities that remained outstanding as of October 31, 2021 as a result of normalized spending patterns and timing of invoice payments near the end of fiscal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Cash used in investing activities increased $409.9 million during the first nine months of fiscal 2022 compared to the first nine months of fiscal 2021. This increase was primarily due to more cash used for the acquisition of Intimidator and higher purchases of property, plant and equipment.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Cash provided by financing activities for the first nine months of fiscal 2022 was $162.7 million compared to cash used in financing activities for the first nine months of fiscal 2021 of $351.2 million. This increase in cash provided by financing activities was mainly due to higher net borrowings.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or other third-party financial institutions. Because of this seasonality, our accounts receivable balance has historically increased between January and April as a result of typically higher sales volumes and extended payment terms made available to our customers, and have typically decreased between May and December when payments are received. However, as a result of COVID-19 and the challenging macroeconomic environment that has created supply chain disruption, our accounts receivable pattern has not followed historical patterns during fiscal 2022 and fiscal 2021 because our sales cadence has been driven more by our ability to produce product than historical demand patterns and seasonality. We currently expect this trend to continue throughout the remainder of fiscal 2022.</w:t>
      </w:r>
    </w:p>
    <w:p>
      <w:pPr>
        <w:spacing w:after="0" w:line="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generally fund cash requirements for working capital needs, capital expenditures, contractual obligations, acquisitions, investments, debt repayments, interest payments, quarterly cash dividend payments, and common stock repurchases, all as applicable, through cash provided by operating activities, availability under our revolving credit facility, and in certain instances, other forms of financing arrangements. Our revolving credit facility has been adequate for these purposes, although we have negotiated and completed additional financing arrangements as needed to allow us to complete acquisitions or for other corporate purposes. We currently believe that our existing liquidity position, including the funds available through existing, and potential future, financing arrangements and forecasted cash flows from operations will be sufficient to provide the necessary capital resources for our anticipated working capital needs, capital expenditures, investments, contingent consideration payments, debt repayments, interest payments, quarterly cash dividend payments, and common stock repurchases, all as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applicable, for at least the next twelve months. As of July 29, 2022, we had available liquidity of $763.3 million, consisting of cash and cash equivalents of $231.6 million, of which $121.5 million was held by our foreign subsidiaries, and availability under our revolving credit facility of $531.7 million.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debt arrangements are described in further detail within our most recently filed Annual Report on Form 10-K for the fiscal year ended October 31, 2021. The following is a summary of our indebtedness: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0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0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$600 million revolving credit facility, due October 2026</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 million term loan, due April 2022</w:t>
            </w:r>
          </w:p>
        </w:tc>
        <w:tc>
          <w:tcPr>
            <w:tcW w:w="10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million term loan, due April 2024</w:t>
            </w:r>
          </w:p>
        </w:tc>
        <w:tc>
          <w:tcPr>
            <w:tcW w:w="10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$270 million term loan, due October 2026</w:t>
            </w:r>
          </w:p>
        </w:tc>
        <w:tc>
          <w:tcPr>
            <w:tcW w:w="10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270,000</w:t>
            </w: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million term loan, due April 2027</w:t>
            </w:r>
          </w:p>
        </w:tc>
        <w:tc>
          <w:tcPr>
            <w:tcW w:w="10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0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0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0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0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0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124,086</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124,024</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124,040</w:t>
            </w:r>
          </w:p>
        </w:tc>
      </w:tr>
      <w:tr>
        <w:trPr>
          <w:trHeight w:val="207"/>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discounts, debt issuance costs, and deferred charges</w:t>
            </w:r>
          </w:p>
        </w:tc>
        <w:tc>
          <w:tcPr>
            <w:tcW w:w="10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3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r>
      <w:tr>
        <w:trPr>
          <w:trHeight w:val="200"/>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10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1,055,616</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691,562</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691,242</w:t>
            </w:r>
          </w:p>
        </w:tc>
      </w:tr>
      <w:tr>
        <w:trPr>
          <w:trHeight w:val="207"/>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0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3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104,217</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990,616</w:t>
            </w: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587,345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691,242</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June 30, 2022, we issued $100.0 million of 3.97% senior notes pursuant to a private placement note purchase agreement and used the proceeds to pay down certain of our outstanding borrowings incurred in connection with our January 2022 acquisition of Intimidator and borrowed under our revolving credit facility. These senior notes mature on June 30, 2032.</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April 27, 2022, we entered into a $200.0 million term loan agreement for the purpose of paying down certain of our outstanding borrowings incurred in connection with our January 2022 acquisition of Intimidator and borrowed under our revolving credit facility. The entire $200.0 million available under the agreement was funded on April 27, 2022, and matures on April 27, 2027.</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of July 29, 2022, we had $65.0 million of outstanding borrowings under our revolving credit facility, primarily as a result of the amount drawn to fund the purchase price of our acquisition of Intimidator, and $3.3 million outstanding under the sublimit for standby letters of credit, which resulted in $531.7 million of unutilized availability under the revolving credit facility. Typically, our revolving credit facility is classified as long-term debt within the Condensed Consolidated Balance Sheets as we have the ability to extend the outstanding borrowings under the revolving credit facility for the full-term of the facility. However, if we intend to prepay a portion of the outstanding balance under the revolving credit facility within the next twelve months, we reclassify the portion of outstanding borrowings under the revolving credit facility that we intend to repay within the next twelve months to current portion of long-term debt within the Condensed Consolidated Balance Sheets. As of July 29, 2022, we reclassified $65.0 million of outstanding borrowings under the revolving credit facility to current portion of long-term debt within the Condensed Consolidated Balance Sheets as we currently intend to repay this amount within the next twelve months.</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July 29, 2022, we were in compliance with all covenants related to our financing arrangements and were not limited in the amount for payments of cash dividends and common stock repurchases. We expect to be in compliance with all covenants related to our financing arrangements during the remainder of fiscal 2022. If we were out of compliance with any covenant required by our financing arrangements following the applicable cure period, our term loan facility, long-term senior notes, debentures, and any amounts outstanding under the revolving credit facility could become due and payable if we were unable to obtain a covenant waiver or refinance our borrowings under our financing arrangements.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Dividends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Board of Directors approved a cash dividend of $0.30 per share for the third quarter of fiscal 2022 that was paid on July 13, 2022. This was an increase of 14.3 percent over our cash dividend of $0.2625 per share for the third quarter of fiscal 2021. We currently expect to continue paying our quarterly cash dividend to shareholders for the remainder of fiscal 2022.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During the first nine months of fiscal 2022, we repurchased 1,187,304 shares of our common stock in the open market under our Board authorized repurchase program, thereby reducing our total shares outstanding. As of July 29, 2022, 2,865,158 shares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remained available for repurchase under our Board authorized repurchase program. We currently expect to continue repurchasing shares of our common stock throughout the remainder of fiscal 2022, depending on our cash balance, debt repayments, market conditions, our anticipated working capital needs, the price of our common stock, and/or other factors.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Financing Arrangements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customer financing arrangements, including both wholesale financing and end-user financing arrangements, are described in further detail within our most recently filed Annual Report on Form 10-K for the fiscal year ended October 31, 2021. There have been no material changes to our end-user customer financing arrangements during the first nine months of fiscal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Wholesale Financing</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are party to a joint venture with a subsidiary of The Huntington National Bank, established as Red Iron, the primary purpose of which is to provide inventory financing to certain distributors and dealers of certain of our products in the U.S. that enables them to carry representative inventories of certain of our products. The net amount of receivables financed for dealers and distributors under this arrangement for the nine month periods ended July 29, 2022 and July 30, 2021 was $1,886.1 million and $1,733.0 million, respectively.</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Under a separate agreement, TCF Commercial Finance Canada, Inc. ("TCFCFC") provides inventory financing to dealers of certain of our products in Canada. We also have floor plan financing agreements with other third-party financial institutions to provide floor plan financing to certain dealers and distributors not financed through Red Iron or TCFCFC, which include agreements with third-party financial institutions in the U.S. and internationally. These third-party financial institutions and TCFCFC financed $458.9 million and $323.2 million of receivables for such dealers and distributors during the nine month periods ended July 29, 2022 and July 30, 2021, respectively. As of July 29, 2022 and July 30, 2021, $205.1 million and $129.7 million, respectively, of receivables financed by the third-party financing companies and TCFCFC, excluding Red Iron, were outstanding.</w:t>
      </w:r>
    </w:p>
    <w:p>
      <w:pPr>
        <w:spacing w:after="0" w:line="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entered into a limited inventory repurchase agreement with Red Iron and TCFCFC. Under such limited inventory repurchase agreement, we have agreed to repurchase products repossessed by Red Iron and TCFCFC, up to a maximum aggregate amount of $7.5 million in a calendar year. Additionally, as a result of our floor plan financing agreements with the separate third-party financial institutions, we have also entered into inventory repurchase agreements with the separate third-party financial institutions. Under such inventory repurchase agreements, we have agreed to repurchase products repossessed by the separate third-party financial institutions. As of July 29, 2022 and July 30, 2021, we were contingently liable to repurchase up to a maximum amount of $79.9 million and $93.8 million, respectively, of inventory related to receivables under these inventory repurchase agreements. Our financial exposure under these inventory repurchase agreements is limited to the difference between the amount paid to Red Iron or other third-party financing institutions for repurchases of inventory and the amount received upon subsequent resale of the repossessed product. We have repurchased immaterial amounts of inventory pursuant to such arrangements during the nine month periods ended July 29, 2022 and July 30, 2021.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provided non-GAAP financial measures, which are not calculated or presented in accordance with U.S. GAAP, as information supplemental and in addition to the most directly comparable financial measures presented in this Quarterly Report on Form 10-Q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Performance Measures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following table provides a reconciliation of the non-GAAP financial performance measures used in this report to the most directly comparable measures calculated and reported in accordance with U.S. GAAP for the three and nine month periods ended July 29, 2022 and July 30, 2021:</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3"/>
          </w:tcPr>
          <w:p>
            <w:pPr>
              <w:jc w:val="right"/>
              <w:ind w:right="80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3"/>
          </w:tcPr>
          <w:p>
            <w:pPr>
              <w:jc w:val="right"/>
              <w:ind w:right="82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1"/>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data)</w:t>
            </w:r>
          </w:p>
        </w:tc>
        <w:tc>
          <w:tcPr>
            <w:tcW w:w="1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July 30, 2021</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July 30, 2021</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399,906</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331,117</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1,105,751</w:t>
            </w:r>
          </w:p>
        </w:tc>
        <w:tc>
          <w:tcPr>
            <w:tcW w:w="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1,049,106</w:t>
            </w:r>
          </w:p>
        </w:tc>
      </w:tr>
      <w:tr>
        <w:trPr>
          <w:trHeight w:val="207"/>
        </w:trPr>
        <w:tc>
          <w:tcPr>
            <w:tcW w:w="3980" w:type="dxa"/>
            <w:vAlign w:val="bottom"/>
            <w:tcBorders>
              <w:bottom w:val="single" w:sz="8" w:color="auto"/>
            </w:tcBorders>
          </w:tcPr>
          <w:p>
            <w:pPr>
              <w:ind w:left="140"/>
              <w:spacing w:after="0" w:line="207"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0"/>
                <w:szCs w:val="20"/>
                <w:color w:val="auto"/>
                <w:vertAlign w:val="superscript"/>
              </w:rPr>
              <w:t>1</w:t>
            </w:r>
          </w:p>
        </w:tc>
        <w:tc>
          <w:tcPr>
            <w:tcW w:w="1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401</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1,425</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3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400,307</w:t>
            </w:r>
          </w:p>
        </w:tc>
        <w:tc>
          <w:tcPr>
            <w:tcW w:w="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331,117</w:t>
            </w:r>
          </w:p>
        </w:tc>
        <w:tc>
          <w:tcPr>
            <w:tcW w:w="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1,107,176</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1,049,106</w:t>
            </w:r>
          </w:p>
        </w:tc>
      </w:tr>
      <w:tr>
        <w:trPr>
          <w:trHeight w:val="86"/>
        </w:trPr>
        <w:tc>
          <w:tcPr>
            <w:tcW w:w="39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r>
      <w:tr>
        <w:trPr>
          <w:trHeight w:val="20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earnings</w:t>
            </w: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163,048</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121,939</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425,251</w:t>
            </w:r>
          </w:p>
        </w:tc>
        <w:tc>
          <w:tcPr>
            <w:tcW w:w="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444,120</w:t>
            </w:r>
          </w:p>
        </w:tc>
      </w:tr>
      <w:tr>
        <w:trPr>
          <w:trHeight w:val="207"/>
        </w:trPr>
        <w:tc>
          <w:tcPr>
            <w:tcW w:w="3980" w:type="dxa"/>
            <w:vAlign w:val="bottom"/>
          </w:tcPr>
          <w:p>
            <w:pPr>
              <w:ind w:left="140"/>
              <w:spacing w:after="0" w:line="207"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0"/>
                <w:szCs w:val="20"/>
                <w:color w:val="auto"/>
                <w:vertAlign w:val="superscript"/>
              </w:rPr>
              <w:t>1</w:t>
            </w:r>
          </w:p>
        </w:tc>
        <w:tc>
          <w:tcPr>
            <w:tcW w:w="1160" w:type="dxa"/>
            <w:vAlign w:val="bottom"/>
          </w:tcPr>
          <w:p>
            <w:pPr>
              <w:spacing w:after="0"/>
              <w:rPr>
                <w:sz w:val="17"/>
                <w:szCs w:val="17"/>
                <w:color w:val="auto"/>
              </w:rPr>
            </w:pPr>
          </w:p>
        </w:tc>
        <w:tc>
          <w:tcPr>
            <w:tcW w:w="1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704</w:t>
            </w:r>
          </w:p>
        </w:tc>
        <w:tc>
          <w:tcPr>
            <w:tcW w:w="26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3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3,456</w:t>
            </w:r>
          </w:p>
        </w:tc>
        <w:tc>
          <w:tcPr>
            <w:tcW w:w="26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980" w:type="dxa"/>
            <w:vAlign w:val="bottom"/>
            <w:tcBorders>
              <w:bottom w:val="single" w:sz="8" w:color="auto"/>
            </w:tcBorders>
            <w:shd w:val="clear" w:color="auto" w:fill="CCEEFF"/>
          </w:tcPr>
          <w:p>
            <w:pPr>
              <w:ind w:left="140"/>
              <w:spacing w:after="0" w:line="207" w:lineRule="exact"/>
              <w:rPr>
                <w:sz w:val="20"/>
                <w:szCs w:val="20"/>
                <w:color w:val="auto"/>
              </w:rPr>
            </w:pPr>
            <w:r>
              <w:rPr>
                <w:rFonts w:ascii="Times New Roman" w:cs="Times New Roman" w:eastAsia="Times New Roman" w:hAnsi="Times New Roman"/>
                <w:sz w:val="16"/>
                <w:szCs w:val="16"/>
                <w:color w:val="auto"/>
              </w:rPr>
              <w:t>Litigation settlement, net</w:t>
            </w:r>
            <w:r>
              <w:rPr>
                <w:rFonts w:ascii="Times New Roman" w:cs="Times New Roman" w:eastAsia="Times New Roman" w:hAnsi="Times New Roman"/>
                <w:sz w:val="20"/>
                <w:szCs w:val="20"/>
                <w:color w:val="auto"/>
                <w:vertAlign w:val="superscript"/>
              </w:rPr>
              <w:t>2</w:t>
            </w:r>
          </w:p>
        </w:tc>
        <w:tc>
          <w:tcPr>
            <w:tcW w:w="1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5,750</w:t>
            </w:r>
          </w:p>
        </w:tc>
        <w:tc>
          <w:tcPr>
            <w:tcW w:w="2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(11,325)</w:t>
            </w:r>
          </w:p>
        </w:tc>
      </w:tr>
      <w:tr>
        <w:trPr>
          <w:trHeight w:val="197"/>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operating earnings</w:t>
            </w:r>
          </w:p>
        </w:tc>
        <w:tc>
          <w:tcPr>
            <w:tcW w:w="11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163,752</w:t>
            </w:r>
          </w:p>
        </w:tc>
        <w:tc>
          <w:tcPr>
            <w:tcW w:w="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127,689</w:t>
            </w:r>
          </w:p>
        </w:tc>
        <w:tc>
          <w:tcPr>
            <w:tcW w:w="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428,707</w:t>
            </w:r>
          </w:p>
        </w:tc>
        <w:tc>
          <w:tcPr>
            <w:tcW w:w="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432,795</w:t>
            </w:r>
          </w:p>
        </w:tc>
      </w:tr>
      <w:tr>
        <w:trPr>
          <w:trHeight w:val="86"/>
        </w:trPr>
        <w:tc>
          <w:tcPr>
            <w:tcW w:w="398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132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r>
      <w:tr>
        <w:trPr>
          <w:trHeight w:val="197"/>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157,091</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117,451</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409,294</w:t>
            </w:r>
          </w:p>
        </w:tc>
        <w:tc>
          <w:tcPr>
            <w:tcW w:w="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430,520</w:t>
            </w:r>
          </w:p>
        </w:tc>
      </w:tr>
      <w:tr>
        <w:trPr>
          <w:trHeight w:val="210"/>
        </w:trPr>
        <w:tc>
          <w:tcPr>
            <w:tcW w:w="3980" w:type="dxa"/>
            <w:vAlign w:val="bottom"/>
            <w:shd w:val="clear" w:color="auto" w:fill="CCEEFF"/>
          </w:tcPr>
          <w:p>
            <w:pPr>
              <w:ind w:left="140"/>
              <w:spacing w:after="0" w:line="209"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0"/>
                <w:szCs w:val="20"/>
                <w:color w:val="auto"/>
                <w:vertAlign w:val="superscript"/>
              </w:rPr>
              <w:t>1</w:t>
            </w: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704</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3,456</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980" w:type="dxa"/>
            <w:vAlign w:val="bottom"/>
            <w:tcBorders>
              <w:bottom w:val="single" w:sz="8" w:color="auto"/>
            </w:tcBorders>
          </w:tcPr>
          <w:p>
            <w:pPr>
              <w:ind w:left="140"/>
              <w:spacing w:after="0" w:line="207" w:lineRule="exact"/>
              <w:rPr>
                <w:sz w:val="20"/>
                <w:szCs w:val="20"/>
                <w:color w:val="auto"/>
              </w:rPr>
            </w:pPr>
            <w:r>
              <w:rPr>
                <w:rFonts w:ascii="Times New Roman" w:cs="Times New Roman" w:eastAsia="Times New Roman" w:hAnsi="Times New Roman"/>
                <w:sz w:val="16"/>
                <w:szCs w:val="16"/>
                <w:color w:val="auto"/>
              </w:rPr>
              <w:t>Litigation settlement, net</w:t>
            </w:r>
            <w:r>
              <w:rPr>
                <w:rFonts w:ascii="Times New Roman" w:cs="Times New Roman" w:eastAsia="Times New Roman" w:hAnsi="Times New Roman"/>
                <w:sz w:val="20"/>
                <w:szCs w:val="20"/>
                <w:color w:val="auto"/>
                <w:vertAlign w:val="superscript"/>
              </w:rPr>
              <w:t>2</w:t>
            </w:r>
          </w:p>
        </w:tc>
        <w:tc>
          <w:tcPr>
            <w:tcW w:w="1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5,750</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(11,325)</w:t>
            </w:r>
          </w:p>
        </w:tc>
      </w:tr>
      <w:tr>
        <w:trPr>
          <w:trHeight w:val="197"/>
        </w:trPr>
        <w:tc>
          <w:tcPr>
            <w:tcW w:w="3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before income taxes</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157,795</w:t>
            </w:r>
          </w:p>
        </w:tc>
        <w:tc>
          <w:tcPr>
            <w:tcW w:w="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123,201</w:t>
            </w:r>
          </w:p>
        </w:tc>
        <w:tc>
          <w:tcPr>
            <w:tcW w:w="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412,750</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419,195</w:t>
            </w:r>
          </w:p>
        </w:tc>
      </w:tr>
      <w:tr>
        <w:trPr>
          <w:trHeight w:val="86"/>
        </w:trPr>
        <w:tc>
          <w:tcPr>
            <w:tcW w:w="39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r>
      <w:tr>
        <w:trPr>
          <w:trHeight w:val="20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125,150</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96,320</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325,785</w:t>
            </w:r>
          </w:p>
        </w:tc>
        <w:tc>
          <w:tcPr>
            <w:tcW w:w="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349,772</w:t>
            </w:r>
          </w:p>
        </w:tc>
      </w:tr>
      <w:tr>
        <w:trPr>
          <w:trHeight w:val="207"/>
        </w:trPr>
        <w:tc>
          <w:tcPr>
            <w:tcW w:w="3980" w:type="dxa"/>
            <w:vAlign w:val="bottom"/>
          </w:tcPr>
          <w:p>
            <w:pPr>
              <w:ind w:left="140"/>
              <w:spacing w:after="0" w:line="207"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0"/>
                <w:szCs w:val="20"/>
                <w:color w:val="auto"/>
                <w:vertAlign w:val="superscript"/>
              </w:rPr>
              <w:t>1</w:t>
            </w:r>
          </w:p>
        </w:tc>
        <w:tc>
          <w:tcPr>
            <w:tcW w:w="1160" w:type="dxa"/>
            <w:vAlign w:val="bottom"/>
          </w:tcPr>
          <w:p>
            <w:pPr>
              <w:spacing w:after="0"/>
              <w:rPr>
                <w:sz w:val="17"/>
                <w:szCs w:val="17"/>
                <w:color w:val="auto"/>
              </w:rPr>
            </w:pPr>
          </w:p>
        </w:tc>
        <w:tc>
          <w:tcPr>
            <w:tcW w:w="1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561</w:t>
            </w:r>
          </w:p>
        </w:tc>
        <w:tc>
          <w:tcPr>
            <w:tcW w:w="26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3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2,740</w:t>
            </w:r>
          </w:p>
        </w:tc>
        <w:tc>
          <w:tcPr>
            <w:tcW w:w="26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980" w:type="dxa"/>
            <w:vAlign w:val="bottom"/>
            <w:shd w:val="clear" w:color="auto" w:fill="CCEEFF"/>
          </w:tcPr>
          <w:p>
            <w:pPr>
              <w:ind w:left="140"/>
              <w:spacing w:after="0" w:line="207" w:lineRule="exact"/>
              <w:rPr>
                <w:sz w:val="20"/>
                <w:szCs w:val="20"/>
                <w:color w:val="auto"/>
              </w:rPr>
            </w:pPr>
            <w:r>
              <w:rPr>
                <w:rFonts w:ascii="Times New Roman" w:cs="Times New Roman" w:eastAsia="Times New Roman" w:hAnsi="Times New Roman"/>
                <w:sz w:val="16"/>
                <w:szCs w:val="16"/>
                <w:color w:val="auto"/>
              </w:rPr>
              <w:t>Litigation settlement, net</w:t>
            </w:r>
            <w:r>
              <w:rPr>
                <w:rFonts w:ascii="Times New Roman" w:cs="Times New Roman" w:eastAsia="Times New Roman" w:hAnsi="Times New Roman"/>
                <w:sz w:val="20"/>
                <w:szCs w:val="20"/>
                <w:color w:val="auto"/>
                <w:vertAlign w:val="superscript"/>
              </w:rPr>
              <w:t>2</w:t>
            </w: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4,525</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(8,947)</w:t>
            </w:r>
          </w:p>
        </w:tc>
      </w:tr>
      <w:tr>
        <w:trPr>
          <w:trHeight w:val="207"/>
        </w:trPr>
        <w:tc>
          <w:tcPr>
            <w:tcW w:w="3980" w:type="dxa"/>
            <w:vAlign w:val="bottom"/>
            <w:tcBorders>
              <w:bottom w:val="single" w:sz="8" w:color="auto"/>
            </w:tcBorders>
          </w:tcPr>
          <w:p>
            <w:pPr>
              <w:ind w:left="140"/>
              <w:spacing w:after="0" w:line="207"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0"/>
                <w:szCs w:val="20"/>
                <w:color w:val="auto"/>
                <w:vertAlign w:val="superscript"/>
              </w:rPr>
              <w:t>3</w:t>
            </w:r>
          </w:p>
        </w:tc>
        <w:tc>
          <w:tcPr>
            <w:tcW w:w="1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(581)</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(1,397)</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(1,568)</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(7,846)</w:t>
            </w:r>
          </w:p>
        </w:tc>
      </w:tr>
      <w:tr>
        <w:trPr>
          <w:trHeight w:val="222"/>
        </w:trPr>
        <w:tc>
          <w:tcPr>
            <w:tcW w:w="3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earnings</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125,130</w:t>
            </w:r>
          </w:p>
        </w:tc>
        <w:tc>
          <w:tcPr>
            <w:tcW w:w="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99,448</w:t>
            </w:r>
          </w:p>
        </w:tc>
        <w:tc>
          <w:tcPr>
            <w:tcW w:w="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326,957</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332,979</w:t>
            </w: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39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diluted share</w:t>
            </w: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1.19</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0.89</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3.08</w:t>
            </w:r>
          </w:p>
        </w:tc>
        <w:tc>
          <w:tcPr>
            <w:tcW w:w="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3.21</w:t>
            </w:r>
          </w:p>
        </w:tc>
      </w:tr>
      <w:tr>
        <w:trPr>
          <w:trHeight w:val="207"/>
        </w:trPr>
        <w:tc>
          <w:tcPr>
            <w:tcW w:w="3980" w:type="dxa"/>
            <w:vAlign w:val="bottom"/>
          </w:tcPr>
          <w:p>
            <w:pPr>
              <w:ind w:left="140"/>
              <w:spacing w:after="0" w:line="207"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0"/>
                <w:szCs w:val="20"/>
                <w:color w:val="auto"/>
                <w:vertAlign w:val="superscript"/>
              </w:rPr>
              <w:t>1</w:t>
            </w:r>
          </w:p>
        </w:tc>
        <w:tc>
          <w:tcPr>
            <w:tcW w:w="1160" w:type="dxa"/>
            <w:vAlign w:val="bottom"/>
          </w:tcPr>
          <w:p>
            <w:pPr>
              <w:spacing w:after="0"/>
              <w:rPr>
                <w:sz w:val="17"/>
                <w:szCs w:val="17"/>
                <w:color w:val="auto"/>
              </w:rPr>
            </w:pPr>
          </w:p>
        </w:tc>
        <w:tc>
          <w:tcPr>
            <w:tcW w:w="1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0.01</w:t>
            </w:r>
          </w:p>
        </w:tc>
        <w:tc>
          <w:tcPr>
            <w:tcW w:w="26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3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0.03</w:t>
            </w:r>
          </w:p>
        </w:tc>
        <w:tc>
          <w:tcPr>
            <w:tcW w:w="26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980" w:type="dxa"/>
            <w:vAlign w:val="bottom"/>
            <w:shd w:val="clear" w:color="auto" w:fill="CCEEFF"/>
          </w:tcPr>
          <w:p>
            <w:pPr>
              <w:ind w:left="140"/>
              <w:spacing w:after="0" w:line="207" w:lineRule="exact"/>
              <w:rPr>
                <w:sz w:val="20"/>
                <w:szCs w:val="20"/>
                <w:color w:val="auto"/>
              </w:rPr>
            </w:pPr>
            <w:r>
              <w:rPr>
                <w:rFonts w:ascii="Times New Roman" w:cs="Times New Roman" w:eastAsia="Times New Roman" w:hAnsi="Times New Roman"/>
                <w:sz w:val="16"/>
                <w:szCs w:val="16"/>
                <w:color w:val="auto"/>
              </w:rPr>
              <w:t>Litigation settlement, net</w:t>
            </w:r>
            <w:r>
              <w:rPr>
                <w:rFonts w:ascii="Times New Roman" w:cs="Times New Roman" w:eastAsia="Times New Roman" w:hAnsi="Times New Roman"/>
                <w:sz w:val="20"/>
                <w:szCs w:val="20"/>
                <w:color w:val="auto"/>
                <w:vertAlign w:val="superscript"/>
              </w:rPr>
              <w:t>2</w:t>
            </w: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0.04</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(0.08)</w:t>
            </w:r>
          </w:p>
        </w:tc>
      </w:tr>
      <w:tr>
        <w:trPr>
          <w:trHeight w:val="207"/>
        </w:trPr>
        <w:tc>
          <w:tcPr>
            <w:tcW w:w="3980" w:type="dxa"/>
            <w:vAlign w:val="bottom"/>
            <w:tcBorders>
              <w:bottom w:val="single" w:sz="8" w:color="auto"/>
            </w:tcBorders>
          </w:tcPr>
          <w:p>
            <w:pPr>
              <w:ind w:left="140"/>
              <w:spacing w:after="0" w:line="207"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0"/>
                <w:szCs w:val="20"/>
                <w:color w:val="auto"/>
                <w:vertAlign w:val="superscript"/>
              </w:rPr>
              <w:t>3</w:t>
            </w:r>
          </w:p>
        </w:tc>
        <w:tc>
          <w:tcPr>
            <w:tcW w:w="1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(0.01)</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(0.01)</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(0.02)</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(0.07)</w:t>
            </w:r>
          </w:p>
        </w:tc>
      </w:tr>
      <w:tr>
        <w:trPr>
          <w:trHeight w:val="222"/>
        </w:trPr>
        <w:tc>
          <w:tcPr>
            <w:tcW w:w="3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earnings per diluted share</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1.19</w:t>
            </w:r>
          </w:p>
        </w:tc>
        <w:tc>
          <w:tcPr>
            <w:tcW w:w="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0.92</w:t>
            </w:r>
          </w:p>
        </w:tc>
        <w:tc>
          <w:tcPr>
            <w:tcW w:w="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3.09</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3.06</w:t>
            </w: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39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r>
      <w:tr>
        <w:trPr>
          <w:trHeight w:val="207"/>
        </w:trPr>
        <w:tc>
          <w:tcPr>
            <w:tcW w:w="3980" w:type="dxa"/>
            <w:vAlign w:val="bottom"/>
            <w:tcBorders>
              <w:bottom w:val="single" w:sz="8" w:color="auto"/>
            </w:tcBorders>
          </w:tcPr>
          <w:p>
            <w:pPr>
              <w:ind w:left="140"/>
              <w:spacing w:after="0" w:line="207"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0"/>
                <w:szCs w:val="20"/>
                <w:color w:val="auto"/>
                <w:vertAlign w:val="superscript"/>
              </w:rPr>
              <w:t>3</w:t>
            </w:r>
          </w:p>
        </w:tc>
        <w:tc>
          <w:tcPr>
            <w:tcW w:w="1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22"/>
        </w:trPr>
        <w:tc>
          <w:tcPr>
            <w:tcW w:w="3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effective tax rate</w:t>
            </w:r>
          </w:p>
        </w:tc>
        <w:tc>
          <w:tcPr>
            <w:tcW w:w="1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20.6 %</w:t>
            </w: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left="240" w:right="160" w:hanging="159"/>
        <w:spacing w:after="0" w:line="247" w:lineRule="auto"/>
        <w:tabs>
          <w:tab w:leader="none" w:pos="24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On January 13, 2022, we completed our acquisition of Intimidator. Acquisition-related costs for the three month period ended July 29, 2022 represent integration costs and acquisition-related costs for the nine month period ended July 29, 2022 represent transaction and integration costs incurred in connection with the acquisition. No acquisition-related costs were incurred during the three and nine month periods ended July 30, 2021. For additional information regarding the acquisition of Intimidator, refer to Note 2, </w:t>
      </w:r>
      <w:r>
        <w:rPr>
          <w:rFonts w:ascii="Times New Roman" w:cs="Times New Roman" w:eastAsia="Times New Roman" w:hAnsi="Times New Roman"/>
          <w:sz w:val="14"/>
          <w:szCs w:val="14"/>
          <w:i w:val="1"/>
          <w:iCs w:val="1"/>
          <w:color w:val="auto"/>
        </w:rPr>
        <w:t>Business Combinations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Asset Acquisitions</w:t>
      </w:r>
      <w:r>
        <w:rPr>
          <w:rFonts w:ascii="Times New Roman" w:cs="Times New Roman" w:eastAsia="Times New Roman" w:hAnsi="Times New Roman"/>
          <w:sz w:val="14"/>
          <w:szCs w:val="14"/>
          <w:color w:val="auto"/>
        </w:rPr>
        <w:t>, within the Notes to Condensed Consolidated Financial Statements included within Part I, Item 1 of this Quarterly Report on Form 10-Q.</w:t>
      </w:r>
    </w:p>
    <w:p>
      <w:pPr>
        <w:spacing w:after="0" w:line="91" w:lineRule="exact"/>
        <w:rPr>
          <w:sz w:val="20"/>
          <w:szCs w:val="20"/>
          <w:color w:val="auto"/>
        </w:rPr>
      </w:pPr>
    </w:p>
    <w:p>
      <w:pPr>
        <w:jc w:val="both"/>
        <w:ind w:left="240" w:right="160" w:hanging="159"/>
        <w:spacing w:after="0" w:line="259" w:lineRule="auto"/>
        <w:tabs>
          <w:tab w:leader="none" w:pos="316"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On November 19, 2020, Exmark Manufacturing Company Incorporated ("Exmark"), a wholly-owned subsidiary of TTC,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The Settlement Agreement provided, among other things, that upon approval by the bankruptcy court, and such approval becoming final and nonappealable, BGG agreed to pay Exmark $33.65 million ("Settlement Amount").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we recognized in selling, general and administrative expense within the Condensed Consolidated Statements of Earnings during the first quarter of fiscal 2021 (i) the gain associated with the Infringement Action and (ii) a corresponding expense related to the contingent fee arrangement with our external legal counsel customary in patent infringement cases equal to approximately 50 percent of the Settlement Amount. Additionally, during the third quarter of fiscal 2021, we recorded a charge related to a legal settlement for a series of ongoing patent infringement disputes within selling, general and administrative expense in the Condensed Consolidated Statements of Earnings. Accordingly, litigation settlements, net represents the charge incurred for the settlement of the patent infringement disputes for the three month period ended July 30, 2021. Litigation settlements, net for the nine month period ended July 30, 2021 represents the net amount recorded for the settlement of the Infringement Action, as well as the charge incurred for the settlement of the patent infringement disputes. No amounts were recorded for litigation settlement, net during the three and nine month periods ended July 29, 2022. Refer to Note 14,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within the Notes to Condensed Consolidated Financial Statements included within Part I, Item 1 of this Quarterly Report on Form 10-Q for additional information regarding the settlement of the Infringement Action.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240" w:right="160" w:hanging="159"/>
        <w:spacing w:after="0" w:line="234" w:lineRule="auto"/>
        <w:tabs>
          <w:tab w:leader="none" w:pos="266"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nine month periods ended July 29, 2022 and July 30, 2021.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Liquidity Measures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define free cash flow as net cash provided by operating activities less purchases of property, plant and equipment. Free cash flow conversion percentage represents free cash flow as a percentage of net earnings. We consider free cash flow and free cash flow conversion percentage to be non-GAAP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Condensed Consolidated Balance Sheets, after reinvesting in necessary capital expenditures required to maintain and grow our business. The following table provides a reconciliation of non-GAAP free cash flow and free cash flow conversion percentage to net cash provided by operating activities, which is the most directly comparable financial measure calculated and reported in accordance with U.S. GAAP, for the nine month periods ended July 29, 2022 and July 30, 2021:</w:t>
      </w:r>
    </w:p>
    <w:p>
      <w:pPr>
        <w:spacing w:after="0" w:line="113"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0"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5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5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July 29, 2022</w:t>
            </w:r>
          </w:p>
        </w:tc>
        <w:tc>
          <w:tcPr>
            <w:tcW w:w="2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July 30, 2021</w:t>
            </w:r>
          </w:p>
        </w:tc>
      </w:tr>
      <w:tr>
        <w:trPr>
          <w:trHeight w:val="20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5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154,563</w:t>
            </w:r>
          </w:p>
        </w:tc>
        <w:tc>
          <w:tcPr>
            <w:tcW w:w="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477,135</w:t>
            </w:r>
          </w:p>
        </w:tc>
      </w:tr>
      <w:tr>
        <w:trPr>
          <w:trHeight w:val="204"/>
        </w:trPr>
        <w:tc>
          <w:tcPr>
            <w:tcW w:w="5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Purchases of property, plant and equipment</w:t>
            </w:r>
          </w:p>
        </w:tc>
        <w:tc>
          <w:tcPr>
            <w:tcW w:w="25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75,772</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47,961</w:t>
            </w:r>
          </w:p>
        </w:tc>
      </w:tr>
      <w:tr>
        <w:trPr>
          <w:trHeight w:val="20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25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78,791</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429,174</w:t>
            </w:r>
          </w:p>
        </w:tc>
      </w:tr>
      <w:tr>
        <w:trPr>
          <w:trHeight w:val="204"/>
        </w:trPr>
        <w:tc>
          <w:tcPr>
            <w:tcW w:w="5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5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325,785</w:t>
            </w:r>
          </w:p>
        </w:tc>
        <w:tc>
          <w:tcPr>
            <w:tcW w:w="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349,772</w:t>
            </w:r>
          </w:p>
        </w:tc>
      </w:tr>
      <w:tr>
        <w:trPr>
          <w:trHeight w:val="225"/>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 conversion percentage</w:t>
            </w:r>
          </w:p>
        </w:tc>
        <w:tc>
          <w:tcPr>
            <w:tcW w:w="2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24.2 %</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122.7 %</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There have been no material changes to our critical accounting policies and estimates since our most recent Annual Report on Form 10-K for the fiscal year ended October 31, 2021. Refer to Part II, Item 7, "Management’s Discussion and Analysis of Financial Condition and Results of Operations", and Part II, Item 8, Note 1, </w:t>
      </w:r>
      <w:r>
        <w:rPr>
          <w:rFonts w:ascii="Times New Roman" w:cs="Times New Roman" w:eastAsia="Times New Roman" w:hAnsi="Times New Roman"/>
          <w:sz w:val="17"/>
          <w:szCs w:val="17"/>
          <w:i w:val="1"/>
          <w:iCs w:val="1"/>
          <w:color w:val="auto"/>
        </w:rPr>
        <w:t>Summary of Significant Accounting Policies and Related Data</w:t>
      </w:r>
      <w:r>
        <w:rPr>
          <w:rFonts w:ascii="Times New Roman" w:cs="Times New Roman" w:eastAsia="Times New Roman" w:hAnsi="Times New Roman"/>
          <w:sz w:val="17"/>
          <w:szCs w:val="17"/>
          <w:color w:val="auto"/>
        </w:rPr>
        <w:t>, within our Annual Report on Form 10-K for the fiscal year ended October 31, 2021 for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discussion of our critical accounting policies and estimates.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 QUANTITATIVE AND QUALITATIVE DISCLOSURES ABOUT MARKET RISK</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2021. Refer to Part II, Item 7A, "Quantitative and Qualitative Disclosures about Market Risk", within our Annual Report on Form 10-K for the fiscal year ended October 31, 2021 for a complete discussion of our market risk. Refer below for further discussion on foreign currency exchange rate risk, interest rate risk, and commodity cost risk.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To reduce our exposure to foreign currency exchange rate risk, we enter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see Note 16, </w:t>
      </w:r>
      <w:r>
        <w:rPr>
          <w:rFonts w:ascii="Times New Roman" w:cs="Times New Roman" w:eastAsia="Times New Roman" w:hAnsi="Times New Roman"/>
          <w:sz w:val="17"/>
          <w:szCs w:val="17"/>
          <w:i w:val="1"/>
          <w:iCs w:val="1"/>
          <w:color w:val="auto"/>
        </w:rPr>
        <w:t>Derivative Instruments and Hedging Activities</w:t>
      </w:r>
      <w:r>
        <w:rPr>
          <w:rFonts w:ascii="Times New Roman" w:cs="Times New Roman" w:eastAsia="Times New Roman" w:hAnsi="Times New Roman"/>
          <w:sz w:val="17"/>
          <w:szCs w:val="17"/>
          <w:color w:val="auto"/>
        </w:rPr>
        <w:t>, in our Notes to Condensed Consolidated Financial Statements included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foreign currency exchange contracts in the table below have maturity dates in fiscal 2022 through fiscal 2024. All items are non-trading and stated in U.S. dollars. As of July 29, 2022, the average contracted rate, notional amount, fair value, and the gain at fair value of outstanding derivative instruments were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8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Average Contracted</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18"/>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 except average contracted rate)</w:t>
            </w:r>
          </w:p>
        </w:tc>
        <w:tc>
          <w:tcPr>
            <w:tcW w:w="2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Notional Amount</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Gain at Fair Value</w:t>
            </w:r>
          </w:p>
        </w:tc>
      </w:tr>
      <w:tr>
        <w:trPr>
          <w:trHeight w:val="20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Australian dollar</w:t>
            </w:r>
          </w:p>
        </w:tc>
        <w:tc>
          <w:tcPr>
            <w:tcW w:w="2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0.7256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107,346</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111,413</w:t>
            </w:r>
          </w:p>
        </w:tc>
        <w:tc>
          <w:tcPr>
            <w:tcW w:w="6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w:t>
            </w: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Canadian dollar</w:t>
            </w:r>
          </w:p>
        </w:tc>
        <w:tc>
          <w:tcPr>
            <w:tcW w:w="2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1.2690</w:t>
            </w:r>
          </w:p>
        </w:tc>
        <w:tc>
          <w:tcPr>
            <w:tcW w:w="16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39,630</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40,019</w:t>
            </w: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r>
      <w:tr>
        <w:trPr>
          <w:trHeight w:val="20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Euro</w:t>
            </w:r>
          </w:p>
        </w:tc>
        <w:tc>
          <w:tcPr>
            <w:tcW w:w="2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1.1520</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148,624</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162,606</w:t>
            </w: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13,982</w:t>
            </w: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British pound</w:t>
            </w:r>
          </w:p>
        </w:tc>
        <w:tc>
          <w:tcPr>
            <w:tcW w:w="2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1.3037</w:t>
            </w:r>
          </w:p>
        </w:tc>
        <w:tc>
          <w:tcPr>
            <w:tcW w:w="16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41,419</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44,009</w:t>
            </w: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w:t>
            </w:r>
          </w:p>
        </w:tc>
      </w:tr>
      <w:tr>
        <w:trPr>
          <w:trHeight w:val="207"/>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Mexican peso/Sell U.S. dollar</w:t>
            </w:r>
          </w:p>
        </w:tc>
        <w:tc>
          <w:tcPr>
            <w:tcW w:w="2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22.3550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41,644</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42,939</w:t>
            </w:r>
          </w:p>
        </w:tc>
        <w:tc>
          <w:tcPr>
            <w:tcW w:w="60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Our interest rate risk relates primarily to fluctuations in variable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July 29, 2022 includes $524.1 million of gross fixed-rate long-term debt that is not subject to variable interest rate fluctuations, $470.0 million of gross variable rate debt under our term loan credit agreements, and $65.0 million outstanding on our variable rate revolving credit facility.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Cost Risk</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as a result of inflation; deflation; changing prices; foreign currency fluctuations; tariffs; duties; trade regulatory actions; industry actions; the inability of suppliers to absorb incremental costs resulting from COVID-19 related inefficiencies, continue operations or otherwise remain in business as a result of COVID-19, financial difficulties, or otherwise; and changes to international trade policies, agreements, and/or regulation and competitor activity, including antidumping and countervailing duties on certain products imported from foreign countries, including certain engines imported into the U.S. from China.</w:t>
      </w:r>
    </w:p>
    <w:p>
      <w:pPr>
        <w:spacing w:after="0" w:line="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for commodities, components, parts, and accessories are generally for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any given period, we strategically work to mitigate any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or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 In the first nine months of fiscal 2022, the average cost of commodities, components, parts, and accessories purchased, including the impact of inflation and tariff costs, was higher compared to the average cost of commodities, components, parts, and accessories purchased in the first nine months of fiscal 2021. We anticipate that the average cost of commodities, components, parts, and accessories purchased, including the impact of inflation and tariff costs, for the remainder of fiscal 2022 will continue to be higher than the average costs experienced during the comparable period of fiscal 2021.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management evaluated, with the participation of our Chairman of the Board, President and Chief Executive Officer and our Vice President, Chief Financial Officer, the effectiveness of the design and operation of our disclosure controls and procedures as of the end of the period covered by this Quarterly Report on Form 10-Q. Based on that evaluation, our Chairman of the Board, President and Chief Executive Officer and our Vice President,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President and Chief Executive Officer and Vice President, Chief Financial Officer, as appropriate, to allow timely decisions regarding required disclosures.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January 13, 2022, during the first quarter of fiscal 2022, we completed the acquisition of Intimidator. Prior to this acquisition, Intimidator was a privately-held company not subject to the Sarbanes-Oxley Act of 2002, the rules and regulations of the SEC, or other corporate governance requirements to which public companies may be subject. In accordance with guidance issued by the SEC, companies are permitted to exclude acquisitions from their final assessment of internal control over financial reporting during the year of acquisition. As part of our ongoing integration activities, we are in the process of incorporating internal controls over significant processes specific to Intimidator that we believe are appropriate and necessary to account for the acquisition and to consolidate and report our financial results. We expect to complete our integration activities related to internal control over financial reporting for Intimidator during fiscal 2023. Accordingly, we do not expect to include Intimidator within our assessment of internal control over financial reporting as of October 31, 2022.</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With the exception of internal control related integration activities associated with our acquisition of Intimidator, there was no change in our internal control over financial reporting that occurred during the three month period ended July 29, 2022 that has materially affected, or is reasonably likely to materially affect, our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LEGAL PROCEEDINGS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and employment-related disputes, and patent litigation cases. For a description of our material legal proceedings, see Note 14,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in our Notes to Condensed Consolidated Financial Statements under the headings titled "Litigation" and "Litigation Settlement" included in Part I, Item 1 of this Quarterly Report on Form 10-Q, which is incorporated into this Part II, Item 1 by reference.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 RISK FACTORS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 with the exception of the addition of the following risk factor:</w:t>
      </w:r>
    </w:p>
    <w:p>
      <w:pPr>
        <w:spacing w:after="0" w:line="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acquisition of Intimidator involves a number of risks, the occurrence of which could adversely affect our business, financial condition, and results of operations.</w:t>
      </w:r>
    </w:p>
    <w:p>
      <w:pPr>
        <w:spacing w:after="0" w:line="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On January 13, 2022, we acquired privately-held Intimidator. The acquisition involves certain risks, the occurrence of which could adversely affect our business, financial condition, and results of operations, including:</w:t>
      </w:r>
    </w:p>
    <w:p>
      <w:pPr>
        <w:spacing w:after="0" w:line="48" w:lineRule="exact"/>
        <w:rPr>
          <w:sz w:val="20"/>
          <w:szCs w:val="20"/>
          <w:color w:val="auto"/>
        </w:rPr>
      </w:pPr>
    </w:p>
    <w:p>
      <w:pPr>
        <w:ind w:left="620" w:hanging="307"/>
        <w:spacing w:after="0" w:line="264"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Intimidator may have undisclosed, contingent, or other liabilities and we may not be able to recover some of the costs and expenses associated with these liabilities from insurance we obtained to cover breaches of representations and warranties or from indemnities in the equity agreement;</w:t>
      </w: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events occurring after the acquisition could result in costs and expenses that we cannot recover from the sellers or third-party sources;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our policies and procedures at Intimidator could be more costly than we anticipated and may be disruptive to Intimidator's operations;</w:t>
      </w:r>
    </w:p>
    <w:p>
      <w:pPr>
        <w:spacing w:after="0" w:line="1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to integrate Intimidator's business and operations and/or reallocation of amounts of capital from our other strategic initiatives;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to our existing operations and plans or inability to effectively manage our expanded operations;</w:t>
      </w:r>
    </w:p>
    <w:p>
      <w:pPr>
        <w:spacing w:after="0" w:line="1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difficulties, or delays in securing, integrating, and assimilating information, financial systems, internal controls, operations, manufacturing processes, products, or the distribution channel for Intimidator's businesses and product lines;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loss of key Intimidator employees, suppliers, customers, or dealers or other adverse effects on existing business relationships with suppliers, customers, and dealers;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impact on overall profitability if our expanded operations do not achieve the growth prospects, net sales, earnings, cost or revenue synergies, or other financial results projected in our valuation models, or delays in the realization thereof;</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incorrect estimates made in the accounting for the acquisition or the potential write-off of significant amounts of goodwill, intangible assets, and/or other tangible assets if the Intimidator business does not perform in the future as expected;</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 of our borrowing capacity under our existing unsecured senior revolving credit facility and the increase in our leverage and debt service requirements could restrict our ability to access additional capital when needed or to pursue other important elements of our business strategy because we financed a portion of the acquisition and related transaction expenses with borrowings under our existing unsecured senior revolving credit facility; and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mentioned in our most recently filed Annual Report on Form 10-K, Part 1, Item 1A, "Risk Factors".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p>
      <w:pPr>
        <w:spacing w:after="0" w:line="115"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shares of the company's common stock purchased by the company during each of the three fiscal months in the company's third quarter ended July 29,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Borders>
              <w:top w:val="single" w:sz="8" w:color="auto"/>
            </w:tcBorders>
          </w:tcPr>
          <w:p>
            <w:pPr>
              <w:spacing w:after="0"/>
              <w:rPr>
                <w:sz w:val="14"/>
                <w:szCs w:val="14"/>
                <w:color w:val="auto"/>
              </w:rPr>
            </w:pPr>
          </w:p>
        </w:tc>
        <w:tc>
          <w:tcPr>
            <w:tcW w:w="26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1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Maximum Number of</w:t>
            </w: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(or Units)</w:t>
            </w: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80" w:type="dxa"/>
            <w:vAlign w:val="bottom"/>
          </w:tcPr>
          <w:p>
            <w:pPr>
              <w:spacing w:after="0"/>
              <w:rPr>
                <w:sz w:val="14"/>
                <w:szCs w:val="14"/>
                <w:color w:val="auto"/>
              </w:rPr>
            </w:pPr>
          </w:p>
        </w:tc>
        <w:tc>
          <w:tcPr>
            <w:tcW w:w="2660" w:type="dxa"/>
            <w:vAlign w:val="bottom"/>
            <w:vMerge w:val="restart"/>
          </w:tcPr>
          <w:p>
            <w:pPr>
              <w:jc w:val="center"/>
              <w:ind w:left="108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20" w:type="dxa"/>
            <w:vAlign w:val="bottom"/>
          </w:tcPr>
          <w:p>
            <w:pPr>
              <w:spacing w:after="0"/>
              <w:rPr>
                <w:sz w:val="14"/>
                <w:szCs w:val="14"/>
                <w:color w:val="auto"/>
              </w:rPr>
            </w:pPr>
          </w:p>
        </w:tc>
        <w:tc>
          <w:tcPr>
            <w:tcW w:w="1000" w:type="dxa"/>
            <w:vAlign w:val="bottom"/>
          </w:tcPr>
          <w:p>
            <w:pPr>
              <w:jc w:val="center"/>
              <w:ind w:right="100"/>
              <w:spacing w:after="0" w:line="168"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18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Purchased As</w:t>
            </w:r>
          </w:p>
        </w:tc>
        <w:tc>
          <w:tcPr>
            <w:tcW w:w="18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Shares (or Units) that</w:t>
            </w: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8"/>
              </w:rPr>
              <w:t>Price Paid</w:t>
            </w:r>
          </w:p>
        </w:tc>
        <w:tc>
          <w:tcPr>
            <w:tcW w:w="1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Part of Publicly</w:t>
            </w:r>
          </w:p>
        </w:tc>
        <w:tc>
          <w:tcPr>
            <w:tcW w:w="18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May Yet Be Purchased</w:t>
            </w: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2660" w:type="dxa"/>
            <w:vAlign w:val="bottom"/>
          </w:tcPr>
          <w:p>
            <w:pPr>
              <w:jc w:val="center"/>
              <w:ind w:left="1080"/>
              <w:spacing w:after="0" w:line="155" w:lineRule="exact"/>
              <w:rPr>
                <w:sz w:val="20"/>
                <w:szCs w:val="20"/>
                <w:color w:val="auto"/>
              </w:rPr>
            </w:pPr>
            <w:r>
              <w:rPr>
                <w:rFonts w:ascii="Times New Roman" w:cs="Times New Roman" w:eastAsia="Times New Roman" w:hAnsi="Times New Roman"/>
                <w:sz w:val="16"/>
                <w:szCs w:val="16"/>
                <w:b w:val="1"/>
                <w:bCs w:val="1"/>
                <w:color w:val="auto"/>
                <w:w w:val="97"/>
              </w:rPr>
              <w:t>Shares (or Units)</w:t>
            </w:r>
          </w:p>
        </w:tc>
        <w:tc>
          <w:tcPr>
            <w:tcW w:w="220" w:type="dxa"/>
            <w:vAlign w:val="bottom"/>
          </w:tcPr>
          <w:p>
            <w:pPr>
              <w:spacing w:after="0"/>
              <w:rPr>
                <w:sz w:val="13"/>
                <w:szCs w:val="13"/>
                <w:color w:val="auto"/>
              </w:rPr>
            </w:pPr>
          </w:p>
        </w:tc>
        <w:tc>
          <w:tcPr>
            <w:tcW w:w="1000" w:type="dxa"/>
            <w:vAlign w:val="bottom"/>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8"/>
              </w:rPr>
              <w:t>per Share</w:t>
            </w:r>
          </w:p>
        </w:tc>
        <w:tc>
          <w:tcPr>
            <w:tcW w:w="1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Announced Plans or</w:t>
            </w:r>
          </w:p>
        </w:tc>
        <w:tc>
          <w:tcPr>
            <w:tcW w:w="18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2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660" w:type="dxa"/>
            <w:vAlign w:val="bottom"/>
            <w:tcBorders>
              <w:bottom w:val="single" w:sz="8" w:color="auto"/>
            </w:tcBorders>
          </w:tcPr>
          <w:p>
            <w:pPr>
              <w:jc w:val="center"/>
              <w:ind w:left="1100"/>
              <w:spacing w:after="0" w:line="220" w:lineRule="exact"/>
              <w:rPr>
                <w:sz w:val="20"/>
                <w:szCs w:val="20"/>
                <w:color w:val="auto"/>
              </w:rPr>
            </w:pPr>
            <w:r>
              <w:rPr>
                <w:rFonts w:ascii="Times New Roman" w:cs="Times New Roman" w:eastAsia="Times New Roman" w:hAnsi="Times New Roman"/>
                <w:sz w:val="16"/>
                <w:szCs w:val="16"/>
                <w:b w:val="1"/>
                <w:bCs w:val="1"/>
                <w:color w:val="auto"/>
                <w:w w:val="94"/>
              </w:rPr>
              <w:t>Purchased</w:t>
            </w:r>
            <w:r>
              <w:rPr>
                <w:rFonts w:ascii="Times New Roman" w:cs="Times New Roman" w:eastAsia="Times New Roman" w:hAnsi="Times New Roman"/>
                <w:sz w:val="20"/>
                <w:szCs w:val="20"/>
                <w:b w:val="1"/>
                <w:bCs w:val="1"/>
                <w:color w:val="auto"/>
                <w:w w:val="94"/>
                <w:vertAlign w:val="superscript"/>
              </w:rPr>
              <w:t>1,2</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(or Unit)</w:t>
            </w:r>
          </w:p>
        </w:tc>
        <w:tc>
          <w:tcPr>
            <w:tcW w:w="186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0"/>
                <w:szCs w:val="20"/>
                <w:b w:val="1"/>
                <w:bCs w:val="1"/>
                <w:color w:val="auto"/>
                <w:w w:val="96"/>
                <w:vertAlign w:val="superscript"/>
              </w:rPr>
              <w:t>1</w:t>
            </w:r>
          </w:p>
        </w:tc>
        <w:tc>
          <w:tcPr>
            <w:tcW w:w="18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20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30, 2022 through June 3, 2022</w:t>
            </w:r>
          </w:p>
        </w:tc>
        <w:tc>
          <w:tcPr>
            <w:tcW w:w="26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3,313,830</w:t>
            </w:r>
          </w:p>
        </w:tc>
        <w:tc>
          <w:tcPr>
            <w:tcW w:w="0" w:type="dxa"/>
            <w:vAlign w:val="bottom"/>
          </w:tcPr>
          <w:p>
            <w:pPr>
              <w:spacing w:after="0"/>
              <w:rPr>
                <w:sz w:val="1"/>
                <w:szCs w:val="1"/>
                <w:color w:val="auto"/>
              </w:rPr>
            </w:pPr>
          </w:p>
        </w:tc>
      </w:tr>
      <w:tr>
        <w:trPr>
          <w:trHeight w:val="20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4, 2022 through July 1, 2022</w:t>
            </w:r>
          </w:p>
        </w:tc>
        <w:tc>
          <w:tcPr>
            <w:tcW w:w="2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191,772</w:t>
            </w:r>
          </w:p>
        </w:tc>
        <w:tc>
          <w:tcPr>
            <w:tcW w:w="220" w:type="dxa"/>
            <w:vAlign w:val="bottom"/>
          </w:tcPr>
          <w:p>
            <w:pPr>
              <w:spacing w:after="0"/>
              <w:rPr>
                <w:sz w:val="17"/>
                <w:szCs w:val="17"/>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78.24</w:t>
            </w:r>
          </w:p>
        </w:tc>
        <w:tc>
          <w:tcPr>
            <w:tcW w:w="1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191,772</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3,122,058</w:t>
            </w:r>
          </w:p>
        </w:tc>
        <w:tc>
          <w:tcPr>
            <w:tcW w:w="0" w:type="dxa"/>
            <w:vAlign w:val="bottom"/>
          </w:tcPr>
          <w:p>
            <w:pPr>
              <w:spacing w:after="0"/>
              <w:rPr>
                <w:sz w:val="1"/>
                <w:szCs w:val="1"/>
                <w:color w:val="auto"/>
              </w:rPr>
            </w:pPr>
          </w:p>
        </w:tc>
      </w:tr>
      <w:tr>
        <w:trPr>
          <w:trHeight w:val="207"/>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2, 2022 through July 29, 2022</w:t>
            </w:r>
          </w:p>
        </w:tc>
        <w:tc>
          <w:tcPr>
            <w:tcW w:w="26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258,366</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77.85</w:t>
            </w:r>
          </w:p>
        </w:tc>
        <w:tc>
          <w:tcPr>
            <w:tcW w:w="18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256,900</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2,865,158</w:t>
            </w:r>
          </w:p>
        </w:tc>
        <w:tc>
          <w:tcPr>
            <w:tcW w:w="0" w:type="dxa"/>
            <w:vAlign w:val="bottom"/>
          </w:tcPr>
          <w:p>
            <w:pPr>
              <w:spacing w:after="0"/>
              <w:rPr>
                <w:sz w:val="1"/>
                <w:szCs w:val="1"/>
                <w:color w:val="auto"/>
              </w:rPr>
            </w:pPr>
          </w:p>
        </w:tc>
      </w:tr>
      <w:tr>
        <w:trPr>
          <w:trHeight w:val="20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450,138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78.02</w:t>
            </w:r>
          </w:p>
        </w:tc>
        <w:tc>
          <w:tcPr>
            <w:tcW w:w="1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448,672</w:t>
            </w:r>
          </w:p>
        </w:tc>
        <w:tc>
          <w:tcPr>
            <w:tcW w:w="1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60" w:hanging="157"/>
        <w:spacing w:after="0" w:line="234" w:lineRule="auto"/>
        <w:tabs>
          <w:tab w:leader="none" w:pos="148"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4, 2018, the company’s Board of Directors authorized the repurchase of 5,000,000 shares of the company’s common stock in open-market or privately negotiated transactions. This authorized stock repurchase program has no expiration date but may be terminated by the company’s Board of Directors at any time. The company repurchased 448,672 shares under this authorized stock repurchase program during the period indicated above and 2,865,158 shares remained available to repurchase under this authorized stock repurchase program as of July 29, 2022.</w:t>
      </w:r>
    </w:p>
    <w:p>
      <w:pPr>
        <w:spacing w:after="0" w:line="96" w:lineRule="exact"/>
        <w:rPr>
          <w:sz w:val="20"/>
          <w:szCs w:val="20"/>
          <w:color w:val="auto"/>
        </w:rPr>
      </w:pPr>
    </w:p>
    <w:p>
      <w:pPr>
        <w:jc w:val="both"/>
        <w:ind w:left="160" w:hanging="157"/>
        <w:spacing w:after="0" w:line="229" w:lineRule="auto"/>
        <w:tabs>
          <w:tab w:leader="none" w:pos="199"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1,466 shares of the company’s common stock purchased in open-market transactions at an average price of $77.95 per share on behalf of a rabbi trust formed to pay benefit obligations of the company to participants in the company's deferred compensation plans. These 1,466 shares were not repurchased under the company’s authorized stock repurchase program described in note 1 above.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6. EXHIBITS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12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35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5700" w:type="dxa"/>
            <w:vAlign w:val="bottom"/>
            <w:tcBorders>
              <w:top w:val="single" w:sz="8" w:color="auto"/>
              <w:bottom w:val="single" w:sz="8" w:color="auto"/>
            </w:tcBorders>
            <w:gridSpan w:val="23"/>
          </w:tcPr>
          <w:p>
            <w:pPr>
              <w:ind w:left="3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3"/>
                <w:szCs w:val="13"/>
                <w:color w:val="auto"/>
              </w:rPr>
            </w:pPr>
          </w:p>
        </w:tc>
        <w:tc>
          <w:tcPr>
            <w:tcW w:w="12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3.1 and 4.1</w:t>
            </w:r>
          </w:p>
        </w:tc>
        <w:tc>
          <w:tcPr>
            <w:tcW w:w="9780" w:type="dxa"/>
            <w:vAlign w:val="bottom"/>
            <w:gridSpan w:val="25"/>
          </w:tcPr>
          <w:p>
            <w:pPr>
              <w:spacing w:after="0" w:line="161"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Restated Certificate of Incorporation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20" w:type="dxa"/>
            <w:vAlign w:val="bottom"/>
            <w:tcBorders>
              <w:top w:val="single" w:sz="8" w:color="0000FF"/>
              <w:bottom w:val="single" w:sz="8" w:color="0000FF"/>
            </w:tcBorders>
            <w:gridSpan w:val="7"/>
          </w:tcPr>
          <w:p>
            <w:pPr>
              <w:spacing w:after="0" w:line="135" w:lineRule="exact"/>
              <w:rPr>
                <w:rFonts w:ascii="Times New Roman" w:cs="Times New Roman" w:eastAsia="Times New Roman" w:hAnsi="Times New Roman"/>
                <w:sz w:val="15"/>
                <w:szCs w:val="15"/>
                <w:color w:val="0000FF"/>
              </w:rPr>
            </w:pPr>
            <w:hyperlink r:id="rId61">
              <w:r>
                <w:rPr>
                  <w:rFonts w:ascii="Times New Roman" w:cs="Times New Roman" w:eastAsia="Times New Roman" w:hAnsi="Times New Roman"/>
                  <w:sz w:val="15"/>
                  <w:szCs w:val="15"/>
                  <w:color w:val="0000FF"/>
                </w:rPr>
                <w:t>as filed with the Securities and Exchange Commission on June 18, 2008, Commission File No. 1-8649).</w:t>
              </w:r>
            </w:hyperlink>
          </w:p>
        </w:tc>
        <w:tc>
          <w:tcPr>
            <w:tcW w:w="2820" w:type="dxa"/>
            <w:vAlign w:val="bottom"/>
            <w:tcBorders>
              <w:top w:val="single" w:sz="8" w:color="0000FF"/>
            </w:tcBorders>
            <w:gridSpan w:val="1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 and 4.2</w:t>
            </w:r>
          </w:p>
        </w:tc>
        <w:tc>
          <w:tcPr>
            <w:tcW w:w="9780" w:type="dxa"/>
            <w:vAlign w:val="bottom"/>
            <w:gridSpan w:val="25"/>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Certificate of Amendment to Restated Certificate of Incorporation of The Toro Company (incorporated by reference to Exhibit 3.1 to Registrant’s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700" w:type="dxa"/>
            <w:vAlign w:val="bottom"/>
            <w:tcBorders>
              <w:top w:val="single" w:sz="8" w:color="0000FF"/>
            </w:tcBorders>
            <w:gridSpan w:val="21"/>
          </w:tcPr>
          <w:p>
            <w:pPr>
              <w:spacing w:after="0" w:line="135" w:lineRule="exact"/>
              <w:rPr>
                <w:rFonts w:ascii="Times New Roman" w:cs="Times New Roman" w:eastAsia="Times New Roman" w:hAnsi="Times New Roman"/>
                <w:sz w:val="15"/>
                <w:szCs w:val="15"/>
                <w:color w:val="0000FF"/>
              </w:rPr>
            </w:pPr>
            <w:hyperlink r:id="rId62">
              <w:r>
                <w:rPr>
                  <w:rFonts w:ascii="Times New Roman" w:cs="Times New Roman" w:eastAsia="Times New Roman" w:hAnsi="Times New Roman"/>
                  <w:sz w:val="15"/>
                  <w:szCs w:val="15"/>
                  <w:color w:val="0000FF"/>
                </w:rPr>
                <w:t>Current Report on Form 8-K as filed with the Securities and Exchange Commission on March 13, 2013,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3.3 and 4.3</w:t>
            </w:r>
          </w:p>
        </w:tc>
        <w:tc>
          <w:tcPr>
            <w:tcW w:w="3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80" w:type="dxa"/>
            <w:vAlign w:val="bottom"/>
            <w:gridSpan w:val="25"/>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Amended and Restated Bylaws of The Toro Company (incorporated by reference to Exhibit 3.1 to Registrant’s Current Report on Form 8-K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20" w:type="dxa"/>
            <w:vAlign w:val="bottom"/>
            <w:tcBorders>
              <w:top w:val="single" w:sz="8" w:color="0000FF"/>
              <w:bottom w:val="single" w:sz="8" w:color="0000FF"/>
            </w:tcBorders>
            <w:gridSpan w:val="5"/>
          </w:tcPr>
          <w:p>
            <w:pPr>
              <w:spacing w:after="0" w:line="135" w:lineRule="exact"/>
              <w:rPr>
                <w:rFonts w:ascii="Times New Roman" w:cs="Times New Roman" w:eastAsia="Times New Roman" w:hAnsi="Times New Roman"/>
                <w:sz w:val="15"/>
                <w:szCs w:val="15"/>
                <w:color w:val="0000FF"/>
              </w:rPr>
            </w:pPr>
            <w:hyperlink r:id="rId63">
              <w:r>
                <w:rPr>
                  <w:rFonts w:ascii="Times New Roman" w:cs="Times New Roman" w:eastAsia="Times New Roman" w:hAnsi="Times New Roman"/>
                  <w:sz w:val="15"/>
                  <w:szCs w:val="15"/>
                  <w:color w:val="0000FF"/>
                </w:rPr>
                <w:t>filed with the Securities and Exchange Commission on July 19, 2016, Commission File No. 1-8649).</w:t>
              </w:r>
            </w:hyperlink>
          </w:p>
        </w:tc>
        <w:tc>
          <w:tcPr>
            <w:tcW w:w="3080" w:type="dxa"/>
            <w:vAlign w:val="bottom"/>
            <w:tcBorders>
              <w:top w:val="single" w:sz="8" w:color="0000FF"/>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4.4</w:t>
            </w:r>
          </w:p>
        </w:tc>
        <w:tc>
          <w:tcPr>
            <w:tcW w:w="978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Indenture dated as of January 31, 1997, between The Toro Company and First National Trust Association, as Trustee, relating to The Toro</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80" w:type="dxa"/>
            <w:vAlign w:val="bottom"/>
            <w:gridSpan w:val="25"/>
          </w:tcPr>
          <w:p>
            <w:pPr>
              <w:spacing w:after="0" w:line="159" w:lineRule="exact"/>
              <w:rPr>
                <w:sz w:val="20"/>
                <w:szCs w:val="20"/>
                <w:color w:val="auto"/>
              </w:rPr>
            </w:pPr>
            <w:r>
              <w:rPr>
                <w:rFonts w:ascii="Times New Roman" w:cs="Times New Roman" w:eastAsia="Times New Roman" w:hAnsi="Times New Roman"/>
                <w:sz w:val="16"/>
                <w:szCs w:val="16"/>
                <w:color w:val="auto"/>
              </w:rPr>
              <w:t>Company’s 7.80% Debentures due June 15, 2027 (incorporated by reference to Exhibit 4(a) to Registrant’s Current Report on Form 8-K as filed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8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auto"/>
              </w:rPr>
              <w:t>with the Securities and Exchange Commission on June 27, 1997, Commission File No. 1-8649). (Filed on paper - hyperlink is not required</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8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pursuant to Rule 105 of Regulation S-T).</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4.5</w:t>
            </w:r>
          </w:p>
        </w:tc>
        <w:tc>
          <w:tcPr>
            <w:tcW w:w="9780" w:type="dxa"/>
            <w:vAlign w:val="bottom"/>
            <w:gridSpan w:val="25"/>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Indenture dated as of April 20, 2007, between The Toro Company and The Bank of New York Trust Company, N.A., as Trustee, relating to The</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560" w:type="dxa"/>
            <w:vAlign w:val="bottom"/>
            <w:tcBorders>
              <w:top w:val="single" w:sz="8" w:color="0000FF"/>
              <w:bottom w:val="single" w:sz="8" w:color="0000FF"/>
            </w:tcBorders>
            <w:gridSpan w:val="14"/>
          </w:tcPr>
          <w:p>
            <w:pPr>
              <w:spacing w:after="0" w:line="135" w:lineRule="exact"/>
              <w:rPr>
                <w:rFonts w:ascii="Times New Roman" w:cs="Times New Roman" w:eastAsia="Times New Roman" w:hAnsi="Times New Roman"/>
                <w:sz w:val="15"/>
                <w:szCs w:val="15"/>
                <w:color w:val="0000FF"/>
              </w:rPr>
            </w:pPr>
            <w:hyperlink r:id="rId64">
              <w:r>
                <w:rPr>
                  <w:rFonts w:ascii="Times New Roman" w:cs="Times New Roman" w:eastAsia="Times New Roman" w:hAnsi="Times New Roman"/>
                  <w:sz w:val="15"/>
                  <w:szCs w:val="15"/>
                  <w:color w:val="0000FF"/>
                </w:rPr>
                <w:t>Toro Company’s 6.625% Notes due May 1, 2037 (incorporated by reference to Exhibit 4.3 to Registrant’s Registration Statement on Form S-3</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20" w:type="dxa"/>
            <w:vAlign w:val="bottom"/>
            <w:gridSpan w:val="17"/>
          </w:tcPr>
          <w:p>
            <w:pPr>
              <w:spacing w:after="0" w:line="148"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filed with the Securities and Exchange Commission on April 23, 2007, Registration No. 333-142282).</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4.6</w:t>
            </w:r>
          </w:p>
        </w:tc>
        <w:tc>
          <w:tcPr>
            <w:tcW w:w="3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80" w:type="dxa"/>
            <w:vAlign w:val="bottom"/>
            <w:gridSpan w:val="25"/>
          </w:tcPr>
          <w:p>
            <w:pPr>
              <w:spacing w:after="0"/>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First Supplemental Indenture dated as of April 26, 2007, between The Toro Company and The Bank of New York Trust Company, N.A.,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720" w:type="dxa"/>
            <w:vAlign w:val="bottom"/>
            <w:tcBorders>
              <w:top w:val="single" w:sz="8" w:color="0000FF"/>
            </w:tcBorders>
            <w:gridSpan w:val="22"/>
          </w:tcPr>
          <w:p>
            <w:pPr>
              <w:spacing w:after="0" w:line="135" w:lineRule="exact"/>
              <w:rPr>
                <w:rFonts w:ascii="Times New Roman" w:cs="Times New Roman" w:eastAsia="Times New Roman" w:hAnsi="Times New Roman"/>
                <w:sz w:val="15"/>
                <w:szCs w:val="15"/>
                <w:color w:val="0000FF"/>
              </w:rPr>
            </w:pPr>
            <w:hyperlink r:id="rId65">
              <w:r>
                <w:rPr>
                  <w:rFonts w:ascii="Times New Roman" w:cs="Times New Roman" w:eastAsia="Times New Roman" w:hAnsi="Times New Roman"/>
                  <w:sz w:val="15"/>
                  <w:szCs w:val="15"/>
                  <w:color w:val="0000FF"/>
                </w:rPr>
                <w:t>Trustee, relating to The Toro Company’s 6.625% Notes due May 1, 2037 (incorporated by reference to Exhibit 4.1 to Registrant’s Current Report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760" w:type="dxa"/>
            <w:vAlign w:val="bottom"/>
            <w:tcBorders>
              <w:top w:val="single" w:sz="8" w:color="0000FF"/>
              <w:bottom w:val="single" w:sz="8" w:color="0000FF"/>
            </w:tcBorders>
            <w:gridSpan w:val="9"/>
          </w:tcPr>
          <w:p>
            <w:pPr>
              <w:spacing w:after="0" w:line="148"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on Form 8-K as filed with the Securities and Exchange Commission on April 26, 2007, Commission File No. 1-8649).</w:t>
              </w:r>
            </w:hyperlink>
          </w:p>
        </w:tc>
        <w:tc>
          <w:tcPr>
            <w:tcW w:w="182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4.7</w:t>
            </w:r>
          </w:p>
        </w:tc>
        <w:tc>
          <w:tcPr>
            <w:tcW w:w="9780" w:type="dxa"/>
            <w:vAlign w:val="bottom"/>
            <w:gridSpan w:val="25"/>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Form of The Toro Company 6.625% Note due May 1, 2037 (incorporated by reference to Exhibit 4.2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760" w:type="dxa"/>
            <w:vAlign w:val="bottom"/>
            <w:tcBorders>
              <w:top w:val="single" w:sz="8" w:color="0000FF"/>
            </w:tcBorders>
            <w:gridSpan w:val="24"/>
          </w:tcPr>
          <w:p>
            <w:pPr>
              <w:spacing w:after="0" w:line="135" w:lineRule="exact"/>
              <w:rPr>
                <w:rFonts w:ascii="Times New Roman" w:cs="Times New Roman" w:eastAsia="Times New Roman" w:hAnsi="Times New Roman"/>
                <w:sz w:val="15"/>
                <w:szCs w:val="15"/>
                <w:color w:val="0000FF"/>
              </w:rPr>
            </w:pPr>
            <w:hyperlink r:id="rId66">
              <w:r>
                <w:rPr>
                  <w:rFonts w:ascii="Times New Roman" w:cs="Times New Roman" w:eastAsia="Times New Roman" w:hAnsi="Times New Roman"/>
                  <w:sz w:val="15"/>
                  <w:szCs w:val="15"/>
                  <w:color w:val="0000FF"/>
                </w:rPr>
                <w:t>as filed with the Securities and Exchange Commission on April 26, 2007, Commission File No. 1-8649).</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10.1</w:t>
            </w:r>
          </w:p>
        </w:tc>
        <w:tc>
          <w:tcPr>
            <w:tcW w:w="3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80" w:type="dxa"/>
            <w:vAlign w:val="bottom"/>
            <w:gridSpan w:val="25"/>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Note Purchase Agreement, dated as of June 30, 2022, by and among The Toro Company and the Purchasers Listed on the Purchaser Schedule</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60" w:type="dxa"/>
            <w:vAlign w:val="bottom"/>
            <w:tcBorders>
              <w:top w:val="single" w:sz="8" w:color="0000FF"/>
            </w:tcBorders>
            <w:gridSpan w:val="19"/>
          </w:tcPr>
          <w:p>
            <w:pPr>
              <w:spacing w:after="0" w:line="135" w:lineRule="exact"/>
              <w:rPr>
                <w:rFonts w:ascii="Times New Roman" w:cs="Times New Roman" w:eastAsia="Times New Roman" w:hAnsi="Times New Roman"/>
                <w:sz w:val="15"/>
                <w:szCs w:val="15"/>
                <w:color w:val="0000FF"/>
              </w:rPr>
            </w:pPr>
            <w:hyperlink r:id="rId67">
              <w:r>
                <w:rPr>
                  <w:rFonts w:ascii="Times New Roman" w:cs="Times New Roman" w:eastAsia="Times New Roman" w:hAnsi="Times New Roman"/>
                  <w:sz w:val="15"/>
                  <w:szCs w:val="15"/>
                  <w:color w:val="0000FF"/>
                </w:rPr>
                <w:t>Thereto (incorporated by reference to Exhibit 10.1 to Registrant’s Current Report on Form 8-K as filed with the Securities and Exchange</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80" w:type="dxa"/>
            <w:vAlign w:val="bottom"/>
            <w:tcBorders>
              <w:top w:val="single" w:sz="8" w:color="0000FF"/>
              <w:bottom w:val="single" w:sz="8" w:color="0000FF"/>
            </w:tcBorders>
            <w:gridSpan w:val="2"/>
          </w:tcPr>
          <w:p>
            <w:pPr>
              <w:spacing w:after="0" w:line="148" w:lineRule="exact"/>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Commission on June 30, 2022, Commission File No. 1-8649).</w:t>
              </w:r>
            </w:hyperlink>
          </w:p>
        </w:tc>
        <w:tc>
          <w:tcPr>
            <w:tcW w:w="5520" w:type="dxa"/>
            <w:vAlign w:val="bottom"/>
            <w:tcBorders>
              <w:top w:val="single" w:sz="8" w:color="0000FF"/>
            </w:tcBorders>
            <w:gridSpan w:val="14"/>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10.2</w:t>
            </w:r>
          </w:p>
        </w:tc>
        <w:tc>
          <w:tcPr>
            <w:tcW w:w="484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Form of 3.97% Senior Note due June 30, 2032 (included in Exhibit 10.1).</w:t>
              </w:r>
            </w:hyperlink>
          </w:p>
        </w:tc>
        <w:tc>
          <w:tcPr>
            <w:tcW w:w="4940" w:type="dxa"/>
            <w:vAlign w:val="bottom"/>
            <w:gridSpan w:val="22"/>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10.3</w:t>
            </w:r>
          </w:p>
        </w:tc>
        <w:tc>
          <w:tcPr>
            <w:tcW w:w="9780" w:type="dxa"/>
            <w:vAlign w:val="bottom"/>
            <w:gridSpan w:val="25"/>
          </w:tcPr>
          <w:p>
            <w:pPr>
              <w:spacing w:after="0"/>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Second Amendment, dated as of June 30, 2022, to Note Purchase Agreement, dated as of April 30, 2019, by and among The Toro Company and</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740" w:type="dxa"/>
            <w:vAlign w:val="bottom"/>
            <w:tcBorders>
              <w:top w:val="single" w:sz="8" w:color="0000FF"/>
            </w:tcBorders>
            <w:gridSpan w:val="23"/>
          </w:tcPr>
          <w:p>
            <w:pPr>
              <w:spacing w:after="0" w:line="135" w:lineRule="exact"/>
              <w:rPr>
                <w:rFonts w:ascii="Times New Roman" w:cs="Times New Roman" w:eastAsia="Times New Roman" w:hAnsi="Times New Roman"/>
                <w:sz w:val="15"/>
                <w:szCs w:val="15"/>
                <w:color w:val="0000FF"/>
              </w:rPr>
            </w:pPr>
            <w:hyperlink r:id="rId69">
              <w:r>
                <w:rPr>
                  <w:rFonts w:ascii="Times New Roman" w:cs="Times New Roman" w:eastAsia="Times New Roman" w:hAnsi="Times New Roman"/>
                  <w:sz w:val="15"/>
                  <w:szCs w:val="15"/>
                  <w:color w:val="0000FF"/>
                </w:rPr>
                <w:t>each of the Institutions a Signatory Thereto (incorporated by reference to Exhibit 10.3 to Registrant’s Current Report on Form 8-K as filed with</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540" w:type="dxa"/>
            <w:vAlign w:val="bottom"/>
            <w:tcBorders>
              <w:top w:val="single" w:sz="8" w:color="0000FF"/>
            </w:tcBorders>
            <w:gridSpan w:val="13"/>
          </w:tcPr>
          <w:p>
            <w:pPr>
              <w:spacing w:after="0" w:line="148" w:lineRule="exact"/>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the Securities and Exchange Commission on June 30, 2022, Commission File No. 1-8649).</w:t>
              </w:r>
            </w:hyperlink>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31.1</w:t>
            </w:r>
          </w:p>
        </w:tc>
        <w:tc>
          <w:tcPr>
            <w:tcW w:w="3540" w:type="dxa"/>
            <w:vAlign w:val="bottom"/>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8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(Section 302 of the Sarbanes-Oxley Act of 2002) (filed herewith).</w:t>
            </w: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31.2</w:t>
            </w:r>
          </w:p>
        </w:tc>
        <w:tc>
          <w:tcPr>
            <w:tcW w:w="87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(Section 302 of the Sarbanes-Oxley Act of 2002) (filed herewith).</w:t>
            </w:r>
          </w:p>
        </w:tc>
        <w:tc>
          <w:tcPr>
            <w:tcW w:w="40" w:type="dxa"/>
            <w:vAlign w:val="bottom"/>
            <w:tcBorders>
              <w:top w:val="single" w:sz="8" w:color="0000FF"/>
            </w:tcBorders>
          </w:tcPr>
          <w:p>
            <w:pPr>
              <w:spacing w:after="0"/>
              <w:rPr>
                <w:sz w:val="21"/>
                <w:szCs w:val="21"/>
                <w:color w:val="auto"/>
              </w:rPr>
            </w:pPr>
          </w:p>
        </w:tc>
        <w:tc>
          <w:tcPr>
            <w:tcW w:w="100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w:t>
            </w:r>
          </w:p>
        </w:tc>
        <w:tc>
          <w:tcPr>
            <w:tcW w:w="978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540" w:type="dxa"/>
            <w:vAlign w:val="bottom"/>
            <w:tcBorders>
              <w:top w:val="single" w:sz="8" w:color="0000FF"/>
              <w:bottom w:val="single" w:sz="8" w:color="0000FF"/>
            </w:tcBorders>
          </w:tcPr>
          <w:p>
            <w:pPr>
              <w:spacing w:after="0" w:line="135" w:lineRule="exact"/>
              <w:rPr>
                <w:sz w:val="20"/>
                <w:szCs w:val="20"/>
                <w:color w:val="auto"/>
              </w:rPr>
            </w:pPr>
            <w:r>
              <w:rPr>
                <w:rFonts w:ascii="Times New Roman" w:cs="Times New Roman" w:eastAsia="Times New Roman" w:hAnsi="Times New Roman"/>
                <w:sz w:val="15"/>
                <w:szCs w:val="15"/>
                <w:color w:val="0000FF"/>
              </w:rPr>
              <w:t>the Sarbanes-Oxley Act of 2002 (furnished herewith).</w:t>
            </w:r>
          </w:p>
        </w:tc>
        <w:tc>
          <w:tcPr>
            <w:tcW w:w="6140" w:type="dxa"/>
            <w:vAlign w:val="bottom"/>
            <w:tcBorders>
              <w:top w:val="single" w:sz="8" w:color="0000FF"/>
            </w:tcBorders>
            <w:gridSpan w:val="19"/>
          </w:tcPr>
          <w:p>
            <w:pPr>
              <w:spacing w:after="0"/>
              <w:rPr>
                <w:sz w:val="11"/>
                <w:szCs w:val="11"/>
                <w:color w:val="auto"/>
              </w:rPr>
            </w:pPr>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101</w:t>
            </w:r>
          </w:p>
        </w:tc>
        <w:tc>
          <w:tcPr>
            <w:tcW w:w="978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The following financial information from The Toro Company’s Quarterly Report on Form 10-Q for the quarterly period ended July 29, 2022,</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80" w:type="dxa"/>
            <w:vAlign w:val="bottom"/>
            <w:gridSpan w:val="25"/>
          </w:tcPr>
          <w:p>
            <w:pPr>
              <w:spacing w:after="0" w:line="159" w:lineRule="exact"/>
              <w:rPr>
                <w:sz w:val="20"/>
                <w:szCs w:val="20"/>
                <w:color w:val="auto"/>
              </w:rPr>
            </w:pPr>
            <w:r>
              <w:rPr>
                <w:rFonts w:ascii="Times New Roman" w:cs="Times New Roman" w:eastAsia="Times New Roman" w:hAnsi="Times New Roman"/>
                <w:sz w:val="16"/>
                <w:szCs w:val="16"/>
                <w:color w:val="auto"/>
              </w:rPr>
              <w:t>filed with the SEC on September 1, 2022, formatted in Inline eXtensible Business Reporting Language (Inline XBRL): (i) Condensed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8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auto"/>
              </w:rPr>
              <w:t>Consolidated Statements of Earnings for the three and nine month periods ended July 29, 2022 and July 30, 2021, (ii) Condensed Consolidated</w:t>
            </w:r>
          </w:p>
        </w:tc>
        <w:tc>
          <w:tcPr>
            <w:tcW w:w="0" w:type="dxa"/>
            <w:vAlign w:val="bottom"/>
          </w:tcPr>
          <w:p>
            <w:pPr>
              <w:spacing w:after="0"/>
              <w:rPr>
                <w:sz w:val="1"/>
                <w:szCs w:val="1"/>
                <w:color w:val="auto"/>
              </w:rPr>
            </w:pPr>
          </w:p>
        </w:tc>
      </w:tr>
      <w:tr>
        <w:trPr>
          <w:trHeight w:val="164"/>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80" w:type="dxa"/>
            <w:vAlign w:val="bottom"/>
            <w:gridSpan w:val="25"/>
          </w:tcPr>
          <w:p>
            <w:pPr>
              <w:spacing w:after="0" w:line="164" w:lineRule="exact"/>
              <w:rPr>
                <w:sz w:val="20"/>
                <w:szCs w:val="20"/>
                <w:color w:val="auto"/>
              </w:rPr>
            </w:pPr>
            <w:r>
              <w:rPr>
                <w:rFonts w:ascii="Times New Roman" w:cs="Times New Roman" w:eastAsia="Times New Roman" w:hAnsi="Times New Roman"/>
                <w:sz w:val="16"/>
                <w:szCs w:val="16"/>
                <w:color w:val="auto"/>
              </w:rPr>
              <w:t>Statements of Comprehensive Income for the three and nine month periods ended July 29, 2022 and July 30, 2021, (iii) Condensed Consolidated</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80" w:type="dxa"/>
            <w:vAlign w:val="bottom"/>
            <w:gridSpan w:val="25"/>
          </w:tcPr>
          <w:p>
            <w:pPr>
              <w:spacing w:after="0" w:line="159" w:lineRule="exact"/>
              <w:rPr>
                <w:sz w:val="20"/>
                <w:szCs w:val="20"/>
                <w:color w:val="auto"/>
              </w:rPr>
            </w:pPr>
            <w:r>
              <w:rPr>
                <w:rFonts w:ascii="Times New Roman" w:cs="Times New Roman" w:eastAsia="Times New Roman" w:hAnsi="Times New Roman"/>
                <w:sz w:val="16"/>
                <w:szCs w:val="16"/>
                <w:color w:val="auto"/>
              </w:rPr>
              <w:t>Balance Sheets as of July 29, 2022, July 30, 2021, and October 31, 2021, (iv) Condensed Consolidated Statement of Cash Flows for the nine</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8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auto"/>
              </w:rPr>
              <w:t>month periods ended July 29, 2022 and July 30, 2021, (v) Condensed Consolidated Statements of Stockholders' Equity for the three and nine</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8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month periods ended July 29, 2022 and July 30, 2021, and (vi) Notes to Condensed Consolidated Financial Statements (filed herewith).</w:t>
            </w:r>
          </w:p>
        </w:tc>
        <w:tc>
          <w:tcPr>
            <w:tcW w:w="0" w:type="dxa"/>
            <w:vAlign w:val="bottom"/>
          </w:tcPr>
          <w:p>
            <w:pPr>
              <w:spacing w:after="0"/>
              <w:rPr>
                <w:sz w:val="1"/>
                <w:szCs w:val="1"/>
                <w:color w:val="auto"/>
              </w:rPr>
            </w:pPr>
          </w:p>
        </w:tc>
      </w:tr>
      <w:tr>
        <w:trPr>
          <w:trHeight w:val="271"/>
        </w:trPr>
        <w:tc>
          <w:tcPr>
            <w:tcW w:w="38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104</w:t>
            </w:r>
          </w:p>
        </w:tc>
        <w:tc>
          <w:tcPr>
            <w:tcW w:w="978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8000" w:type="dxa"/>
            <w:vAlign w:val="bottom"/>
            <w:gridSpan w:val="2"/>
          </w:tcPr>
          <w:p>
            <w:pPr>
              <w:jc w:val="center"/>
              <w:ind w:right="3134"/>
              <w:spacing w:after="0"/>
              <w:rPr>
                <w:sz w:val="20"/>
                <w:szCs w:val="20"/>
                <w:color w:val="auto"/>
              </w:rPr>
            </w:pPr>
            <w:r>
              <w:rPr>
                <w:rFonts w:ascii="Times New Roman" w:cs="Times New Roman" w:eastAsia="Times New Roman" w:hAnsi="Times New Roman"/>
                <w:sz w:val="17"/>
                <w:szCs w:val="17"/>
                <w:color w:val="auto"/>
              </w:rPr>
              <w:t>THE TORO COMPANY</w:t>
            </w:r>
          </w:p>
        </w:tc>
      </w:tr>
      <w:tr>
        <w:trPr>
          <w:trHeight w:val="223"/>
        </w:trPr>
        <w:tc>
          <w:tcPr>
            <w:tcW w:w="3220" w:type="dxa"/>
            <w:vAlign w:val="bottom"/>
          </w:tcPr>
          <w:p>
            <w:pPr>
              <w:spacing w:after="0"/>
              <w:rPr>
                <w:sz w:val="19"/>
                <w:szCs w:val="19"/>
                <w:color w:val="auto"/>
              </w:rPr>
            </w:pPr>
          </w:p>
        </w:tc>
        <w:tc>
          <w:tcPr>
            <w:tcW w:w="8000" w:type="dxa"/>
            <w:vAlign w:val="bottom"/>
            <w:gridSpan w:val="2"/>
          </w:tcPr>
          <w:p>
            <w:pPr>
              <w:jc w:val="center"/>
              <w:ind w:right="3134"/>
              <w:spacing w:after="0"/>
              <w:rPr>
                <w:sz w:val="20"/>
                <w:szCs w:val="20"/>
                <w:color w:val="auto"/>
              </w:rPr>
            </w:pPr>
            <w:r>
              <w:rPr>
                <w:rFonts w:ascii="Times New Roman" w:cs="Times New Roman" w:eastAsia="Times New Roman" w:hAnsi="Times New Roman"/>
                <w:sz w:val="17"/>
                <w:szCs w:val="17"/>
                <w:color w:val="auto"/>
              </w:rPr>
              <w:t>(Registrant)</w:t>
            </w:r>
          </w:p>
        </w:tc>
      </w:tr>
      <w:tr>
        <w:trPr>
          <w:trHeight w:val="400"/>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Date: September 1, 2022</w:t>
            </w:r>
          </w:p>
        </w:tc>
        <w:tc>
          <w:tcPr>
            <w:tcW w:w="8000" w:type="dxa"/>
            <w:vAlign w:val="bottom"/>
            <w:gridSpan w:val="2"/>
          </w:tcPr>
          <w:p>
            <w:pPr>
              <w:ind w:left="2340"/>
              <w:spacing w:after="0"/>
              <w:rPr>
                <w:sz w:val="20"/>
                <w:szCs w:val="20"/>
                <w:color w:val="auto"/>
              </w:rPr>
            </w:pPr>
            <w:r>
              <w:rPr>
                <w:rFonts w:ascii="Times New Roman" w:cs="Times New Roman" w:eastAsia="Times New Roman" w:hAnsi="Times New Roman"/>
                <w:sz w:val="17"/>
                <w:szCs w:val="17"/>
                <w:color w:val="auto"/>
              </w:rPr>
              <w:t>By:   /s/ Renee J. Peterson</w:t>
            </w:r>
          </w:p>
        </w:tc>
      </w:tr>
      <w:tr>
        <w:trPr>
          <w:trHeight w:val="209"/>
        </w:trPr>
        <w:tc>
          <w:tcPr>
            <w:tcW w:w="3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Renee J. Peterson</w:t>
            </w:r>
          </w:p>
        </w:tc>
      </w:tr>
      <w:tr>
        <w:trPr>
          <w:trHeight w:val="220"/>
        </w:trPr>
        <w:tc>
          <w:tcPr>
            <w:tcW w:w="32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tc>
      </w:tr>
      <w:tr>
        <w:trPr>
          <w:trHeight w:val="171"/>
        </w:trPr>
        <w:tc>
          <w:tcPr>
            <w:tcW w:w="3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516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(duly authorized officer, principal financial officer, and principal</w:t>
            </w:r>
          </w:p>
        </w:tc>
      </w:tr>
      <w:tr>
        <w:trPr>
          <w:trHeight w:val="223"/>
        </w:trPr>
        <w:tc>
          <w:tcPr>
            <w:tcW w:w="32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240"/>
          </w:cols>
          <w:pgMar w:left="320" w:top="12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Richard M. Olson, certify that:</w:t>
      </w:r>
    </w:p>
    <w:p>
      <w:pPr>
        <w:spacing w:after="0" w:line="218"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17"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1, 2022</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Renee J. Peterson, certify that:</w:t>
      </w:r>
    </w:p>
    <w:p>
      <w:pPr>
        <w:spacing w:after="0" w:line="218"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1, 2022</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Renee J. Peterson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connection with the Quarterly Report of The Toro Company (the “Company”) on Form 10-Q for the quarterly period ended July 29, 2022 as filed with the Securities and Exchange Commission on the date hereof (the “Report”), we, Richard M. Olson, Chairman of the Board, President and Chief Executive Officer of the Company, and Renee J. Peterson, Vice President, Chief Financial Officer of the Company, certify, pursuant to 18 U.S.C. Section 1350, as adopted pursuant to Section 906 of the Sarbanes-Oxley Act of 2002, that to our knowledge:</w:t>
      </w:r>
    </w:p>
    <w:p>
      <w:pPr>
        <w:spacing w:after="0" w:line="170"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September 1, 2022</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Renee J. Peterson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September 1, 2022</w:t>
      </w:r>
    </w:p>
    <w:p>
      <w:pPr>
        <w:spacing w:after="0" w:line="200" w:lineRule="exact"/>
        <w:rPr>
          <w:sz w:val="20"/>
          <w:szCs w:val="20"/>
          <w:color w:val="auto"/>
        </w:rPr>
      </w:pPr>
    </w:p>
    <w:p>
      <w:pPr>
        <w:spacing w:after="0" w:line="26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3803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bullet"/>
      <w:start w:val="1"/>
    </w:lvl>
  </w:abstractNum>
  <w:abstractNum w:abstractNumId="5">
    <w:nsid w:val="DED7263"/>
    <w:multiLevelType w:val="hybridMultilevel"/>
    <w:lvl w:ilvl="0">
      <w:lvlJc w:val="left"/>
      <w:lvlText w:val="2"/>
      <w:numFmt w:val="bullet"/>
      <w:start w:val="1"/>
    </w:lvl>
  </w:abstractNum>
  <w:abstractNum w:abstractNumId="6">
    <w:nsid w:val="7FDCC233"/>
    <w:multiLevelType w:val="hybridMultilevel"/>
    <w:lvl w:ilvl="0">
      <w:lvlJc w:val="left"/>
      <w:lvlText w:val="3"/>
      <w:numFmt w:val="bullet"/>
      <w:start w:val="1"/>
    </w:lvl>
  </w:abstractNum>
  <w:abstractNum w:abstractNumId="7">
    <w:nsid w:val="1BEFD79F"/>
    <w:multiLevelType w:val="hybridMultilevel"/>
    <w:lvl w:ilvl="0">
      <w:lvlJc w:val="left"/>
      <w:lvlText w:val="4"/>
      <w:numFmt w:val="bullet"/>
      <w:start w:val="1"/>
    </w:lvl>
  </w:abstractNum>
  <w:abstractNum w:abstractNumId="8">
    <w:nsid w:val="41A7C4C9"/>
    <w:multiLevelType w:val="hybridMultilevel"/>
    <w:lvl w:ilvl="0">
      <w:lvlJc w:val="left"/>
      <w:lvlText w:val="5"/>
      <w:numFmt w:val="bullet"/>
      <w:start w:val="1"/>
    </w:lvl>
  </w:abstractNum>
  <w:abstractNum w:abstractNumId="9">
    <w:nsid w:val="6B68079A"/>
    <w:multiLevelType w:val="hybridMultilevel"/>
    <w:lvl w:ilvl="0">
      <w:lvlJc w:val="left"/>
      <w:lvlText w:val="7"/>
      <w:numFmt w:val="bullet"/>
      <w:start w:val="1"/>
    </w:lvl>
  </w:abstractNum>
  <w:abstractNum w:abstractNumId="10">
    <w:nsid w:val="4E6AFB66"/>
    <w:multiLevelType w:val="hybridMultilevel"/>
    <w:lvl w:ilvl="0">
      <w:lvlJc w:val="left"/>
      <w:lvlText w:val="8"/>
      <w:numFmt w:val="bullet"/>
      <w:start w:val="1"/>
    </w:lvl>
  </w:abstractNum>
  <w:abstractNum w:abstractNumId="11">
    <w:nsid w:val="25E45D32"/>
    <w:multiLevelType w:val="hybridMultilevel"/>
    <w:lvl w:ilvl="0">
      <w:lvlJc w:val="left"/>
      <w:lvlText w:val="9"/>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bullet"/>
      <w:start w:val="1"/>
    </w:lvl>
  </w:abstractNum>
  <w:abstractNum w:abstractNumId="14">
    <w:nsid w:val="3F2DBA31"/>
    <w:multiLevelType w:val="hybridMultilevel"/>
    <w:lvl w:ilvl="0">
      <w:lvlJc w:val="left"/>
      <w:lvlText w:val="2"/>
      <w:numFmt w:val="bullet"/>
      <w:start w:val="1"/>
    </w:lvl>
  </w:abstractNum>
  <w:abstractNum w:abstractNumId="15">
    <w:nsid w:val="7C83E458"/>
    <w:multiLevelType w:val="hybridMultilevel"/>
    <w:lvl w:ilvl="0">
      <w:lvlJc w:val="left"/>
      <w:lvlText w:val="3"/>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bullet"/>
      <w:start w:val="1"/>
    </w:lvl>
  </w:abstractNum>
  <w:abstractNum w:abstractNumId="18">
    <w:nsid w:val="436C6125"/>
    <w:multiLevelType w:val="hybridMultilevel"/>
    <w:lvl w:ilvl="0">
      <w:lvlJc w:val="left"/>
      <w:lvlText w:val="2"/>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61" Type="http://schemas.openxmlformats.org/officeDocument/2006/relationships/hyperlink" Target="http://www.sec.gov/Archives/edgar/data/737758/000073775808000033/form8-k06172008exhibitcert.htm" TargetMode="External"/><Relationship Id="rId62" Type="http://schemas.openxmlformats.org/officeDocument/2006/relationships/hyperlink" Target="http://www.sec.gov/Archives/edgar/data/737758/000119312513105223/d501846dex31.htm" TargetMode="External"/><Relationship Id="rId63" Type="http://schemas.openxmlformats.org/officeDocument/2006/relationships/hyperlink" Target="http://www.sec.gov/Archives/edgar/data/737758/000110465916133324/a16-15127_1ex3d1.htm" TargetMode="External"/><Relationship Id="rId64" Type="http://schemas.openxmlformats.org/officeDocument/2006/relationships/hyperlink" Target="http://www.sec.gov/Archives/edgar/data/737758/000110465907030051/a07-10570_1ex4d3.htm" TargetMode="External"/><Relationship Id="rId65" Type="http://schemas.openxmlformats.org/officeDocument/2006/relationships/hyperlink" Target="http://www.sec.gov/Archives/edgar/data/737758/000110465907031757/a07-10570_5ex4d1.htm" TargetMode="External"/><Relationship Id="rId66" Type="http://schemas.openxmlformats.org/officeDocument/2006/relationships/hyperlink" Target="http://www.sec.gov/Archives/edgar/data/737758/000110465907031757/a07-10570_5ex4d2.htm" TargetMode="External"/><Relationship Id="rId67" Type="http://schemas.openxmlformats.org/officeDocument/2006/relationships/hyperlink" Target="https://www.sec.gov/Archives/edgar/data/737758/000114036122024615/brhc10039279_ex10-1.htm" TargetMode="External"/><Relationship Id="rId68" Type="http://schemas.openxmlformats.org/officeDocument/2006/relationships/hyperlink" Target="https://www.sec.gov/Archives/edgar/data/737758/000114036122024615/brhc10039279_ex10-1.htm#FormofNote" TargetMode="External"/><Relationship Id="rId69" Type="http://schemas.openxmlformats.org/officeDocument/2006/relationships/hyperlink" Target="https://www.sec.gov/Archives/edgar/data/737758/000114036122024615/brhc10039279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2022-09-01T11:14:11Z</dcterms:created>
  <dcterms:modified xsi:type="dcterms:W3CDTF">2022-09-01T11:14:11Z</dcterms:modified>
</cp:coreProperties>
</file>