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2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823"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82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03/26/2012</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20"/>
              <w:spacing w:after="0"/>
              <w:rPr>
                <w:sz w:val="20"/>
                <w:szCs w:val="20"/>
                <w:color w:val="auto"/>
              </w:rPr>
            </w:pPr>
            <w:r>
              <w:rPr>
                <w:rFonts w:ascii="Arial" w:cs="Arial" w:eastAsia="Arial" w:hAnsi="Arial"/>
                <w:sz w:val="14"/>
                <w:szCs w:val="14"/>
                <w:color w:val="0000FF"/>
              </w:rPr>
              <w:t>V</w:t>
            </w:r>
          </w:p>
        </w:tc>
        <w:tc>
          <w:tcPr>
            <w:tcW w:w="780" w:type="dxa"/>
            <w:vAlign w:val="bottom"/>
          </w:tcPr>
          <w:p>
            <w:pPr>
              <w:jc w:val="center"/>
              <w:spacing w:after="0"/>
              <w:rPr>
                <w:sz w:val="20"/>
                <w:szCs w:val="20"/>
                <w:color w:val="auto"/>
              </w:rPr>
            </w:pPr>
            <w:r>
              <w:rPr>
                <w:rFonts w:ascii="Arial" w:cs="Arial" w:eastAsia="Arial" w:hAnsi="Arial"/>
                <w:sz w:val="18"/>
                <w:szCs w:val="18"/>
                <w:color w:val="0000FF"/>
                <w:w w:val="93"/>
              </w:rPr>
              <w:t>145</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44,639</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03/26/2012</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M</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5,500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16.1375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50,139</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03/26/2012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5,500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71.5</w:t>
            </w:r>
            <w:r>
              <w:rPr>
                <w:rFonts w:ascii="Arial" w:cs="Arial" w:eastAsia="Arial" w:hAnsi="Arial"/>
                <w:sz w:val="22"/>
                <w:szCs w:val="22"/>
                <w:color w:val="008000"/>
                <w:w w:val="85"/>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44,639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22,748.483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1,505.215</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rPr>
                <w:sz w:val="20"/>
                <w:szCs w:val="20"/>
                <w:color w:val="auto"/>
              </w:rPr>
            </w:pPr>
            <w:r>
              <w:rPr>
                <w:rFonts w:ascii="Arial" w:cs="Arial" w:eastAsia="Arial" w:hAnsi="Arial"/>
                <w:sz w:val="14"/>
                <w:szCs w:val="14"/>
                <w:color w:val="0000FF"/>
              </w:rPr>
              <w:t>03/26/2012</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0000FF"/>
                <w:w w:val="85"/>
              </w:rPr>
              <w:t>5,500</w:t>
            </w:r>
          </w:p>
        </w:tc>
        <w:tc>
          <w:tcPr>
            <w:tcW w:w="840" w:type="dxa"/>
            <w:vAlign w:val="bottom"/>
            <w:gridSpan w:val="2"/>
          </w:tcPr>
          <w:p>
            <w:pPr>
              <w:ind w:left="160"/>
              <w:spacing w:after="0"/>
              <w:rPr>
                <w:sz w:val="20"/>
                <w:szCs w:val="20"/>
                <w:color w:val="auto"/>
              </w:rPr>
            </w:pPr>
            <w:r>
              <w:rPr>
                <w:rFonts w:ascii="Arial" w:cs="Arial" w:eastAsia="Arial" w:hAnsi="Arial"/>
                <w:sz w:val="14"/>
                <w:szCs w:val="14"/>
                <w:color w:val="0000FF"/>
                <w:w w:val="94"/>
              </w:rPr>
              <w:t>12/04/2002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12/04/2012</w:t>
            </w:r>
          </w:p>
        </w:tc>
        <w:tc>
          <w:tcPr>
            <w:tcW w:w="130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5,500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$71.50 to $71.58,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78.667 shares acquired under the dividend reinvestment feature of The Toro Company Investment, Savings &amp; ESOP (IS&amp;ESOP); and 51.472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5.215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2019-12-17T01:29:17Z</dcterms:created>
  <dcterms:modified xsi:type="dcterms:W3CDTF">2019-12-17T01:29:17Z</dcterms:modified>
</cp:coreProperties>
</file>