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 w:lineRule="exact"/>
        <w:rPr>
          <w:sz w:val="24"/>
          <w:szCs w:val="24"/>
          <w:color w:val="auto"/>
        </w:rPr>
      </w:pPr>
    </w:p>
    <w:p>
      <w:pPr>
        <w:jc w:val="center"/>
        <w:ind w:right="-1200"/>
        <w:spacing w:after="0"/>
        <w:rPr>
          <w:sz w:val="20"/>
          <w:szCs w:val="20"/>
          <w:color w:val="auto"/>
        </w:rPr>
      </w:pPr>
      <w:r>
        <w:rPr>
          <w:rFonts w:ascii="Arial" w:cs="Arial" w:eastAsia="Arial" w:hAnsi="Arial"/>
          <w:sz w:val="22"/>
          <w:szCs w:val="22"/>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jc w:val="center"/>
        <w:ind w:left="4000" w:right="459" w:hanging="2993"/>
        <w:spacing w:after="0" w:line="501" w:lineRule="auto"/>
        <w:tabs>
          <w:tab w:leader="none" w:pos="15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15(d) OF THE SECURITIES EXCHANGE ACT OF 1934 For the fiscal year ended </w:t>
      </w:r>
      <w:r>
        <w:rPr>
          <w:rFonts w:ascii="Arial" w:cs="Arial" w:eastAsia="Arial" w:hAnsi="Arial"/>
          <w:sz w:val="18"/>
          <w:szCs w:val="18"/>
          <w:b w:val="1"/>
          <w:bCs w:val="1"/>
          <w:u w:val="single" w:color="auto"/>
          <w:color w:val="auto"/>
        </w:rPr>
        <w:t>December 31, 2009</w:t>
      </w:r>
      <w:r>
        <w:rPr>
          <w:rFonts w:ascii="Arial" w:cs="Arial" w:eastAsia="Arial" w:hAnsi="Arial"/>
          <w:sz w:val="18"/>
          <w:szCs w:val="18"/>
          <w:b w:val="1"/>
          <w:bCs w:val="1"/>
          <w:color w:val="auto"/>
        </w:rPr>
        <w:t>.</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540" w:hanging="533"/>
        <w:spacing w:after="0"/>
        <w:tabs>
          <w:tab w:leader="none" w:pos="15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37" w:lineRule="exact"/>
        <w:rPr>
          <w:sz w:val="24"/>
          <w:szCs w:val="24"/>
          <w:color w:val="auto"/>
        </w:rPr>
      </w:pPr>
    </w:p>
    <w:tbl>
      <w:tblPr>
        <w:tblLayout w:type="fixed"/>
        <w:tblInd w:w="34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92"/>
        </w:trPr>
        <w:tc>
          <w:tcPr>
            <w:tcW w:w="3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9" w:lineRule="exact"/>
        <w:rPr>
          <w:sz w:val="24"/>
          <w:szCs w:val="24"/>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Attn: Director, Human Resources</w:t>
      </w:r>
    </w:p>
    <w:p>
      <w:pPr>
        <w:spacing w:after="0" w:line="211" w:lineRule="exact"/>
        <w:rPr>
          <w:sz w:val="24"/>
          <w:szCs w:val="24"/>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749935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9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0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7520" w:type="dxa"/>
            <w:vAlign w:val="bottom"/>
            <w:gridSpan w:val="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900" w:type="dxa"/>
            <w:vAlign w:val="bottom"/>
            <w:gridSpan w:val="3"/>
          </w:tcPr>
          <w:p>
            <w:pPr>
              <w:jc w:val="center"/>
              <w:ind w:left="281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22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3300" w:type="dxa"/>
            <w:vAlign w:val="bottom"/>
            <w:gridSpan w:val="2"/>
          </w:tcPr>
          <w:p>
            <w:pPr>
              <w:spacing w:after="0"/>
              <w:rPr>
                <w:sz w:val="17"/>
                <w:szCs w:val="17"/>
                <w:color w:val="auto"/>
              </w:rPr>
            </w:pPr>
          </w:p>
        </w:tc>
        <w:tc>
          <w:tcPr>
            <w:tcW w:w="3900" w:type="dxa"/>
            <w:vAlign w:val="bottom"/>
            <w:gridSpan w:val="3"/>
          </w:tcPr>
          <w:p>
            <w:pPr>
              <w:jc w:val="center"/>
              <w:ind w:left="28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300" w:type="dxa"/>
            <w:vAlign w:val="bottom"/>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3220" w:type="dxa"/>
            <w:vAlign w:val="bottom"/>
          </w:tcPr>
          <w:p>
            <w:pPr>
              <w:spacing w:after="0"/>
              <w:rPr>
                <w:sz w:val="17"/>
                <w:szCs w:val="17"/>
                <w:color w:val="auto"/>
              </w:rPr>
            </w:pPr>
          </w:p>
        </w:tc>
        <w:tc>
          <w:tcPr>
            <w:tcW w:w="3900" w:type="dxa"/>
            <w:vAlign w:val="bottom"/>
            <w:gridSpan w:val="3"/>
          </w:tcPr>
          <w:p>
            <w:pPr>
              <w:jc w:val="center"/>
              <w:ind w:left="281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21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30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220" w:type="dxa"/>
            <w:vAlign w:val="bottom"/>
          </w:tcPr>
          <w:p>
            <w:pPr>
              <w:spacing w:after="0"/>
              <w:rPr>
                <w:sz w:val="17"/>
                <w:szCs w:val="17"/>
                <w:color w:val="auto"/>
              </w:rPr>
            </w:pPr>
          </w:p>
        </w:tc>
        <w:tc>
          <w:tcPr>
            <w:tcW w:w="3900" w:type="dxa"/>
            <w:vAlign w:val="bottom"/>
            <w:gridSpan w:val="3"/>
          </w:tcPr>
          <w:p>
            <w:pPr>
              <w:jc w:val="center"/>
              <w:ind w:left="281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273"/>
        </w:trPr>
        <w:tc>
          <w:tcPr>
            <w:tcW w:w="2160" w:type="dxa"/>
            <w:vAlign w:val="bottom"/>
            <w:tcBorders>
              <w:top w:val="single" w:sz="8" w:color="0000EE"/>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Plymouth Union Employees: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2009 and 2008,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2008 and the changes in net assets available for benefits for the years then ended,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887730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756" w:right="7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02"/>
        </w:trPr>
        <w:tc>
          <w:tcPr>
            <w:tcW w:w="656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Investments at fair value:</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in the Toro Company Master Trust Fund</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2,728,068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2,099,274</w:t>
            </w: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2,728,068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2,099,274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contribution receivable</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w:t>
            </w: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Employer contribution receivable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receivables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w:t>
            </w: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Total assets before adjustment</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2,731,472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2,103,408</w:t>
            </w: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2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fully benefit-responsive investment contracts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360"/>
              <w:spacing w:after="0"/>
              <w:rPr>
                <w:sz w:val="20"/>
                <w:szCs w:val="20"/>
                <w:color w:val="auto"/>
              </w:rPr>
            </w:pPr>
            <w:r>
              <w:rPr>
                <w:rFonts w:ascii="Arial" w:cs="Arial" w:eastAsia="Arial" w:hAnsi="Arial"/>
                <w:sz w:val="18"/>
                <w:szCs w:val="18"/>
                <w:color w:val="auto"/>
              </w:rPr>
              <w:t>Net assets available for benefits</w:t>
            </w:r>
          </w:p>
        </w:tc>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2,730,822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2,114,250</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Years Ended December 31, 2009 and 2008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0" w:type="dxa"/>
            <w:vAlign w:val="bottom"/>
            <w:gridSpan w:val="2"/>
          </w:tcPr>
          <w:p>
            <w:pPr>
              <w:spacing w:after="0" w:line="201" w:lineRule="exact"/>
              <w:rPr>
                <w:sz w:val="20"/>
                <w:szCs w:val="20"/>
                <w:color w:val="auto"/>
              </w:rPr>
            </w:pPr>
            <w:r>
              <w:rPr>
                <w:rFonts w:ascii="Arial" w:cs="Arial" w:eastAsia="Arial" w:hAnsi="Arial"/>
                <w:sz w:val="18"/>
                <w:szCs w:val="18"/>
                <w:color w:val="auto"/>
              </w:rPr>
              <w:t>Additions (deductions) to net assets:</w:t>
            </w: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Investment income (loss):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Plan interest in net investment income (loss) of the Toro</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Company Master Trust Fund</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(1,098,931)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80"/>
              <w:spacing w:after="0"/>
              <w:rPr>
                <w:sz w:val="20"/>
                <w:szCs w:val="20"/>
                <w:color w:val="auto"/>
              </w:rPr>
            </w:pPr>
            <w:r>
              <w:rPr>
                <w:rFonts w:ascii="Arial" w:cs="Arial" w:eastAsia="Arial" w:hAnsi="Arial"/>
                <w:sz w:val="18"/>
                <w:szCs w:val="18"/>
                <w:color w:val="auto"/>
              </w:rPr>
              <w:t>Net investment income (loss)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503,430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(1,098,931)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80"/>
              <w:spacing w:after="0"/>
              <w:rPr>
                <w:sz w:val="20"/>
                <w:szCs w:val="20"/>
                <w:color w:val="auto"/>
              </w:rPr>
            </w:pPr>
            <w:r>
              <w:rPr>
                <w:rFonts w:ascii="Arial" w:cs="Arial" w:eastAsia="Arial" w:hAnsi="Arial"/>
                <w:sz w:val="18"/>
                <w:szCs w:val="18"/>
                <w:color w:val="auto"/>
              </w:rPr>
              <w:t>Total contributions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254,998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20"/>
              <w:spacing w:after="0"/>
              <w:rPr>
                <w:sz w:val="20"/>
                <w:szCs w:val="20"/>
                <w:color w:val="auto"/>
              </w:rPr>
            </w:pPr>
            <w:r>
              <w:rPr>
                <w:rFonts w:ascii="Arial" w:cs="Arial" w:eastAsia="Arial" w:hAnsi="Arial"/>
                <w:sz w:val="18"/>
                <w:szCs w:val="18"/>
                <w:color w:val="auto"/>
              </w:rPr>
              <w:t>Total additions (deductions) to net assets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758,428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(892,231)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payments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(74,514)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20"/>
              <w:spacing w:after="0"/>
              <w:rPr>
                <w:sz w:val="20"/>
                <w:szCs w:val="20"/>
                <w:color w:val="auto"/>
              </w:rPr>
            </w:pPr>
            <w:r>
              <w:rPr>
                <w:rFonts w:ascii="Arial" w:cs="Arial" w:eastAsia="Arial" w:hAnsi="Arial"/>
                <w:sz w:val="18"/>
                <w:szCs w:val="18"/>
                <w:color w:val="auto"/>
              </w:rPr>
              <w:t>Total deductions from net assets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(74,514)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Assets transferred from the Plan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20"/>
              <w:spacing w:after="0"/>
              <w:rPr>
                <w:sz w:val="20"/>
                <w:szCs w:val="20"/>
                <w:color w:val="auto"/>
              </w:rPr>
            </w:pPr>
            <w:r>
              <w:rPr>
                <w:rFonts w:ascii="Arial" w:cs="Arial" w:eastAsia="Arial" w:hAnsi="Arial"/>
                <w:sz w:val="18"/>
                <w:szCs w:val="18"/>
                <w:color w:val="auto"/>
              </w:rPr>
              <w:t>Net increase (decrease) in net assets available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for benefits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616,572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Beginning of year</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2,114,250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3,257,382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 of year</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2,730,822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48"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to the Plan document restated as of May 8, 2009 for more complete information.</w:t>
      </w:r>
    </w:p>
    <w:p>
      <w:pPr>
        <w:spacing w:after="0" w:line="1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Toro Company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1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 (Fidelity).</w:t>
      </w:r>
    </w:p>
    <w:p>
      <w:pPr>
        <w:spacing w:after="0" w:line="25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Company Common Stock, a withdrawal or distribution can be in the form of Common Stock or cash.</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other plans of other employers or other transfers to/from plans.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Forfeited amounts from nonvested accounts totaled $90 and $816 during the Plan years ended December 31, 2009 and 2008, respectively.</w:t>
      </w:r>
    </w:p>
    <w:p>
      <w:pPr>
        <w:spacing w:after="0" w:line="26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Toro Company (administrator of the plan) designs, manufactures, and markets professional turf maintenance equipment and services, turf and agricultural micro-irrigation systems, landscaping equipment, and residential yard and snow removal products. The Company absorbs all administrative costs of the Plan, with the exception of investment management fees, which are netted against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0" w:lineRule="exact"/>
        <w:rPr>
          <w:sz w:val="20"/>
          <w:szCs w:val="20"/>
          <w:color w:val="auto"/>
        </w:rPr>
      </w:pPr>
    </w:p>
    <w:p>
      <w:pPr>
        <w:spacing w:after="0" w:line="2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1060" w:hanging="440"/>
        <w:spacing w:after="0"/>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52"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accompanying financial statements of The Toro Company Profit-Sharing Plan for Plymouth Union Employees are presented in accordance with U.S. generally accepted accounting principles.</w:t>
      </w:r>
    </w:p>
    <w:p>
      <w:pPr>
        <w:spacing w:after="0" w:line="197" w:lineRule="exact"/>
        <w:rPr>
          <w:sz w:val="20"/>
          <w:szCs w:val="20"/>
          <w:color w:val="auto"/>
        </w:rPr>
      </w:pPr>
    </w:p>
    <w:p>
      <w:pPr>
        <w:ind w:left="1060" w:hanging="485"/>
        <w:spacing w:after="0"/>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The Plan’s investments are in a Master Trust held by Fidelity.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8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December 31, 2009 and 2008.</w:t>
      </w:r>
    </w:p>
    <w:p>
      <w:pPr>
        <w:spacing w:after="0" w:line="208" w:lineRule="exact"/>
        <w:rPr>
          <w:sz w:val="20"/>
          <w:szCs w:val="20"/>
          <w:color w:val="auto"/>
        </w:rPr>
      </w:pPr>
    </w:p>
    <w:p>
      <w:pPr>
        <w:ind w:left="1060" w:hanging="440"/>
        <w:spacing w:after="0"/>
        <w:tabs>
          <w:tab w:leader="none" w:pos="10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214" w:lineRule="exact"/>
        <w:rPr>
          <w:sz w:val="20"/>
          <w:szCs w:val="20"/>
          <w:color w:val="auto"/>
        </w:rPr>
      </w:pPr>
    </w:p>
    <w:p>
      <w:pPr>
        <w:ind w:left="1060" w:hanging="485"/>
        <w:spacing w:after="0"/>
        <w:tabs>
          <w:tab w:leader="none" w:pos="10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52"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that changes in the values of the investments will occur in the near term and that such changes could materially affect participants’ account balances and the amounts reported in the statement of net assets available for benefits.</w:t>
      </w:r>
    </w:p>
    <w:p>
      <w:pPr>
        <w:spacing w:after="0" w:line="197"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assets held by the Master Trust include The Toro Company Common Stock. At December 31, 2009 and 2008, approximately 30% of the investments of the Master Trust were invested in Common Stock of the Company. The underlying value of the Company’s Common Stock is entirely dependent upon the performance of the Company and the market’s evaluation of such performance and other factors.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  Fully Benefit-Responsive Investment Contracts</w:t>
      </w:r>
    </w:p>
    <w:p>
      <w:pPr>
        <w:spacing w:after="0" w:line="25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2009 and 2008 was 3.40% and 5.29%, respectively.</w:t>
      </w:r>
    </w:p>
    <w:p>
      <w:pPr>
        <w:spacing w:after="0" w:line="18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1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Fidelity (trustee of the Plan), J.P. Morgan Retirement Plan Services (former trustee of the Plan), and The Toro Company are parties-in-interest with respect to the Plan. The Plan’s investments are held by Fidelity, and some of the investment funds available to participants include mutual funds managed by Fidelity. In the opinion of the Plan’s legal counsel, transactions between the Plan and the trustee are exempt from being considered as “prohibited transactions” under the ERISA Section 408(b).</w:t>
      </w:r>
    </w:p>
    <w:p>
      <w:pPr>
        <w:spacing w:after="0" w:line="209"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48"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Plan obtained its latest determination letter on February 19, 2008, in which the Internal Revenue Service stated that the Plan, as then designed, was in compliance with the applicable requirements of the Internal Revenue Code. The Plan has been amended since the date of this letter. However, the Plan Administrator believes that the Plan is currently designed and being operated in compliance with the applicable requirements of the Internal Revenue Code. Therefore, no provision for income taxes has been included in the Plan’s financial statements.</w:t>
      </w:r>
    </w:p>
    <w:p>
      <w:pPr>
        <w:spacing w:after="0" w:line="185"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4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connection with the preparation of the financial statements in accordance with the provisions of ASC 855, Subsequent Events, the Company evaluated subsequent events after the statement of net assets available for benefits date of December 31, 2009 through June 23, 2010, which was the date the final statements were available to be issued, and determined there are no additional items to disclose.</w:t>
      </w:r>
    </w:p>
    <w:p>
      <w:pPr>
        <w:spacing w:after="0" w:line="18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Fair values of Master Trust investments at December 31, 2009 and 2008 were as follows: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104,183,622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104,389,900</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193,218,407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158,746,139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Pooled Funds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67,136,494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53,263,895</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Master Trust Investments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523,284,662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438,094,858</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Master Trust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2,728,068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2,099,274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660" w:type="dxa"/>
            <w:vAlign w:val="bottom"/>
            <w:gridSpan w:val="2"/>
          </w:tcPr>
          <w:p>
            <w:pPr>
              <w:jc w:val="right"/>
              <w:ind w:right="2240"/>
              <w:spacing w:after="0"/>
              <w:rPr>
                <w:sz w:val="20"/>
                <w:szCs w:val="20"/>
                <w:color w:val="auto"/>
              </w:rPr>
            </w:pPr>
            <w:r>
              <w:rPr>
                <w:rFonts w:ascii="Arial" w:cs="Arial" w:eastAsia="Arial" w:hAnsi="Arial"/>
                <w:sz w:val="18"/>
                <w:szCs w:val="18"/>
                <w:color w:val="auto"/>
                <w:w w:val="99"/>
              </w:rPr>
              <w:t>Notes to Financial Statements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660" w:type="dxa"/>
            <w:vAlign w:val="bottom"/>
            <w:gridSpan w:val="2"/>
          </w:tcPr>
          <w:p>
            <w:pPr>
              <w:jc w:val="right"/>
              <w:ind w:right="2260"/>
              <w:spacing w:after="0"/>
              <w:rPr>
                <w:sz w:val="20"/>
                <w:szCs w:val="20"/>
                <w:color w:val="auto"/>
              </w:rPr>
            </w:pPr>
            <w:r>
              <w:rPr>
                <w:rFonts w:ascii="Arial" w:cs="Arial" w:eastAsia="Arial" w:hAnsi="Arial"/>
                <w:sz w:val="18"/>
                <w:szCs w:val="18"/>
                <w:color w:val="auto"/>
                <w:w w:val="99"/>
              </w:rPr>
              <w:t>December 31, 2009 and 2008</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20" w:type="dxa"/>
            <w:vAlign w:val="bottom"/>
            <w:gridSpan w:val="3"/>
          </w:tcPr>
          <w:p>
            <w:pPr>
              <w:ind w:left="640"/>
              <w:spacing w:after="0"/>
              <w:rPr>
                <w:sz w:val="20"/>
                <w:szCs w:val="20"/>
                <w:color w:val="auto"/>
              </w:rPr>
            </w:pPr>
            <w:r>
              <w:rPr>
                <w:rFonts w:ascii="Arial" w:cs="Arial" w:eastAsia="Arial" w:hAnsi="Arial"/>
                <w:sz w:val="18"/>
                <w:szCs w:val="18"/>
                <w:color w:val="auto"/>
                <w:w w:val="90"/>
              </w:rPr>
              <w:t>Net investment income (loss) for the Master Trust for the years-ended December 31, 2009 and 2008 was as follows: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99"/>
              </w:rPr>
              <w:t>Net realized and unrealized appreciation (depreciation)</w:t>
            </w:r>
          </w:p>
        </w:tc>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in fair value of investments</w:t>
            </w: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Collective Trusts</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9,015,165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Registered Investment Securities</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42,330,621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(106,951,020)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35,544,807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(86,099,937)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Pooled Funds</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12,281,063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(18,327,833)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Net realized and unrealized appreciation (depreciation)</w:t>
            </w:r>
          </w:p>
        </w:tc>
        <w:tc>
          <w:tcPr>
            <w:tcW w:w="4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99,171,656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(211,733,629)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Dividends</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4,215,433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8,021,144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 (loss)</w:t>
            </w:r>
          </w:p>
        </w:tc>
        <w:tc>
          <w:tcPr>
            <w:tcW w:w="4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103,387,089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(203,474,183)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jc w:val="both"/>
        <w:ind w:left="980" w:right="180" w:firstLine="158"/>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jc w:val="both"/>
        <w:ind w:left="980" w:right="160" w:firstLine="174"/>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14"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The Master Trust’s investments in common stock and registered investment securities are classified as Level 1 assets in the fair value hierarchy, while the Master Trust’s investments in common collective trusts and pooled funds are classified as Level 2 assets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2009 and 2008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as of December 31, 2009 and December 31, 2008 are summarized below:</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December 31, 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158,746,139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158,746,139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193,218,407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193,218,407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Pooled Funds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67,136,494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67,136,494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351,964,546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171,320,116</w:t>
            </w: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523,284,662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December 31, 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130,120,605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150,320,458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104,389,900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Pooled Funds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53,263,895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53,263,895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280,441,063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438,094,858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5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2009 and 2008 that represent 5% or more of the Master Trust’s net assets in either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E</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91,706,130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92,054,997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36,584,929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28,339,242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54,973,274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41,181,028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35,190,860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Eaton Vance Large Cap Value I</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38,510,863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158,746,139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130,120,605</w:t>
            </w:r>
          </w:p>
        </w:tc>
      </w:tr>
      <w:tr>
        <w:trPr>
          <w:trHeight w:val="688"/>
        </w:trPr>
        <w:tc>
          <w:tcPr>
            <w:tcW w:w="20" w:type="dxa"/>
            <w:vAlign w:val="bottom"/>
          </w:tcPr>
          <w:p>
            <w:pPr>
              <w:spacing w:after="0"/>
              <w:rPr>
                <w:sz w:val="24"/>
                <w:szCs w:val="24"/>
                <w:color w:val="auto"/>
              </w:rPr>
            </w:pPr>
          </w:p>
        </w:tc>
        <w:tc>
          <w:tcPr>
            <w:tcW w:w="1004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(8)  Reconciliation of Differences Between these Financial Statements and the Financial Information Required on Form 5500: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2,730,822</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2009</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assets available for benefits as presented on Form 5500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2,731,472</w:t>
            </w: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616,572</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Net increase in net assets available for benefits as</w:t>
            </w: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presented on Form 5500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628,064</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The Toro Company Profit-Sharing Plan for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Plymouth Union Employees</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Date: June 23, 2010</w:t>
            </w: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By: /s/ Stephen P. Wolfe</w:t>
            </w:r>
          </w:p>
        </w:tc>
      </w:tr>
      <w:tr>
        <w:trPr>
          <w:trHeight w:val="20"/>
        </w:trPr>
        <w:tc>
          <w:tcPr>
            <w:tcW w:w="3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Stephen P. Wolfe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Vice President Finance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of The Toro Company</w:t>
            </w:r>
          </w:p>
        </w:tc>
      </w:tr>
      <w:tr>
        <w:trPr>
          <w:trHeight w:val="1455"/>
        </w:trPr>
        <w:tc>
          <w:tcPr>
            <w:tcW w:w="356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2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23.1</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bl>
    <w:p>
      <w:pPr>
        <w:sectPr>
          <w:pgSz w:w="11900" w:h="16838" w:orient="portrait"/>
          <w:cols w:equalWidth="0" w:num="1">
            <w:col w:w="11420"/>
          </w:cols>
          <w:pgMar w:left="240" w:top="999"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incorporation by reference in the Registration Statement (No. 333-119506) on Form S-8 of The Toro Company, of our report dated June 23, 2010, relating to the statements of net assets available for benefits of The Toro Company Profit-Sharing Plan for Plymouth Union Employees as of December 31, 2009 and 2008, and the related statements of changes in net assets available for benefits for the years then ended, which report appears in the December 31, 2009 annual report on Form 11-K of The Toro Company Profit-Sharing Plan for Plymouth Union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2010</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2019-12-10T05:04:44Z</dcterms:created>
  <dcterms:modified xsi:type="dcterms:W3CDTF">2019-12-10T05:04:44Z</dcterms:modified>
</cp:coreProperties>
</file>