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-230505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5267960</wp:posOffset>
            </wp:positionH>
            <wp:positionV relativeFrom="paragraph">
              <wp:posOffset>-591185</wp:posOffset>
            </wp:positionV>
            <wp:extent cx="8255" cy="5918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3957320</wp:posOffset>
            </wp:positionH>
            <wp:positionV relativeFrom="paragraph">
              <wp:posOffset>-598805</wp:posOffset>
            </wp:positionV>
            <wp:extent cx="8255" cy="5994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-574675</wp:posOffset>
            </wp:positionV>
            <wp:extent cx="1271270" cy="551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551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25400</wp:posOffset>
            </wp:positionV>
            <wp:extent cx="6971665" cy="1574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57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Drake Angela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04/01/2020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00" w:hanging="9"/>
        <w:spacing w:after="0" w:line="23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02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Construction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1" w:space="720"/>
            <w:col w:w="3349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55420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2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-2475230</wp:posOffset>
            </wp:positionH>
            <wp:positionV relativeFrom="paragraph">
              <wp:posOffset>145415</wp:posOffset>
            </wp:positionV>
            <wp:extent cx="6971665" cy="1271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271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639.044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639.044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04/01/2020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222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61.57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417.044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639.044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639.044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23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1,279.096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-2022475</wp:posOffset>
            </wp:positionV>
            <wp:extent cx="7035165" cy="2062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06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3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and related dividend equivalents vest and become non-forfeitable in three equal annual installments commencing on April 1, 2020, which is the first anniversary of the date of grant.</w:t>
      </w:r>
    </w:p>
    <w:p>
      <w:pPr>
        <w:spacing w:after="0" w:line="5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date of grant.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/s/ Nancy A. McGrath,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04/02/2020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785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2020-04-02T14:36:57Z</dcterms:created>
  <dcterms:modified xsi:type="dcterms:W3CDTF">2020-04-02T14:36:57Z</dcterms:modified>
</cp:coreProperties>
</file>