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471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711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554"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74"/>
        <w:spacing w:after="0"/>
        <w:rPr>
          <w:sz w:val="20"/>
          <w:szCs w:val="20"/>
          <w:color w:val="auto"/>
        </w:rPr>
      </w:pPr>
      <w:r>
        <w:rPr>
          <w:rFonts w:ascii="Arial" w:cs="Arial" w:eastAsia="Arial" w:hAnsi="Arial"/>
          <w:sz w:val="17"/>
          <w:szCs w:val="17"/>
          <w:color w:val="0000FF"/>
        </w:rPr>
        <w:t>General Manager, Intl</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ind w:left="160"/>
              <w:spacing w:after="0" w:line="216" w:lineRule="exact"/>
              <w:rPr>
                <w:sz w:val="20"/>
                <w:szCs w:val="20"/>
                <w:color w:val="auto"/>
              </w:rPr>
            </w:pPr>
            <w:r>
              <w:rPr>
                <w:rFonts w:ascii="Arial" w:cs="Arial" w:eastAsia="Arial" w:hAnsi="Arial"/>
                <w:sz w:val="17"/>
                <w:szCs w:val="17"/>
                <w:color w:val="0000FF"/>
                <w:w w:val="97"/>
              </w:rPr>
              <w:t>6,563.6119</w:t>
            </w:r>
            <w:r>
              <w:rPr>
                <w:rFonts w:ascii="Arial" w:cs="Arial" w:eastAsia="Arial" w:hAnsi="Arial"/>
                <w:sz w:val="22"/>
                <w:szCs w:val="22"/>
                <w:color w:val="008000"/>
                <w:w w:val="97"/>
                <w:vertAlign w:val="superscript"/>
              </w:rPr>
              <w:t>(1)</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4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rPr>
              <w:t>3,900</w:t>
            </w:r>
          </w:p>
        </w:tc>
        <w:tc>
          <w:tcPr>
            <w:tcW w:w="2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3,900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3"/>
                <w:szCs w:val="13"/>
                <w:color w:val="0000FF"/>
              </w:rPr>
              <w:t>3,900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8"/>
        <w:spacing w:after="0" w:line="249"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15.6879 Shares of Common Stock acquired by the reporting person on January 12, 2007, 15.169 Shares of Common Stock acquired by the reporting person on April 12, 2007, 12.7356 Shares of Common Stock acquired by the reporting person on July 12, 2007 and 13.8887 Shares of Common Stock acquired by the reporting person on October 17, 2007. Also includes 93.9858 Shares of Common Stock acquired by the reporting person through contributions to The Toro Company Investment, Savings &amp; ESOP since the date of his last report.</w:t>
      </w:r>
    </w:p>
    <w:p>
      <w:pPr>
        <w:spacing w:after="0" w:line="24"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00" w:type="dxa"/>
            <w:vAlign w:val="bottom"/>
            <w:gridSpan w:val="2"/>
          </w:tcPr>
          <w:p>
            <w:pPr>
              <w:ind w:left="100"/>
              <w:spacing w:after="0"/>
              <w:rPr>
                <w:sz w:val="20"/>
                <w:szCs w:val="20"/>
                <w:color w:val="auto"/>
              </w:rPr>
            </w:pPr>
            <w:r>
              <w:rPr>
                <w:rFonts w:ascii="Arial" w:cs="Arial" w:eastAsia="Arial" w:hAnsi="Arial"/>
                <w:sz w:val="17"/>
                <w:szCs w:val="17"/>
                <w:color w:val="0000FF"/>
                <w:w w:val="91"/>
              </w:rPr>
              <w:t>11/30/2007</w:t>
            </w:r>
          </w:p>
        </w:tc>
      </w:tr>
      <w:tr>
        <w:trPr>
          <w:trHeight w:val="235"/>
        </w:trPr>
        <w:tc>
          <w:tcPr>
            <w:tcW w:w="20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2"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9" w:lineRule="exact"/>
        <w:rPr>
          <w:sz w:val="20"/>
          <w:szCs w:val="20"/>
          <w:color w:val="auto"/>
        </w:rPr>
      </w:pPr>
    </w:p>
    <w:p>
      <w:pPr>
        <w:ind w:right="2759"/>
        <w:spacing w:after="0" w:line="257"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2" w:lineRule="exact"/>
        <w:rPr>
          <w:sz w:val="20"/>
          <w:szCs w:val="20"/>
          <w:color w:val="auto"/>
        </w:rPr>
      </w:pPr>
    </w:p>
    <w:p>
      <w:pPr>
        <w:ind w:left="120" w:right="2759" w:hanging="104"/>
        <w:spacing w:after="0" w:line="252"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199" w:lineRule="exact"/>
        <w:rPr>
          <w:sz w:val="20"/>
          <w:szCs w:val="20"/>
          <w:color w:val="auto"/>
        </w:rPr>
      </w:pPr>
    </w:p>
    <w:p>
      <w:pPr>
        <w:ind w:left="120" w:right="3179" w:hanging="104"/>
        <w:spacing w:after="0" w:line="251"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196" w:lineRule="exact"/>
        <w:rPr>
          <w:sz w:val="20"/>
          <w:szCs w:val="20"/>
          <w:color w:val="auto"/>
        </w:rPr>
      </w:pPr>
    </w:p>
    <w:p>
      <w:pPr>
        <w:jc w:val="both"/>
        <w:ind w:right="28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9"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2019-12-16T04:27:23Z</dcterms:created>
  <dcterms:modified xsi:type="dcterms:W3CDTF">2019-12-16T04:27:23Z</dcterms:modified>
</cp:coreProperties>
</file>