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6, 2025, The Toro Company announced its financial results for the three month period ended January 31, 2025.</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440" w:type="dxa"/>
            <w:vAlign w:val="bottom"/>
          </w:tcPr>
          <w:p>
            <w:pPr>
              <w:spacing w:after="0"/>
              <w:rPr>
                <w:sz w:val="22"/>
                <w:szCs w:val="22"/>
                <w:color w:val="auto"/>
              </w:rPr>
            </w:pPr>
          </w:p>
        </w:tc>
        <w:tc>
          <w:tcPr>
            <w:tcW w:w="442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444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Press release dated March 6, 2025 (furnished herewith).</w:t>
            </w:r>
          </w:p>
        </w:tc>
        <w:tc>
          <w:tcPr>
            <w:tcW w:w="4420" w:type="dxa"/>
            <w:vAlign w:val="bottom"/>
          </w:tcPr>
          <w:p>
            <w:pPr>
              <w:spacing w:after="0"/>
              <w:rPr>
                <w:sz w:val="18"/>
                <w:szCs w:val="18"/>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March 6, 2025</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The Toro Company Reports Results for the </w:t>
      </w:r>
      <w:r>
        <w:rPr>
          <w:rFonts w:ascii="Arial" w:cs="Arial" w:eastAsia="Arial" w:hAnsi="Arial"/>
          <w:sz w:val="19"/>
          <w:szCs w:val="19"/>
          <w:b w:val="1"/>
          <w:bCs w:val="1"/>
          <w:color w:val="auto"/>
        </w:rPr>
        <w:t>First</w:t>
      </w:r>
      <w:r>
        <w:rPr>
          <w:rFonts w:ascii="Arial" w:cs="Arial" w:eastAsia="Arial" w:hAnsi="Arial"/>
          <w:sz w:val="22"/>
          <w:szCs w:val="22"/>
          <w:b w:val="1"/>
          <w:bCs w:val="1"/>
          <w:color w:val="auto"/>
        </w:rPr>
        <w:t xml:space="preserve"> Quarter of Fiscal 2025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Highlighted by Professional Segment Growth and Profitability Improvement</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net sales of $1.0 billion, down slightly from the same period of fiscal 2024</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reported diluted EPS of $0.52, compared to $0.62 in the same period of fiscal 2024</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*adjusted diluted EPS of $0.65, up from $0.64 in the same period of fiscal 2024</w:t>
      </w:r>
    </w:p>
    <w:p>
      <w:pPr>
        <w:spacing w:after="0" w:line="13" w:lineRule="exact"/>
        <w:rPr>
          <w:rFonts w:ascii="Arial" w:cs="Arial" w:eastAsia="Arial" w:hAnsi="Arial"/>
          <w:sz w:val="20"/>
          <w:szCs w:val="20"/>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Maintains full-year fiscal 2025 net sales and *adjusted diluted EPS guidance</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March 6, 2025—</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 provider</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of solutions for the outdoor environment, </w:t>
      </w:r>
      <w:r>
        <w:rPr>
          <w:rFonts w:ascii="Arial" w:cs="Arial" w:eastAsia="Arial" w:hAnsi="Arial"/>
          <w:sz w:val="20"/>
          <w:szCs w:val="20"/>
          <w:color w:val="000000"/>
        </w:rPr>
        <w:t>today reported results for its fiscal first quarter ended January 31, 2025.</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“Fiscal 2025 is off to a solid start as we exceeded our first-quarter bottom-line expectations, driven by our team’s disciplined execution, the continued momentum of our Amplifying Maximum Productivity (“AMP”) initiative, and the improvement of our professional segment earnings margin,” said Richard M. Olson, chairman and chief executive officer. “We achieved this result despite below-average snowfall in key markets. During the quarter, we also returned $100 million to shareholders through share repurchases, reflecting our improved cash flow and confidence in our ability to deliver positive results in fiscal 2025 and beyond.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drove first-quarter net sales growth in the professional segment with increased output for golf and grounds products to address sustained demand and elevated order backlog, while also capitalizing on strong channel orders for our new, innovative lineup of zero turn mowers. Professional segment growth was offset by lower shipments in the residential segment, as expected, due to elevated field inventory levels of snow products heading into the quarter as well as the Pope Products divestiture last year.</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Toro Company’s market-leading innovation was readily apparent at the recent GCSAA trade show, where we showcased our suite of robotic solutions that enable significant labor and cost savings for golf customers, while delivering high-quality performance. These included the introduction of our new Toro® Turf Pro™ autonomous mower and our Toro® Range Pro™ golf ball picking robot. We also announced an exclusive partnership with TerraRad to introduce a first-of-its-kind, data-driven soil moisture sensing and irrigation control technology. This software will recommend and enable real-time sprinkler adjustments to help superintendents enhance turf health, while reducing water consumption and operational cost.”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confident in our ability to extend our market leadership and drive value for all stakeholders, supported by the strength of our business fundamentals and balance sheet. Demand trends in our key growth markets remain strong with our golf business coming off another record-setting year of rounds played, and a very positive runway for global infrastructure spending. We expect dealer field inventories for our lawn care and snow and ice management businesses to be positioned better compared to last year as we head into the upcoming turf season and second half 2025 snow pre-season. We recognize the heightened level of uncertainty affecting the macro environment, including a decline in consumer confidence and rapidly evolving trade policy. We are prepared to take operational and pricing actions, as appropriate, to position the company for success. As a reminder, our products perform necessary work and the vast majority are produced in the U.S. Importantly, our entire enterprise remains focused on driving productivity with our AMP initiative. We’ve delivered $64 million in run-rate cost savings to-date, and are on track to deliver $100 million by fiscal 2027, a portion of which we intend to prudently reinvest to drive further innovation and growth,” concluded Olson.</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fiscal 2025, management maintains expectations for total company net sales growth in the range of 0% to 1% and *adjusted diluted EPS in the range of $4.25 to $4.40. This guidance is based on current visibility and reflects:</w:t>
      </w:r>
    </w:p>
    <w:p>
      <w:pPr>
        <w:spacing w:after="0" w:line="15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color w:val="auto"/>
        </w:rPr>
        <w:t>continued strong demand and stable supply for our underground construction and golf and grounds businesses,</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a continuation of macro factors that have driven increased consumer and channel caution,</w:t>
      </w:r>
    </w:p>
    <w:p>
      <w:pPr>
        <w:ind w:left="660" w:right="20" w:hanging="328"/>
        <w:spacing w:after="0" w:line="241"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remaining adjustments needed to normalize dealer field inventories of lawn care products and snow and ice management solutions, and</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weather patterns aligned with historical averages for the remainder of the fiscal year.</w:t>
      </w:r>
    </w:p>
    <w:p>
      <w:pPr>
        <w:spacing w:after="0" w:line="14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Due to the uncertain and rapidly changing tariff environment, this guidance excludes all incremental tariffs introduced year to date, with the exception of the additional tariffs on China imports that came into effect in February.</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2025 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Reported</w:t>
            </w: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0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F25 Q1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F24 Q1</w:t>
            </w:r>
          </w:p>
        </w:tc>
        <w:tc>
          <w:tcPr>
            <w:tcW w:w="138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 Change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F25 Q1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F24 Q1</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1,001.9</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1,001.9</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52.8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64.9</w:t>
            </w:r>
          </w:p>
        </w:tc>
        <w:tc>
          <w:tcPr>
            <w:tcW w:w="138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66.5</w:t>
            </w: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FIRST-QUARTER FISCAL 2025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$768.8 million, up 1.6% from $756.5 million in the same period last year. The increase was primarily driven by higher shipments of golf and grounds products and zero turn mowers, along with net price realization, partially offset by lower shipments of compact utility loaders.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$127.2 million, up from $112.8 million in the same period last year, and when expressed as a percentage of net sales, 16.5%, up from 14.9% in the prior-year period. The increase in profitability was primarily due to net sales leverage, product mix, and productivity improvements, partially offset by higher material, manufacturing, and freight costs.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$221.0 million, down 8.0% from $240.1 million in the same period last year. The decrease was primarily driven by lower shipments of snow products, portable power products, the prior year Pope Products divestiture, and higher sales promotions and incentives, partially offset by higher shipments of zero turn and walk power mowers.</w:t>
      </w:r>
    </w:p>
    <w:p>
      <w:pPr>
        <w:spacing w:after="0" w:line="13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$17.2 million, down from $23.5 million in the same period last year, and when expressed as a percentage of net sales, 7.8%, down from 9.8% in the prior-year period. The year-over-year decrease was largely driven by higher material, manufacturing, and freight costs, increased sales promotions and incentives, and product mix, partially offset by productivity improvements.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and *adjusted gross margin for the first quarter were 33.7% and 34.1%, respectively, down from 34.4% for both in the same prior-year period. The change in gross margin was due to higher material and manufacturing costs and higher AMP productivity initiative charges, partially offset by productivity improvements. The change on an adjusted basis was primarily due to higher material and manufacturing costs, partially offset by productivity improvements.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SG&amp;A expense as a percentage of net sales for the first quarter was 25.9%, compared with 25.6% in the prior-year period. The increase was primarily driven by higher productivity initiative charges, partially offset by lower marketing costs.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7.8% for the first quarter, compared with 8.8% in the same prior-year period. *Adjusted operating earnings as a percentage of net sales for the first quarter were 9.4%, compared with 9.2%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$15.0 million for the first quarter, down $1.2 million from the same prior-year period. This decrease was primarily due to lower average outstanding borrowings and lower average interest rates.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reported effective tax rate for the first quarter was 20.1%, compared with 19.0% in the same prior-year period. The increase was primarily due to lower tax benefits recorded as excess tax deductions for stock-based compensation in the current-year period, partially offset by a more favorable geographic mix of earnings. The *adjusted effective tax rate for the first quarter was 20.2% compared with 20.8% in the same prior-year period. The decrease was primarily due to a more favorable geographic mix of earnings in the current-year period.</w:t>
      </w:r>
    </w:p>
    <w:p>
      <w:pPr>
        <w:spacing w:after="0" w:line="200" w:lineRule="exact"/>
        <w:rPr>
          <w:sz w:val="20"/>
          <w:szCs w:val="20"/>
          <w:color w:val="auto"/>
        </w:rPr>
      </w:pPr>
    </w:p>
    <w:p>
      <w:pPr>
        <w:spacing w:after="0" w:line="37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6, 2025 at 10:00a.m.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CST on March 6, 2025.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portfolio of brands that includes Toro, Ditch Witch, Exmark, Spartan, BOSS, Ventrac, American Augers, Trencor, Subsite, HammerHead, Radius, Perrot, Hayter, Unique Lighting Systems, Irritrol, and Lawn-Boy. Through constant innovation and caring relationships built on trust and integrity, The Toro Company and its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2025 to diluted EPS, which is the most directly comparable GAAP measure, in reliance on the unreasonable efforts exception provided under Item 10(e)(1)(i)(B) of Regulation S-K. The company’s adjusted diluted EPS guidance for fiscal 2025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2025 to diluted EPS reconciliation without unreasonable efforts. A quantitative reconciliation of adjusted diluted EPS for fiscal 2025 to diluted EPS would imply a degree of precision and certainty as to these future items that does not exist and could be confusing to investors. From a qualitative perspective, it is anticipated that the differences between adjusted diluted EPS for fiscal 2025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2025 financial guidance, expectations regarding demand trends, backlog and field inventory levels, our ability to manufacture products to meet demand, and the AMP initiative,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weather;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the company’s ability to manufacture products to meet demand; disruption at or in proximity to its facilities or in its manufacturing or other operations, or those in its distribution channel customers, mass retailers or home centers where its products are sold, or suppliers; risks associated with acquisitions and dispositions; impacts of the company’s AMP initiative and any future restructuring activities or productivity or cost savings initiatives; geopolitical factors and government policies and actions with respect to global trade, tariffs, U.S. trade policy and trade agreements;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sustainability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(Unaudited) (Dollars and shares in millions, except per-share data)</w:t>
      </w:r>
    </w:p>
    <w:p>
      <w:pPr>
        <w:spacing w:after="0" w:line="157" w:lineRule="exact"/>
        <w:rPr>
          <w:sz w:val="20"/>
          <w:szCs w:val="20"/>
          <w:color w:val="auto"/>
        </w:rPr>
      </w:pPr>
    </w:p>
    <w:p>
      <w:pPr>
        <w:ind w:left="896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2"/>
          </w:tcPr>
          <w:p>
            <w:pPr>
              <w:ind w:left="1320"/>
              <w:spacing w:after="0"/>
              <w:rPr>
                <w:sz w:val="20"/>
                <w:szCs w:val="20"/>
                <w:color w:val="auto"/>
              </w:rPr>
            </w:pPr>
            <w:r>
              <w:rPr>
                <w:rFonts w:ascii="Arial" w:cs="Arial" w:eastAsia="Arial" w:hAnsi="Arial"/>
                <w:sz w:val="17"/>
                <w:szCs w:val="17"/>
                <w:b w:val="1"/>
                <w:bCs w:val="1"/>
                <w:color w:val="auto"/>
              </w:rPr>
              <w:t>January 31, 2025</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February 2, 2024</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720" w:type="dxa"/>
            <w:vAlign w:val="bottom"/>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995.0</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1,001.9</w:t>
            </w: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659.4</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657.4</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335.6</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344.5</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1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33.7 %</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34.4 %</w:t>
            </w:r>
          </w:p>
        </w:tc>
      </w:tr>
      <w:tr>
        <w:trPr>
          <w:trHeight w:val="21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257.8</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255.9</w:t>
            </w:r>
          </w:p>
        </w:tc>
      </w:tr>
      <w:tr>
        <w:trPr>
          <w:trHeight w:val="209"/>
        </w:trPr>
        <w:tc>
          <w:tcPr>
            <w:tcW w:w="704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1720" w:type="dxa"/>
            <w:vAlign w:val="bottom"/>
          </w:tcPr>
          <w:p>
            <w:pPr>
              <w:spacing w:after="0"/>
              <w:rPr>
                <w:sz w:val="18"/>
                <w:szCs w:val="18"/>
                <w:color w:val="auto"/>
              </w:rPr>
            </w:pPr>
          </w:p>
        </w:tc>
        <w:tc>
          <w:tcPr>
            <w:tcW w:w="1020" w:type="dxa"/>
            <w:vAlign w:val="bottom"/>
          </w:tcPr>
          <w:p>
            <w:pPr>
              <w:jc w:val="right"/>
              <w:ind w:right="197"/>
              <w:spacing w:after="0"/>
              <w:rPr>
                <w:sz w:val="20"/>
                <w:szCs w:val="20"/>
                <w:color w:val="auto"/>
              </w:rPr>
            </w:pPr>
            <w:r>
              <w:rPr>
                <w:rFonts w:ascii="Arial" w:cs="Arial" w:eastAsia="Arial" w:hAnsi="Arial"/>
                <w:sz w:val="17"/>
                <w:szCs w:val="17"/>
                <w:color w:val="auto"/>
              </w:rPr>
              <w:t>77.8</w:t>
            </w:r>
          </w:p>
        </w:tc>
        <w:tc>
          <w:tcPr>
            <w:tcW w:w="420" w:type="dxa"/>
            <w:vAlign w:val="bottom"/>
          </w:tcPr>
          <w:p>
            <w:pPr>
              <w:spacing w:after="0"/>
              <w:rPr>
                <w:sz w:val="18"/>
                <w:szCs w:val="18"/>
                <w:color w:val="auto"/>
              </w:rPr>
            </w:pPr>
          </w:p>
        </w:tc>
        <w:tc>
          <w:tcPr>
            <w:tcW w:w="1040" w:type="dxa"/>
            <w:vAlign w:val="bottom"/>
          </w:tcPr>
          <w:p>
            <w:pPr>
              <w:jc w:val="right"/>
              <w:ind w:right="137"/>
              <w:spacing w:after="0"/>
              <w:rPr>
                <w:sz w:val="20"/>
                <w:szCs w:val="20"/>
                <w:color w:val="auto"/>
              </w:rPr>
            </w:pPr>
            <w:r>
              <w:rPr>
                <w:rFonts w:ascii="Arial" w:cs="Arial" w:eastAsia="Arial" w:hAnsi="Arial"/>
                <w:sz w:val="17"/>
                <w:szCs w:val="17"/>
                <w:color w:val="auto"/>
              </w:rPr>
              <w:t>88.6</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(16.2)</w:t>
            </w: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1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3.3</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7.7</w:t>
            </w:r>
          </w:p>
        </w:tc>
      </w:tr>
      <w:tr>
        <w:trPr>
          <w:trHeight w:val="209"/>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1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66.1</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80.1</w:t>
            </w: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provision</w:t>
            </w:r>
          </w:p>
        </w:tc>
        <w:tc>
          <w:tcPr>
            <w:tcW w:w="1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13.3</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15.2</w:t>
            </w:r>
          </w:p>
        </w:tc>
      </w:tr>
      <w:tr>
        <w:trPr>
          <w:trHeight w:val="235"/>
        </w:trPr>
        <w:tc>
          <w:tcPr>
            <w:tcW w:w="7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17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52.8</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64.9</w:t>
            </w:r>
          </w:p>
        </w:tc>
      </w:tr>
      <w:tr>
        <w:trPr>
          <w:trHeight w:val="20"/>
        </w:trPr>
        <w:tc>
          <w:tcPr>
            <w:tcW w:w="70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0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7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0.52</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0.62</w:t>
            </w:r>
          </w:p>
        </w:tc>
      </w:tr>
      <w:tr>
        <w:trPr>
          <w:trHeight w:val="74"/>
        </w:trPr>
        <w:tc>
          <w:tcPr>
            <w:tcW w:w="70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0"/>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7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0.52</w:t>
            </w:r>
          </w:p>
        </w:tc>
        <w:tc>
          <w:tcPr>
            <w:tcW w:w="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0.62</w:t>
            </w:r>
          </w:p>
        </w:tc>
      </w:tr>
      <w:tr>
        <w:trPr>
          <w:trHeight w:val="74"/>
        </w:trPr>
        <w:tc>
          <w:tcPr>
            <w:tcW w:w="7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101.3</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104.4</w:t>
            </w:r>
          </w:p>
        </w:tc>
      </w:tr>
      <w:tr>
        <w:trPr>
          <w:trHeight w:val="95"/>
        </w:trPr>
        <w:tc>
          <w:tcPr>
            <w:tcW w:w="70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101.7</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104.7</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201" w:lineRule="exact"/>
        <w:rPr>
          <w:sz w:val="20"/>
          <w:szCs w:val="20"/>
          <w:color w:val="auto"/>
        </w:rPr>
      </w:pPr>
    </w:p>
    <w:p>
      <w:pPr>
        <w:ind w:left="91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Segment net sales</w:t>
            </w:r>
          </w:p>
        </w:tc>
        <w:tc>
          <w:tcPr>
            <w:tcW w:w="3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17"/>
              <w:spacing w:after="0" w:line="164" w:lineRule="exact"/>
              <w:rPr>
                <w:sz w:val="20"/>
                <w:szCs w:val="20"/>
                <w:color w:val="auto"/>
              </w:rPr>
            </w:pPr>
            <w:r>
              <w:rPr>
                <w:rFonts w:ascii="Arial" w:cs="Arial" w:eastAsia="Arial" w:hAnsi="Arial"/>
                <w:sz w:val="17"/>
                <w:szCs w:val="17"/>
                <w:b w:val="1"/>
                <w:bCs w:val="1"/>
                <w:color w:val="auto"/>
                <w:w w:val="98"/>
              </w:rPr>
              <w:t>January 31,</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97"/>
              <w:spacing w:after="0" w:line="164" w:lineRule="exact"/>
              <w:rPr>
                <w:sz w:val="20"/>
                <w:szCs w:val="20"/>
                <w:color w:val="auto"/>
              </w:rPr>
            </w:pPr>
            <w:r>
              <w:rPr>
                <w:rFonts w:ascii="Arial" w:cs="Arial" w:eastAsia="Arial" w:hAnsi="Arial"/>
                <w:sz w:val="17"/>
                <w:szCs w:val="17"/>
                <w:b w:val="1"/>
                <w:bCs w:val="1"/>
                <w:color w:val="auto"/>
              </w:rPr>
              <w:t>February 2,</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auto"/>
            </w:tcBorders>
            <w:vMerge w:val="continue"/>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2025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3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768.8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756.5</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14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221.0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240.1</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5.2</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1,001.9</w:t>
            </w:r>
          </w:p>
        </w:tc>
        <w:tc>
          <w:tcPr>
            <w:tcW w:w="0" w:type="dxa"/>
            <w:vAlign w:val="bottom"/>
          </w:tcPr>
          <w:p>
            <w:pPr>
              <w:spacing w:after="0"/>
              <w:rPr>
                <w:sz w:val="1"/>
                <w:szCs w:val="1"/>
                <w:color w:val="auto"/>
              </w:rPr>
            </w:pPr>
          </w:p>
        </w:tc>
      </w:tr>
      <w:tr>
        <w:trPr>
          <w:trHeight w:val="21"/>
        </w:trPr>
        <w:tc>
          <w:tcPr>
            <w:tcW w:w="56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60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1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12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26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57"/>
              <w:spacing w:after="0" w:line="164" w:lineRule="exact"/>
              <w:rPr>
                <w:sz w:val="20"/>
                <w:szCs w:val="20"/>
                <w:color w:val="auto"/>
              </w:rPr>
            </w:pPr>
            <w:r>
              <w:rPr>
                <w:rFonts w:ascii="Arial" w:cs="Arial" w:eastAsia="Arial" w:hAnsi="Arial"/>
                <w:sz w:val="17"/>
                <w:szCs w:val="17"/>
                <w:b w:val="1"/>
                <w:bCs w:val="1"/>
                <w:color w:val="auto"/>
                <w:w w:val="98"/>
              </w:rPr>
              <w:t>January 31,</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97"/>
              <w:spacing w:after="0" w:line="164" w:lineRule="exact"/>
              <w:rPr>
                <w:sz w:val="20"/>
                <w:szCs w:val="20"/>
                <w:color w:val="auto"/>
              </w:rPr>
            </w:pPr>
            <w:r>
              <w:rPr>
                <w:rFonts w:ascii="Arial" w:cs="Arial" w:eastAsia="Arial" w:hAnsi="Arial"/>
                <w:sz w:val="17"/>
                <w:szCs w:val="17"/>
                <w:b w:val="1"/>
                <w:bCs w:val="1"/>
                <w:color w:val="auto"/>
              </w:rPr>
              <w:t>February 2,</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vMerge w:val="continue"/>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2025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2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127.2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262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17.2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income taxes</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8"/>
              </w:rPr>
              <w:t>January 31, 2025</w:t>
            </w: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9"/>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October 31, 2024</w:t>
            </w:r>
          </w:p>
        </w:tc>
      </w:tr>
      <w:tr>
        <w:trPr>
          <w:trHeight w:val="169"/>
        </w:trPr>
        <w:tc>
          <w:tcPr>
            <w:tcW w:w="20" w:type="dxa"/>
            <w:vAlign w:val="bottom"/>
            <w:shd w:val="clear" w:color="auto" w:fill="CCEEFF"/>
          </w:tcPr>
          <w:p>
            <w:pPr>
              <w:spacing w:after="0"/>
              <w:rPr>
                <w:sz w:val="14"/>
                <w:szCs w:val="14"/>
                <w:color w:val="auto"/>
              </w:rPr>
            </w:pPr>
          </w:p>
        </w:tc>
        <w:tc>
          <w:tcPr>
            <w:tcW w:w="472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171.3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198.5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199.5</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494.3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489.1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1,143.1</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1,177.1</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1,038.9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87.5</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101.8</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09"/>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1,896.2</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1,966.5</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1,764.9</w:t>
            </w:r>
          </w:p>
        </w:tc>
      </w:tr>
      <w:tr>
        <w:trPr>
          <w:trHeight w:val="74"/>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637.8</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639.2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644.8</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449.8</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451.2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450.3</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490.6</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531.5</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498.7</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113.0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121.8</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48.0</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48.4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46.2</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20.3</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16"/>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15.1</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22.2</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3,696.7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3,801.1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15.0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6.8</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447.1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421.8</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511.3</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474.5</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493.0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19.7</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18.8</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09"/>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993.1</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921.9</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976.0</w:t>
            </w:r>
          </w:p>
        </w:tc>
      </w:tr>
      <w:tr>
        <w:trPr>
          <w:trHeight w:val="75"/>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1,091.9</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1,179.8</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911.8</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98.3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108.4</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0.5</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r>
      <w:tr>
        <w:trPr>
          <w:trHeight w:val="94"/>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100.3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104.0</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r>
      <w:tr>
        <w:trPr>
          <w:trHeight w:val="216"/>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1,414.5</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1,478.9</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1,496.4</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10"/>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1,467.6</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1,547.9</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1,551.9</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3,696.7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3,801.1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0" w:name="page11"/>
    <w:bookmarkEnd w:id="10"/>
    <w:p>
      <w:pPr>
        <w:jc w:val="center"/>
        <w:ind w:left="340" w:right="25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millions)</w:t>
      </w:r>
    </w:p>
    <w:p>
      <w:pPr>
        <w:spacing w:after="0" w:line="157"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98"/>
              </w:rPr>
              <w:t>January 31, 2025</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9"/>
              </w:rPr>
              <w:t>February 2, 2024</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52.8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64.9</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used in operating activities:</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160" w:type="dxa"/>
            <w:vAlign w:val="bottom"/>
          </w:tcPr>
          <w:p>
            <w:pPr>
              <w:spacing w:after="0"/>
              <w:rPr>
                <w:sz w:val="18"/>
                <w:szCs w:val="18"/>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24.2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22.0</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160" w:type="dxa"/>
            <w:vAlign w:val="bottom"/>
          </w:tcPr>
          <w:p>
            <w:pPr>
              <w:spacing w:after="0"/>
              <w:rPr>
                <w:sz w:val="18"/>
                <w:szCs w:val="18"/>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0.8</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(107.2)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(86.4)</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1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18.6</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10"/>
        </w:trPr>
        <w:tc>
          <w:tcPr>
            <w:tcW w:w="67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operating activities</w:t>
            </w: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w:t>
            </w:r>
          </w:p>
        </w:tc>
      </w:tr>
      <w:tr>
        <w:trPr>
          <w:trHeight w:val="74"/>
        </w:trPr>
        <w:tc>
          <w:tcPr>
            <w:tcW w:w="67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09"/>
        </w:trPr>
        <w:tc>
          <w:tcPr>
            <w:tcW w:w="67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r>
      <w:tr>
        <w:trPr>
          <w:trHeight w:val="74"/>
        </w:trPr>
        <w:tc>
          <w:tcPr>
            <w:tcW w:w="67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borrowings under the revolving credit facility</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185.0</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160" w:type="dxa"/>
            <w:vAlign w:val="bottom"/>
          </w:tcPr>
          <w:p>
            <w:pPr>
              <w:spacing w:after="0"/>
              <w:rPr>
                <w:sz w:val="18"/>
                <w:szCs w:val="18"/>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0.7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6740" w:type="dxa"/>
            <w:vAlign w:val="bottom"/>
          </w:tcPr>
          <w:p>
            <w:pPr>
              <w:ind w:left="140"/>
              <w:spacing w:after="0"/>
              <w:rPr>
                <w:sz w:val="20"/>
                <w:szCs w:val="20"/>
                <w:color w:val="auto"/>
              </w:rPr>
            </w:pPr>
            <w:r>
              <w:rPr>
                <w:rFonts w:ascii="Arial" w:cs="Arial" w:eastAsia="Arial" w:hAnsi="Arial"/>
                <w:sz w:val="17"/>
                <w:szCs w:val="17"/>
                <w:color w:val="auto"/>
              </w:rPr>
              <w:t>Common stock repurchases</w:t>
            </w: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1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r>
      <w:tr>
        <w:trPr>
          <w:trHeight w:val="216"/>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6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financing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44.6</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w:t>
            </w:r>
          </w:p>
        </w:tc>
      </w:tr>
      <w:tr>
        <w:trPr>
          <w:trHeight w:val="75"/>
        </w:trPr>
        <w:tc>
          <w:tcPr>
            <w:tcW w:w="6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16"/>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75"/>
        </w:trPr>
        <w:tc>
          <w:tcPr>
            <w:tcW w:w="6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16"/>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199.5</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r>
      <w:tr>
        <w:trPr>
          <w:trHeight w:val="235"/>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171.3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198.5</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1" w:name="page12"/>
    <w:bookmarkEnd w:id="11"/>
    <w:p>
      <w:pPr>
        <w:jc w:val="center"/>
        <w:ind w:left="340" w:right="2760"/>
        <w:spacing w:after="0" w:line="262"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millions, except per-share data)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the non-GAAP financial performance measures used in this press release and our related earnings call to the most directly comparable measures calculated and reported in accordance with U.S. GAAP for the three month periods ended January 31, 2025 and February 2, 2024:</w:t>
      </w:r>
    </w:p>
    <w:p>
      <w:pPr>
        <w:spacing w:after="0" w:line="175" w:lineRule="exact"/>
        <w:rPr>
          <w:sz w:val="20"/>
          <w:szCs w:val="20"/>
          <w:color w:val="auto"/>
        </w:rPr>
      </w:pPr>
    </w:p>
    <w:p>
      <w:pPr>
        <w:ind w:left="898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3"/>
          </w:tcPr>
          <w:p>
            <w:pPr>
              <w:ind w:left="2580"/>
              <w:spacing w:after="0"/>
              <w:rPr>
                <w:sz w:val="20"/>
                <w:szCs w:val="20"/>
                <w:color w:val="auto"/>
              </w:rPr>
            </w:pPr>
            <w:r>
              <w:rPr>
                <w:rFonts w:ascii="Arial" w:cs="Arial" w:eastAsia="Arial" w:hAnsi="Arial"/>
                <w:sz w:val="17"/>
                <w:szCs w:val="17"/>
                <w:b w:val="1"/>
                <w:bCs w:val="1"/>
                <w:color w:val="auto"/>
              </w:rPr>
              <w:t>January 31, 2025</w:t>
            </w:r>
          </w:p>
        </w:tc>
        <w:tc>
          <w:tcPr>
            <w:tcW w:w="144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7"/>
                <w:szCs w:val="17"/>
                <w:b w:val="1"/>
                <w:bCs w:val="1"/>
                <w:color w:val="auto"/>
                <w:w w:val="99"/>
              </w:rPr>
              <w:t>February 2, 2024</w:t>
            </w: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980" w:type="dxa"/>
            <w:vAlign w:val="bottom"/>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344.5</w:t>
            </w:r>
          </w:p>
        </w:tc>
        <w:tc>
          <w:tcPr>
            <w:tcW w:w="18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2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r>
      <w:tr>
        <w:trPr>
          <w:trHeight w:val="20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2980" w:type="dxa"/>
            <w:vAlign w:val="bottom"/>
            <w:tcBorders>
              <w:bottom w:val="single" w:sz="8" w:color="auto"/>
            </w:tcBorders>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339.4</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344.5</w:t>
            </w:r>
          </w:p>
        </w:tc>
        <w:tc>
          <w:tcPr>
            <w:tcW w:w="180" w:type="dxa"/>
            <w:vAlign w:val="bottom"/>
            <w:tcBorders>
              <w:bottom w:val="single" w:sz="8" w:color="auto"/>
            </w:tcBorders>
            <w:shd w:val="clear" w:color="auto" w:fill="CCEEFF"/>
          </w:tcPr>
          <w:p>
            <w:pPr>
              <w:spacing w:after="0"/>
              <w:rPr>
                <w:sz w:val="18"/>
                <w:szCs w:val="18"/>
                <w:color w:val="auto"/>
              </w:rPr>
            </w:pPr>
          </w:p>
        </w:tc>
      </w:tr>
      <w:tr>
        <w:trPr>
          <w:trHeight w:val="88"/>
        </w:trPr>
        <w:tc>
          <w:tcPr>
            <w:tcW w:w="580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34.4 %</w:t>
            </w:r>
          </w:p>
        </w:tc>
      </w:tr>
      <w:tr>
        <w:trPr>
          <w:trHeight w:val="216"/>
        </w:trPr>
        <w:tc>
          <w:tcPr>
            <w:tcW w:w="5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2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0.4 %</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margin</w:t>
            </w:r>
          </w:p>
        </w:tc>
        <w:tc>
          <w:tcPr>
            <w:tcW w:w="29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34.1 %</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34.4 %</w:t>
            </w:r>
          </w:p>
        </w:tc>
      </w:tr>
      <w:tr>
        <w:trPr>
          <w:trHeight w:val="74"/>
        </w:trPr>
        <w:tc>
          <w:tcPr>
            <w:tcW w:w="580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980" w:type="dxa"/>
            <w:vAlign w:val="bottom"/>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18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2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80" w:type="dxa"/>
            <w:vAlign w:val="bottom"/>
            <w:tcBorders>
              <w:bottom w:val="single" w:sz="8" w:color="auto"/>
            </w:tcBorders>
          </w:tcPr>
          <w:p>
            <w:pPr>
              <w:spacing w:after="0"/>
              <w:rPr>
                <w:sz w:val="18"/>
                <w:szCs w:val="18"/>
                <w:color w:val="auto"/>
              </w:rPr>
            </w:pPr>
          </w:p>
        </w:tc>
      </w:tr>
      <w:tr>
        <w:trPr>
          <w:trHeight w:val="20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operating earnings</w:t>
            </w:r>
          </w:p>
        </w:tc>
        <w:tc>
          <w:tcPr>
            <w:tcW w:w="2980" w:type="dxa"/>
            <w:vAlign w:val="bottom"/>
            <w:tcBorders>
              <w:bottom w:val="single" w:sz="8" w:color="auto"/>
            </w:tcBorders>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80" w:type="dxa"/>
            <w:vAlign w:val="bottom"/>
            <w:tcBorders>
              <w:bottom w:val="single" w:sz="8" w:color="auto"/>
            </w:tcBorders>
            <w:shd w:val="clear" w:color="auto" w:fill="CCEEFF"/>
          </w:tcPr>
          <w:p>
            <w:pPr>
              <w:spacing w:after="0"/>
              <w:rPr>
                <w:sz w:val="18"/>
                <w:szCs w:val="18"/>
                <w:color w:val="auto"/>
              </w:rPr>
            </w:pPr>
          </w:p>
        </w:tc>
      </w:tr>
      <w:tr>
        <w:trPr>
          <w:trHeight w:val="88"/>
        </w:trPr>
        <w:tc>
          <w:tcPr>
            <w:tcW w:w="580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 margin</w:t>
            </w:r>
          </w:p>
        </w:tc>
        <w:tc>
          <w:tcPr>
            <w:tcW w:w="2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8.8 %</w:t>
            </w:r>
          </w:p>
        </w:tc>
      </w:tr>
      <w:tr>
        <w:trPr>
          <w:trHeight w:val="216"/>
        </w:trPr>
        <w:tc>
          <w:tcPr>
            <w:tcW w:w="5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2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79"/>
              </w:rPr>
              <w:t>%</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w:t>
            </w:r>
          </w:p>
        </w:tc>
      </w:tr>
      <w:tr>
        <w:trPr>
          <w:trHeight w:val="210"/>
        </w:trPr>
        <w:tc>
          <w:tcPr>
            <w:tcW w:w="5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operating earnings margin</w:t>
            </w:r>
          </w:p>
        </w:tc>
        <w:tc>
          <w:tcPr>
            <w:tcW w:w="29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9.2 %</w:t>
            </w:r>
          </w:p>
        </w:tc>
      </w:tr>
      <w:tr>
        <w:trPr>
          <w:trHeight w:val="88"/>
        </w:trPr>
        <w:tc>
          <w:tcPr>
            <w:tcW w:w="580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2980" w:type="dxa"/>
            <w:vAlign w:val="bottom"/>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8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2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80" w:type="dxa"/>
            <w:vAlign w:val="bottom"/>
            <w:tcBorders>
              <w:bottom w:val="single" w:sz="8" w:color="auto"/>
            </w:tcBorders>
          </w:tcPr>
          <w:p>
            <w:pPr>
              <w:spacing w:after="0"/>
              <w:rPr>
                <w:sz w:val="18"/>
                <w:szCs w:val="18"/>
                <w:color w:val="auto"/>
              </w:rPr>
            </w:pPr>
          </w:p>
        </w:tc>
      </w:tr>
      <w:tr>
        <w:trPr>
          <w:trHeight w:val="20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earnings before income taxes</w:t>
            </w:r>
          </w:p>
        </w:tc>
        <w:tc>
          <w:tcPr>
            <w:tcW w:w="2980" w:type="dxa"/>
            <w:vAlign w:val="bottom"/>
            <w:tcBorders>
              <w:bottom w:val="single" w:sz="8" w:color="auto"/>
            </w:tcBorders>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80" w:type="dxa"/>
            <w:vAlign w:val="bottom"/>
            <w:tcBorders>
              <w:bottom w:val="single" w:sz="8" w:color="auto"/>
            </w:tcBorders>
            <w:shd w:val="clear" w:color="auto" w:fill="CCEEFF"/>
          </w:tcPr>
          <w:p>
            <w:pPr>
              <w:spacing w:after="0"/>
              <w:rPr>
                <w:sz w:val="18"/>
                <w:szCs w:val="18"/>
                <w:color w:val="auto"/>
              </w:rPr>
            </w:pPr>
          </w:p>
        </w:tc>
      </w:tr>
      <w:tr>
        <w:trPr>
          <w:trHeight w:val="88"/>
        </w:trPr>
        <w:tc>
          <w:tcPr>
            <w:tcW w:w="580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980" w:type="dxa"/>
            <w:vAlign w:val="bottom"/>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8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2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w:t>
            </w:r>
          </w:p>
        </w:tc>
        <w:tc>
          <w:tcPr>
            <w:tcW w:w="180" w:type="dxa"/>
            <w:vAlign w:val="bottom"/>
          </w:tcPr>
          <w:p>
            <w:pPr>
              <w:spacing w:after="0"/>
              <w:rPr>
                <w:sz w:val="18"/>
                <w:szCs w:val="18"/>
                <w:color w:val="auto"/>
              </w:rPr>
            </w:pPr>
          </w:p>
        </w:tc>
      </w:tr>
      <w:tr>
        <w:trPr>
          <w:trHeight w:val="216"/>
        </w:trPr>
        <w:tc>
          <w:tcPr>
            <w:tcW w:w="5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29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auto"/>
            </w:tcBorders>
            <w:shd w:val="clear" w:color="auto" w:fill="CCEEFF"/>
          </w:tcPr>
          <w:p>
            <w:pPr>
              <w:spacing w:after="0"/>
              <w:rPr>
                <w:sz w:val="18"/>
                <w:szCs w:val="18"/>
                <w:color w:val="auto"/>
              </w:rPr>
            </w:pPr>
          </w:p>
        </w:tc>
      </w:tr>
      <w:tr>
        <w:trPr>
          <w:trHeight w:val="21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income tax provision</w:t>
            </w:r>
          </w:p>
        </w:tc>
        <w:tc>
          <w:tcPr>
            <w:tcW w:w="2980" w:type="dxa"/>
            <w:vAlign w:val="bottom"/>
            <w:tcBorders>
              <w:bottom w:val="single" w:sz="8" w:color="auto"/>
            </w:tcBorders>
          </w:tcPr>
          <w:p>
            <w:pPr>
              <w:ind w:left="2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80" w:type="dxa"/>
            <w:vAlign w:val="bottom"/>
            <w:tcBorders>
              <w:bottom w:val="single" w:sz="8" w:color="auto"/>
            </w:tcBorders>
          </w:tcPr>
          <w:p>
            <w:pPr>
              <w:spacing w:after="0"/>
              <w:rPr>
                <w:sz w:val="18"/>
                <w:szCs w:val="18"/>
                <w:color w:val="auto"/>
              </w:rPr>
            </w:pPr>
          </w:p>
        </w:tc>
      </w:tr>
      <w:tr>
        <w:trPr>
          <w:trHeight w:val="88"/>
        </w:trPr>
        <w:tc>
          <w:tcPr>
            <w:tcW w:w="5800" w:type="dxa"/>
            <w:vAlign w:val="bottom"/>
            <w:tcBorders>
              <w:bottom w:val="single" w:sz="8" w:color="auto"/>
            </w:tcBorders>
            <w:shd w:val="clear" w:color="auto" w:fill="CCEEFF"/>
          </w:tcPr>
          <w:p>
            <w:pPr>
              <w:spacing w:after="0"/>
              <w:rPr>
                <w:sz w:val="7"/>
                <w:szCs w:val="7"/>
                <w:color w:val="auto"/>
              </w:rPr>
            </w:pPr>
          </w:p>
        </w:tc>
        <w:tc>
          <w:tcPr>
            <w:tcW w:w="29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2980" w:type="dxa"/>
            <w:vAlign w:val="bottom"/>
          </w:tcPr>
          <w:p>
            <w:pPr>
              <w:ind w:left="25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52.8</w:t>
            </w:r>
          </w:p>
        </w:tc>
        <w:tc>
          <w:tcPr>
            <w:tcW w:w="22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64.9</w:t>
            </w:r>
          </w:p>
        </w:tc>
        <w:tc>
          <w:tcPr>
            <w:tcW w:w="18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1</w:t>
            </w:r>
          </w:p>
        </w:tc>
        <w:tc>
          <w:tcPr>
            <w:tcW w:w="2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2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auto"/>
            </w:tcBorders>
          </w:tcPr>
          <w:p>
            <w:pPr>
              <w:spacing w:after="0"/>
              <w:rPr>
                <w:sz w:val="18"/>
                <w:szCs w:val="18"/>
                <w:color w:val="auto"/>
              </w:rPr>
            </w:pPr>
          </w:p>
        </w:tc>
      </w:tr>
      <w:tr>
        <w:trPr>
          <w:trHeight w:val="21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net earnings</w:t>
            </w:r>
          </w:p>
        </w:tc>
        <w:tc>
          <w:tcPr>
            <w:tcW w:w="2980" w:type="dxa"/>
            <w:vAlign w:val="bottom"/>
            <w:tcBorders>
              <w:bottom w:val="single" w:sz="8" w:color="auto"/>
            </w:tcBorders>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80" w:type="dxa"/>
            <w:vAlign w:val="bottom"/>
            <w:tcBorders>
              <w:bottom w:val="single" w:sz="8" w:color="auto"/>
            </w:tcBorders>
            <w:shd w:val="clear" w:color="auto" w:fill="CCEEFF"/>
          </w:tcPr>
          <w:p>
            <w:pPr>
              <w:spacing w:after="0"/>
              <w:rPr>
                <w:sz w:val="18"/>
                <w:szCs w:val="18"/>
                <w:color w:val="auto"/>
              </w:rPr>
            </w:pPr>
          </w:p>
        </w:tc>
      </w:tr>
      <w:tr>
        <w:trPr>
          <w:trHeight w:val="88"/>
        </w:trPr>
        <w:tc>
          <w:tcPr>
            <w:tcW w:w="580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2980" w:type="dxa"/>
            <w:vAlign w:val="bottom"/>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8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1</w:t>
            </w:r>
          </w:p>
        </w:tc>
        <w:tc>
          <w:tcPr>
            <w:tcW w:w="2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0.13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0.03</w:t>
            </w:r>
          </w:p>
        </w:tc>
        <w:tc>
          <w:tcPr>
            <w:tcW w:w="180" w:type="dxa"/>
            <w:vAlign w:val="bottom"/>
          </w:tcPr>
          <w:p>
            <w:pPr>
              <w:spacing w:after="0"/>
              <w:rPr>
                <w:sz w:val="18"/>
                <w:szCs w:val="18"/>
                <w:color w:val="auto"/>
              </w:rPr>
            </w:pPr>
          </w:p>
        </w:tc>
      </w:tr>
      <w:tr>
        <w:trPr>
          <w:trHeight w:val="216"/>
        </w:trPr>
        <w:tc>
          <w:tcPr>
            <w:tcW w:w="5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29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tcBorders>
              <w:bottom w:val="single" w:sz="8" w:color="auto"/>
            </w:tcBorders>
            <w:shd w:val="clear" w:color="auto" w:fill="CCEEFF"/>
          </w:tcPr>
          <w:p>
            <w:pPr>
              <w:spacing w:after="0"/>
              <w:rPr>
                <w:sz w:val="18"/>
                <w:szCs w:val="18"/>
                <w:color w:val="auto"/>
              </w:rPr>
            </w:pPr>
          </w:p>
        </w:tc>
      </w:tr>
      <w:tr>
        <w:trPr>
          <w:trHeight w:val="21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2980" w:type="dxa"/>
            <w:vAlign w:val="bottom"/>
            <w:tcBorders>
              <w:bottom w:val="single" w:sz="8" w:color="auto"/>
            </w:tcBorders>
          </w:tcPr>
          <w:p>
            <w:pPr>
              <w:ind w:left="2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80" w:type="dxa"/>
            <w:vAlign w:val="bottom"/>
            <w:tcBorders>
              <w:bottom w:val="single" w:sz="8" w:color="auto"/>
            </w:tcBorders>
          </w:tcPr>
          <w:p>
            <w:pPr>
              <w:spacing w:after="0"/>
              <w:rPr>
                <w:sz w:val="18"/>
                <w:szCs w:val="18"/>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75"/>
        </w:trPr>
        <w:tc>
          <w:tcPr>
            <w:tcW w:w="5800" w:type="dxa"/>
            <w:vAlign w:val="bottom"/>
            <w:tcBorders>
              <w:bottom w:val="single" w:sz="8" w:color="auto"/>
            </w:tcBorders>
            <w:shd w:val="clear" w:color="auto" w:fill="CCEEFF"/>
          </w:tcPr>
          <w:p>
            <w:pPr>
              <w:spacing w:after="0"/>
              <w:rPr>
                <w:sz w:val="6"/>
                <w:szCs w:val="6"/>
                <w:color w:val="auto"/>
              </w:rPr>
            </w:pPr>
          </w:p>
        </w:tc>
        <w:tc>
          <w:tcPr>
            <w:tcW w:w="29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29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20.1 %</w:t>
            </w: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19.0 %</w:t>
            </w:r>
          </w:p>
        </w:tc>
      </w:tr>
      <w:tr>
        <w:trPr>
          <w:trHeight w:val="216"/>
        </w:trPr>
        <w:tc>
          <w:tcPr>
            <w:tcW w:w="5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2</w:t>
            </w:r>
          </w:p>
        </w:tc>
        <w:tc>
          <w:tcPr>
            <w:tcW w:w="29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0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effective tax rate</w:t>
            </w:r>
          </w:p>
        </w:tc>
        <w:tc>
          <w:tcPr>
            <w:tcW w:w="2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20.2 %</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20.8 %</w:t>
            </w: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2" w:name="page13"/>
    <w:bookmarkEnd w:id="12"/>
    <w:p>
      <w:pPr>
        <w:jc w:val="both"/>
        <w:ind w:left="260" w:hanging="171"/>
        <w:spacing w:after="0" w:line="237" w:lineRule="auto"/>
        <w:tabs>
          <w:tab w:leader="none" w:pos="267"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month periods ended January 31, 2025 and February 2, 2024 primarily represent severance and termination benefits, third-party consulting costs, facility exit costs, compensation for fully-dedicated AMP personnel, and product-line exit costs.</w:t>
      </w:r>
    </w:p>
    <w:p>
      <w:pPr>
        <w:spacing w:after="0" w:line="161" w:lineRule="exact"/>
        <w:rPr>
          <w:sz w:val="20"/>
          <w:szCs w:val="20"/>
          <w:color w:val="auto"/>
        </w:rPr>
      </w:pPr>
    </w:p>
    <w:p>
      <w:pPr>
        <w:jc w:val="both"/>
        <w:ind w:left="260" w:hanging="171"/>
        <w:spacing w:after="0" w:line="231" w:lineRule="auto"/>
        <w:tabs>
          <w:tab w:leader="none" w:pos="36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January 31, 2025 and February 2, 2024.</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January 31, 2025 and February 2, 2024:</w:t>
      </w:r>
    </w:p>
    <w:p>
      <w:pPr>
        <w:spacing w:after="0" w:line="182" w:lineRule="exact"/>
        <w:rPr>
          <w:sz w:val="20"/>
          <w:szCs w:val="20"/>
          <w:color w:val="auto"/>
        </w:rPr>
      </w:pPr>
    </w:p>
    <w:p>
      <w:pPr>
        <w:ind w:left="83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19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January 31, 2025</w:t>
            </w: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February 2, 2024</w:t>
            </w: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(48.6)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(92.2)</w:t>
            </w:r>
          </w:p>
        </w:tc>
      </w:tr>
      <w:tr>
        <w:trPr>
          <w:trHeight w:val="216"/>
        </w:trPr>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19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19.1</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19.1</w:t>
            </w:r>
          </w:p>
        </w:tc>
      </w:tr>
      <w:tr>
        <w:trPr>
          <w:trHeight w:val="210"/>
        </w:trPr>
        <w:tc>
          <w:tcPr>
            <w:tcW w:w="5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(67.7)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(111.3)</w:t>
            </w:r>
          </w:p>
        </w:tc>
      </w:tr>
      <w:tr>
        <w:trPr>
          <w:trHeight w:val="216"/>
        </w:trPr>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64.9</w:t>
            </w:r>
          </w:p>
        </w:tc>
      </w:tr>
      <w:tr>
        <w:trPr>
          <w:trHeight w:val="235"/>
        </w:trPr>
        <w:tc>
          <w:tcPr>
            <w:tcW w:w="5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19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52"/>
    </w:lvl>
  </w:abstractNum>
  <w:abstractNum w:abstractNumId="2">
    <w:nsid w:val="507ED7AB"/>
    <w:multiLevelType w:val="hybridMultilevel"/>
    <w:lvl w:ilvl="0">
      <w:lvlJc w:val="left"/>
      <w:lvlText w:val="(%1)"/>
      <w:numFmt w:val="decimal"/>
      <w:start w:val="95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2025-03-06T07:41:34Z</dcterms:created>
  <dcterms:modified xsi:type="dcterms:W3CDTF">2025-03-06T07:41:34Z</dcterms:modified>
</cp:coreProperties>
</file>