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February 17, 2005</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February 22, 2005, The Toro Company announced its earnings for the three months ended January 28, 2005. Attached to this Current Report on Form 8-K as Exhibit 99.1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17, 2005, the Toro Board of Directors elected Michael J. Hoffman, 49, as Toro’s new Chief Executive Officer effective on March 15, 2005 following the Annual Meeting of Stockholders that day. At the same time, Kendrick B. Melrose will step down as Chief Executive Officer of The Toro Company and will assume the role of Executive Chairman of the Board of Directors.</w:t>
      </w:r>
    </w:p>
    <w:p>
      <w:pPr>
        <w:spacing w:after="0" w:line="1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Mr. Melrose’s resignation has been anticipated consistent with the Chief Executive Officer Succession Incentive Agreement. He will continue to serve as Executive Chairman of the Board of Directors, and will be a consultant to the company for five years, under the terms of the Succession Incentive Agreement. Mr. Melrose has been an employee of Toro for 35 years.</w:t>
      </w:r>
    </w:p>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Mr. Hoffman, who has been with Toro for 27 years, was named President and Chief Operating Officer of Toro in October of 2004 and has been responsible for the company’s consumer, landscape contractor and international businesses. Additional inf ormation on Mr. Hoffman’s business experience, positions held, and terms of office is incorporated herein by reference to Proposal Three–Election of Directors in Toro’s Schedule 14A, Definitive Proxy Statement dated January 31, 2005 (Securities and Exchange Commission File No. 1-8649). For information on a Change in Control Agreement, the only employment agreement to which Mr.</w:t>
      </w:r>
    </w:p>
    <w:p>
      <w:pPr>
        <w:spacing w:after="0" w:line="3" w:lineRule="exact"/>
        <w:rPr>
          <w:sz w:val="20"/>
          <w:szCs w:val="20"/>
          <w:color w:val="auto"/>
        </w:rPr>
      </w:pPr>
    </w:p>
    <w:p>
      <w:pPr>
        <w:jc w:val="both"/>
        <w:ind w:right="200"/>
        <w:spacing w:after="0" w:line="331" w:lineRule="auto"/>
        <w:rPr>
          <w:sz w:val="20"/>
          <w:szCs w:val="20"/>
          <w:color w:val="auto"/>
        </w:rPr>
      </w:pPr>
      <w:r>
        <w:rPr>
          <w:rFonts w:ascii="Arial" w:cs="Arial" w:eastAsia="Arial" w:hAnsi="Arial"/>
          <w:sz w:val="15"/>
          <w:szCs w:val="15"/>
          <w:color w:val="auto"/>
        </w:rPr>
        <w:t>Hoffman and Toro are parties, see "Executive Compensation–Employment Agreements" in Toro’s Schedule 14A, Definitive Proxy Statement dated January 31, 2005. Information on the terms of Mr. Hoffman’s employment is also contained in Toro’s Current Report on Form 8-K dated October 18, 2004. Mr. Hoffman’s base salary for fiscal 2005 was set at $550,000 and his participation factor in the Annual Management Incentive Plan II for fiscal 2005 was set at 65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849630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February 22,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4"/>
          <w:szCs w:val="14"/>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Stephen P. Wolfe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Vice President Finance, 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4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86"/>
              </w:rPr>
              <w:t>Registrant's press release dated February 22, 2005 (furnished herewith).</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10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3"/>
              </w:rPr>
              <w:t>Registrant's press release dated February 22, 2005 announcing the</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3"/>
              </w:rPr>
              <w:t>election of Michael J. Hoffman as Chief Executive Officer (furnished</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herewith).</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66" w:lineRule="exact"/>
        <w:rPr>
          <w:sz w:val="20"/>
          <w:szCs w:val="20"/>
          <w:color w:val="auto"/>
        </w:rPr>
      </w:pPr>
    </w:p>
    <w:p>
      <w:pPr>
        <w:ind w:left="300"/>
        <w:spacing w:after="0"/>
        <w:rPr>
          <w:sz w:val="20"/>
          <w:szCs w:val="20"/>
          <w:color w:val="auto"/>
        </w:rPr>
      </w:pPr>
      <w:r>
        <w:rPr>
          <w:rFonts w:ascii="Arial" w:cs="Arial" w:eastAsia="Arial" w:hAnsi="Arial"/>
          <w:sz w:val="32"/>
          <w:szCs w:val="32"/>
          <w:color w:val="auto"/>
        </w:rPr>
        <w:t>The Toro Company</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8111 Lyndale Avenue South,</w:t>
      </w:r>
    </w:p>
    <w:p>
      <w:pPr>
        <w:ind w:left="300"/>
        <w:spacing w:after="0" w:line="230" w:lineRule="auto"/>
        <w:rPr>
          <w:sz w:val="20"/>
          <w:szCs w:val="20"/>
          <w:color w:val="auto"/>
        </w:rPr>
      </w:pPr>
      <w:r>
        <w:rPr>
          <w:rFonts w:ascii="Arial" w:cs="Arial" w:eastAsia="Arial" w:hAnsi="Arial"/>
          <w:sz w:val="22"/>
          <w:szCs w:val="22"/>
          <w:color w:val="auto"/>
        </w:rPr>
        <w:t>Bloomington, Minnesota 55420-1196</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22"/>
          <w:szCs w:val="22"/>
          <w:color w:val="auto"/>
        </w:rPr>
        <w:t>• 952/888-8801 • FAX 952/887-8258</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256"/>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Investor Relations</w:t>
            </w:r>
          </w:p>
        </w:tc>
        <w:tc>
          <w:tcPr>
            <w:tcW w:w="3240" w:type="dxa"/>
            <w:vAlign w:val="bottom"/>
          </w:tcPr>
          <w:p>
            <w:pPr>
              <w:spacing w:after="0"/>
              <w:rPr>
                <w:sz w:val="22"/>
                <w:szCs w:val="22"/>
                <w:color w:val="auto"/>
              </w:rPr>
            </w:pPr>
          </w:p>
        </w:tc>
        <w:tc>
          <w:tcPr>
            <w:tcW w:w="2800" w:type="dxa"/>
            <w:vAlign w:val="bottom"/>
          </w:tcPr>
          <w:p>
            <w:pPr>
              <w:ind w:left="1000"/>
              <w:spacing w:after="0"/>
              <w:rPr>
                <w:sz w:val="20"/>
                <w:szCs w:val="20"/>
                <w:color w:val="auto"/>
              </w:rPr>
            </w:pPr>
            <w:r>
              <w:rPr>
                <w:rFonts w:ascii="Arial" w:cs="Arial" w:eastAsia="Arial" w:hAnsi="Arial"/>
                <w:sz w:val="22"/>
                <w:szCs w:val="22"/>
                <w:b w:val="1"/>
                <w:bCs w:val="1"/>
                <w:color w:val="auto"/>
              </w:rPr>
              <w:t>Media Relations</w:t>
            </w: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240" w:type="dxa"/>
            <w:vAlign w:val="bottom"/>
          </w:tcPr>
          <w:p>
            <w:pPr>
              <w:ind w:left="520"/>
              <w:spacing w:after="0"/>
              <w:rPr>
                <w:sz w:val="20"/>
                <w:szCs w:val="20"/>
                <w:color w:val="auto"/>
              </w:rPr>
            </w:pPr>
            <w:r>
              <w:rPr>
                <w:rFonts w:ascii="Arial" w:cs="Arial" w:eastAsia="Arial" w:hAnsi="Arial"/>
                <w:sz w:val="18"/>
                <w:szCs w:val="18"/>
                <w:color w:val="auto"/>
              </w:rPr>
              <w:t>John Wright</w:t>
            </w:r>
          </w:p>
        </w:tc>
        <w:tc>
          <w:tcPr>
            <w:tcW w:w="2800" w:type="dxa"/>
            <w:vAlign w:val="bottom"/>
          </w:tcPr>
          <w:p>
            <w:pPr>
              <w:ind w:left="720"/>
              <w:spacing w:after="0"/>
              <w:rPr>
                <w:sz w:val="20"/>
                <w:szCs w:val="20"/>
                <w:color w:val="auto"/>
              </w:rPr>
            </w:pPr>
            <w:r>
              <w:rPr>
                <w:rFonts w:ascii="Arial" w:cs="Arial" w:eastAsia="Arial" w:hAnsi="Arial"/>
                <w:sz w:val="18"/>
                <w:szCs w:val="18"/>
                <w:color w:val="auto"/>
              </w:rPr>
              <w:t>Connie Kotke</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Stephen P. Wolfe</w:t>
            </w:r>
          </w:p>
        </w:tc>
        <w:tc>
          <w:tcPr>
            <w:tcW w:w="3240" w:type="dxa"/>
            <w:vAlign w:val="bottom"/>
          </w:tcPr>
          <w:p>
            <w:pPr>
              <w:ind w:left="520"/>
              <w:spacing w:after="0"/>
              <w:rPr>
                <w:sz w:val="20"/>
                <w:szCs w:val="20"/>
                <w:color w:val="auto"/>
              </w:rPr>
            </w:pPr>
            <w:r>
              <w:rPr>
                <w:rFonts w:ascii="Arial" w:cs="Arial" w:eastAsia="Arial" w:hAnsi="Arial"/>
                <w:sz w:val="18"/>
                <w:szCs w:val="18"/>
                <w:color w:val="auto"/>
              </w:rPr>
              <w:t>Director, Investor Relations</w:t>
            </w:r>
          </w:p>
        </w:tc>
        <w:tc>
          <w:tcPr>
            <w:tcW w:w="2800" w:type="dxa"/>
            <w:vAlign w:val="bottom"/>
          </w:tcPr>
          <w:p>
            <w:pPr>
              <w:ind w:left="720"/>
              <w:spacing w:after="0"/>
              <w:rPr>
                <w:sz w:val="20"/>
                <w:szCs w:val="20"/>
                <w:color w:val="auto"/>
              </w:rPr>
            </w:pPr>
            <w:r>
              <w:rPr>
                <w:rFonts w:ascii="Arial" w:cs="Arial" w:eastAsia="Arial" w:hAnsi="Arial"/>
                <w:sz w:val="18"/>
                <w:szCs w:val="18"/>
                <w:color w:val="auto"/>
              </w:rPr>
              <w:t>Toro Media Relations</w:t>
            </w:r>
          </w:p>
        </w:tc>
        <w:tc>
          <w:tcPr>
            <w:tcW w:w="22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Web Site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Vice President, CFO</w:t>
            </w:r>
          </w:p>
        </w:tc>
        <w:tc>
          <w:tcPr>
            <w:tcW w:w="3240" w:type="dxa"/>
            <w:vAlign w:val="bottom"/>
          </w:tcPr>
          <w:p>
            <w:pPr>
              <w:ind w:left="520"/>
              <w:spacing w:after="0"/>
              <w:rPr>
                <w:sz w:val="20"/>
                <w:szCs w:val="20"/>
                <w:color w:val="auto"/>
              </w:rPr>
            </w:pPr>
            <w:r>
              <w:rPr>
                <w:rFonts w:ascii="Arial" w:cs="Arial" w:eastAsia="Arial" w:hAnsi="Arial"/>
                <w:sz w:val="18"/>
                <w:szCs w:val="18"/>
                <w:color w:val="auto"/>
              </w:rPr>
              <w:t>(952) 887-8865</w:t>
            </w:r>
          </w:p>
        </w:tc>
        <w:tc>
          <w:tcPr>
            <w:tcW w:w="2800" w:type="dxa"/>
            <w:vAlign w:val="bottom"/>
          </w:tcPr>
          <w:p>
            <w:pPr>
              <w:ind w:left="720"/>
              <w:spacing w:after="0"/>
              <w:rPr>
                <w:sz w:val="20"/>
                <w:szCs w:val="20"/>
                <w:color w:val="auto"/>
              </w:rPr>
            </w:pPr>
            <w:r>
              <w:rPr>
                <w:rFonts w:ascii="Arial" w:cs="Arial" w:eastAsia="Arial" w:hAnsi="Arial"/>
                <w:sz w:val="18"/>
                <w:szCs w:val="18"/>
                <w:color w:val="auto"/>
              </w:rPr>
              <w:t>(952) 887-8984</w:t>
            </w:r>
          </w:p>
        </w:tc>
        <w:tc>
          <w:tcPr>
            <w:tcW w:w="2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(952) 887-8076</w:t>
            </w:r>
          </w:p>
        </w:tc>
        <w:tc>
          <w:tcPr>
            <w:tcW w:w="3240" w:type="dxa"/>
            <w:vAlign w:val="bottom"/>
          </w:tcPr>
          <w:p>
            <w:pPr>
              <w:spacing w:after="0"/>
              <w:rPr>
                <w:sz w:val="20"/>
                <w:szCs w:val="20"/>
                <w:color w:val="auto"/>
              </w:rPr>
            </w:pPr>
          </w:p>
        </w:tc>
        <w:tc>
          <w:tcPr>
            <w:tcW w:w="2800" w:type="dxa"/>
            <w:vAlign w:val="bottom"/>
          </w:tcPr>
          <w:p>
            <w:pPr>
              <w:ind w:left="720"/>
              <w:spacing w:after="0"/>
              <w:rPr>
                <w:sz w:val="20"/>
                <w:szCs w:val="20"/>
                <w:color w:val="auto"/>
              </w:rPr>
            </w:pPr>
            <w:r>
              <w:rPr>
                <w:rFonts w:ascii="Arial" w:cs="Arial" w:eastAsia="Arial" w:hAnsi="Arial"/>
                <w:sz w:val="18"/>
                <w:szCs w:val="18"/>
                <w:color w:val="auto"/>
              </w:rPr>
              <w:t>www, pr@toro.com</w:t>
            </w:r>
          </w:p>
        </w:tc>
        <w:tc>
          <w:tcPr>
            <w:tcW w:w="2240" w:type="dxa"/>
            <w:vAlign w:val="bottom"/>
          </w:tcPr>
          <w:p>
            <w:pPr>
              <w:ind w:left="300"/>
              <w:spacing w:after="0"/>
              <w:rPr>
                <w:sz w:val="20"/>
                <w:szCs w:val="20"/>
                <w:color w:val="auto"/>
              </w:rPr>
            </w:pPr>
            <w:r>
              <w:rPr>
                <w:rFonts w:ascii="Arial" w:cs="Arial" w:eastAsia="Arial" w:hAnsi="Arial"/>
                <w:sz w:val="18"/>
                <w:szCs w:val="18"/>
                <w:color w:val="auto"/>
                <w:w w:val="90"/>
              </w:rPr>
              <w:t>www.thetorocompany.com</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TORO FIRST QUARTER NET EARNINGS PER SHARE A RECORD $0.47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ON 10.6% SALES GROWTH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February 22, 10:00 a.m. CT</w:t>
      </w:r>
    </w:p>
    <w:p>
      <w:pPr>
        <w:jc w:val="center"/>
        <w:spacing w:after="0"/>
        <w:rPr>
          <w:sz w:val="20"/>
          <w:szCs w:val="20"/>
          <w:color w:val="auto"/>
        </w:rPr>
      </w:pPr>
      <w:r>
        <w:rPr>
          <w:rFonts w:ascii="Arial" w:cs="Arial" w:eastAsia="Arial" w:hAnsi="Arial"/>
          <w:sz w:val="22"/>
          <w:szCs w:val="22"/>
          <w:u w:val="single" w:color="auto"/>
          <w:color w:val="auto"/>
        </w:rPr>
        <w:t>www.thetorocompany.com/invest</w:t>
      </w:r>
    </w:p>
    <w:p>
      <w:pPr>
        <w:spacing w:after="0" w:line="188"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9"/>
          <w:szCs w:val="19"/>
          <w:color w:val="auto"/>
        </w:rPr>
        <w:t>BLOOMINGTON, Minn. (Feb. 22, 2005) – The Toro Company (NYSE: TTC) today reported net earnings of $11.2 million, or $0.47 per diluted share, on net sales of $346.9 million for its fiscal 2005 first quarter ended January 28, 2005. In its fiscal 2004 first quarter, the company reported net earnings of $9.3 million, or $0.36 per diluted share, on net sales of $313.6 million.</w:t>
      </w:r>
    </w:p>
    <w:p>
      <w:pPr>
        <w:spacing w:after="0" w:line="134" w:lineRule="exact"/>
        <w:rPr>
          <w:sz w:val="20"/>
          <w:szCs w:val="20"/>
          <w:color w:val="auto"/>
        </w:rPr>
      </w:pPr>
    </w:p>
    <w:p>
      <w:pPr>
        <w:ind w:right="280" w:firstLine="456"/>
        <w:spacing w:after="0" w:line="282" w:lineRule="auto"/>
        <w:rPr>
          <w:sz w:val="20"/>
          <w:szCs w:val="20"/>
          <w:color w:val="auto"/>
        </w:rPr>
      </w:pPr>
      <w:r>
        <w:rPr>
          <w:rFonts w:ascii="Arial" w:cs="Arial" w:eastAsia="Arial" w:hAnsi="Arial"/>
          <w:sz w:val="19"/>
          <w:szCs w:val="19"/>
          <w:color w:val="auto"/>
        </w:rPr>
        <w:t>“Our strong momentum continued into the new fiscal year as our ongoing efforts to increase sales and improve profitability benefited overall performance,” said Kendrick B. Melrose, The Toro Company Chairman and Chief Executive Officer. Melrose said results for Toro’s first quarter, typically the seasonally smallest sales period, were fueled by double-digit sales growth in its Professional segment as well as in international sales of both Professional and Residential products. “International net sales, commensurate with our growth strategy, increased nearly 19.0% compared with last year.”</w:t>
      </w:r>
    </w:p>
    <w:p>
      <w:pPr>
        <w:spacing w:after="0" w:line="148" w:lineRule="exact"/>
        <w:rPr>
          <w:sz w:val="20"/>
          <w:szCs w:val="20"/>
          <w:color w:val="auto"/>
        </w:rPr>
      </w:pPr>
    </w:p>
    <w:p>
      <w:pPr>
        <w:ind w:right="160" w:firstLine="456"/>
        <w:spacing w:after="0"/>
        <w:rPr>
          <w:sz w:val="20"/>
          <w:szCs w:val="20"/>
          <w:color w:val="auto"/>
        </w:rPr>
      </w:pPr>
      <w:r>
        <w:rPr>
          <w:rFonts w:ascii="Arial" w:cs="Arial" w:eastAsia="Arial" w:hAnsi="Arial"/>
          <w:sz w:val="22"/>
          <w:szCs w:val="22"/>
          <w:color w:val="auto"/>
        </w:rPr>
        <w:t>First quarter net income increased on strong revenue growth coupled with a decline in sales, general and administrative (SG&amp;A) expenses as a percentage of sales resulting primarily from lower warranty costs and the effects of the company-wide ‘No Waste’ initiatives.</w:t>
      </w:r>
    </w:p>
    <w:p>
      <w:pPr>
        <w:spacing w:after="0" w:line="176"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SEGMENT RESULTS</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22"/>
          <w:szCs w:val="22"/>
          <w:color w:val="auto"/>
        </w:rPr>
        <w:t>Segment data is provided in the table following the “Condensed Consolidated Statements of Earnings.”</w:t>
      </w:r>
    </w:p>
    <w:p>
      <w:pPr>
        <w:spacing w:after="0" w:line="220" w:lineRule="exact"/>
        <w:rPr>
          <w:sz w:val="20"/>
          <w:szCs w:val="20"/>
          <w:color w:val="auto"/>
        </w:rPr>
      </w:pPr>
    </w:p>
    <w:p>
      <w:pPr>
        <w:ind w:right="200" w:firstLine="456"/>
        <w:spacing w:after="0" w:line="328" w:lineRule="auto"/>
        <w:rPr>
          <w:sz w:val="20"/>
          <w:szCs w:val="20"/>
          <w:color w:val="auto"/>
        </w:rPr>
      </w:pPr>
      <w:r>
        <w:rPr>
          <w:rFonts w:ascii="Arial" w:cs="Arial" w:eastAsia="Arial" w:hAnsi="Arial"/>
          <w:sz w:val="19"/>
          <w:szCs w:val="19"/>
          <w:color w:val="auto"/>
        </w:rPr>
        <w:t>The Distribution segment results have been consolidated into the Other segment as the financial results for this reporting segment no longer meet the quantitative thresholds for separate reporting. Other segment results are detailed in the attached table.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Professional</w:t>
      </w:r>
    </w:p>
    <w:p>
      <w:pPr>
        <w:spacing w:after="0" w:line="212" w:lineRule="exact"/>
        <w:rPr>
          <w:sz w:val="20"/>
          <w:szCs w:val="20"/>
          <w:color w:val="auto"/>
        </w:rPr>
      </w:pPr>
    </w:p>
    <w:p>
      <w:pPr>
        <w:ind w:firstLine="456"/>
        <w:spacing w:after="0" w:line="277" w:lineRule="auto"/>
        <w:rPr>
          <w:sz w:val="20"/>
          <w:szCs w:val="20"/>
          <w:color w:val="auto"/>
        </w:rPr>
      </w:pPr>
      <w:r>
        <w:rPr>
          <w:rFonts w:ascii="Arial" w:cs="Arial" w:eastAsia="Arial" w:hAnsi="Arial"/>
          <w:sz w:val="19"/>
          <w:szCs w:val="19"/>
          <w:color w:val="auto"/>
        </w:rPr>
        <w:t>Compared with the prior year, fiscal 2005 first quarter professional segment sales increased 18.1% to $245.2 million. Volume increased in nearly all product categories, reflecting Toro’s leadership position in professional segment products, positive market conditions and strong retail demand. “At the recent Golf Industry Show our customers expressed increasing optimism about the golf business and many are forecasting a successful year,” said Melrose. “While new course construction remains slow, investments in course renovations and improvements continue to drive demand for our equipment, services and systems. This same optimism was prevalent at other industry tradeshows during the quarter, where landscape contractors and sports turf professionals were very bullish about their business and the outlook for this season.”</w:t>
      </w:r>
    </w:p>
    <w:p>
      <w:pPr>
        <w:spacing w:after="0" w:line="153" w:lineRule="exact"/>
        <w:rPr>
          <w:sz w:val="20"/>
          <w:szCs w:val="20"/>
          <w:color w:val="auto"/>
        </w:rPr>
      </w:pPr>
    </w:p>
    <w:p>
      <w:pPr>
        <w:ind w:right="620" w:firstLine="456"/>
        <w:spacing w:after="0" w:line="251" w:lineRule="auto"/>
        <w:rPr>
          <w:sz w:val="20"/>
          <w:szCs w:val="20"/>
          <w:color w:val="auto"/>
        </w:rPr>
      </w:pPr>
      <w:r>
        <w:rPr>
          <w:rFonts w:ascii="Arial" w:cs="Arial" w:eastAsia="Arial" w:hAnsi="Arial"/>
          <w:sz w:val="22"/>
          <w:szCs w:val="22"/>
          <w:color w:val="auto"/>
        </w:rPr>
        <w:t>Earnings for the first quarter totaled $38.9 million, up 36.6% compared with $28.4 million in the prior year first quarter resulting from higher sales volume and improved leveraging of expenses.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Residential</w:t>
      </w:r>
    </w:p>
    <w:p>
      <w:pPr>
        <w:spacing w:after="0" w:line="212" w:lineRule="exact"/>
        <w:rPr>
          <w:sz w:val="20"/>
          <w:szCs w:val="20"/>
          <w:color w:val="auto"/>
        </w:rPr>
      </w:pPr>
    </w:p>
    <w:p>
      <w:pPr>
        <w:ind w:right="240" w:firstLine="456"/>
        <w:spacing w:after="0"/>
        <w:rPr>
          <w:sz w:val="20"/>
          <w:szCs w:val="20"/>
          <w:color w:val="auto"/>
        </w:rPr>
      </w:pPr>
      <w:r>
        <w:rPr>
          <w:rFonts w:ascii="Arial" w:cs="Arial" w:eastAsia="Arial" w:hAnsi="Arial"/>
          <w:sz w:val="22"/>
          <w:szCs w:val="22"/>
          <w:color w:val="auto"/>
        </w:rPr>
        <w:t>Residential segment sales for the first quarter totaled $95.9 million, down 2.1% from last year’s first quarter. A late-arriving snow season in many parts of the country helped boost retail sales for snow throwers, but not early enough to keep the expected shipments for mowers and riding products moving into the channels.</w:t>
      </w:r>
    </w:p>
    <w:p>
      <w:pPr>
        <w:spacing w:after="0" w:line="186" w:lineRule="exact"/>
        <w:rPr>
          <w:sz w:val="20"/>
          <w:szCs w:val="20"/>
          <w:color w:val="auto"/>
        </w:rPr>
      </w:pPr>
    </w:p>
    <w:p>
      <w:pPr>
        <w:ind w:right="140" w:firstLine="456"/>
        <w:spacing w:after="0"/>
        <w:rPr>
          <w:sz w:val="20"/>
          <w:szCs w:val="20"/>
          <w:color w:val="auto"/>
        </w:rPr>
      </w:pPr>
      <w:r>
        <w:rPr>
          <w:rFonts w:ascii="Arial" w:cs="Arial" w:eastAsia="Arial" w:hAnsi="Arial"/>
          <w:sz w:val="22"/>
          <w:szCs w:val="22"/>
          <w:color w:val="auto"/>
        </w:rPr>
        <w:t>Earnings for the first quarter totaled $4.4 million, down 46.8% compared with the same period last year. The decline resulted primarily from lower than expected sales as well as steel and other commodity price increases not present in the first quarter of fiscal 2004.</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REVIEW OF OPERATIONS</w:t>
      </w:r>
    </w:p>
    <w:p>
      <w:pPr>
        <w:spacing w:after="0" w:line="212" w:lineRule="exact"/>
        <w:rPr>
          <w:sz w:val="20"/>
          <w:szCs w:val="20"/>
          <w:color w:val="auto"/>
        </w:rPr>
      </w:pPr>
    </w:p>
    <w:p>
      <w:pPr>
        <w:ind w:right="40" w:firstLine="456"/>
        <w:spacing w:after="0" w:line="252" w:lineRule="auto"/>
        <w:rPr>
          <w:sz w:val="20"/>
          <w:szCs w:val="20"/>
          <w:color w:val="auto"/>
        </w:rPr>
      </w:pPr>
      <w:r>
        <w:rPr>
          <w:rFonts w:ascii="Arial" w:cs="Arial" w:eastAsia="Arial" w:hAnsi="Arial"/>
          <w:sz w:val="21"/>
          <w:szCs w:val="21"/>
          <w:color w:val="auto"/>
        </w:rPr>
        <w:t>Gross margin for the first quarter was 35.1% compared with 35.9% in the first quarter of fiscal 2004. The decline results primarily from the impact of higher costs for steel and other commodities, which the company began to incur late in the first half of fiscal 2004. The impact on profitability of the higher materials costs has been partially offset by price increases as well as cost reductions as a result of the company’s ‘6+8’ profit improvement and growth initiatives.</w:t>
      </w:r>
    </w:p>
    <w:p>
      <w:pPr>
        <w:sectPr>
          <w:pgSz w:w="11900" w:h="16904" w:orient="portrait"/>
          <w:cols w:equalWidth="0" w:num="1">
            <w:col w:w="11420"/>
          </w:cols>
          <w:pgMar w:left="240" w:top="322" w:right="239" w:bottom="0" w:gutter="0" w:footer="0" w:header="0"/>
        </w:sectPr>
      </w:pPr>
    </w:p>
    <w:bookmarkStart w:id="5" w:name="page6"/>
    <w:bookmarkEnd w:id="5"/>
    <w:p>
      <w:pPr>
        <w:jc w:val="both"/>
        <w:ind w:right="300" w:firstLine="456"/>
        <w:spacing w:after="0" w:line="241" w:lineRule="auto"/>
        <w:rPr>
          <w:sz w:val="20"/>
          <w:szCs w:val="20"/>
          <w:color w:val="auto"/>
        </w:rPr>
      </w:pPr>
      <w:r>
        <w:rPr>
          <w:rFonts w:ascii="Arial" w:cs="Arial" w:eastAsia="Arial" w:hAnsi="Arial"/>
          <w:sz w:val="22"/>
          <w:szCs w:val="22"/>
          <w:color w:val="auto"/>
        </w:rPr>
        <w:t>SG&amp;A expenses for the first quarter declined to 29.5% of net sales, compared with 30.6% in the same period last year. The improvement resulted from lower warranty costs reflecting improvements in product quality, as well as ‘No Waste’ efforts in the office environments.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Interest expense for the first quarter totaled $3.8 million compared with $3.9 million in the same period last year.</w:t>
      </w:r>
    </w:p>
    <w:p>
      <w:pPr>
        <w:spacing w:after="0" w:line="206" w:lineRule="exact"/>
        <w:rPr>
          <w:sz w:val="20"/>
          <w:szCs w:val="20"/>
          <w:color w:val="auto"/>
        </w:rPr>
      </w:pPr>
    </w:p>
    <w:p>
      <w:pPr>
        <w:jc w:val="both"/>
        <w:ind w:right="220" w:firstLine="456"/>
        <w:spacing w:after="0"/>
        <w:rPr>
          <w:sz w:val="20"/>
          <w:szCs w:val="20"/>
          <w:color w:val="auto"/>
        </w:rPr>
      </w:pPr>
      <w:r>
        <w:rPr>
          <w:rFonts w:ascii="Arial" w:cs="Arial" w:eastAsia="Arial" w:hAnsi="Arial"/>
          <w:sz w:val="22"/>
          <w:szCs w:val="22"/>
          <w:color w:val="auto"/>
        </w:rPr>
        <w:t>Toro also continues to benefit from improved asset utilization. Despite a 10.6% increase in consolidated net sales in the first quarter, net inventories grew only 2.0% compared with the end of fiscal 2004 first quarter and accounts receivable increased only 2.1%.</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OUTLOOK</w:t>
      </w:r>
    </w:p>
    <w:p>
      <w:pPr>
        <w:spacing w:after="0" w:line="212" w:lineRule="exact"/>
        <w:rPr>
          <w:sz w:val="20"/>
          <w:szCs w:val="20"/>
          <w:color w:val="auto"/>
        </w:rPr>
      </w:pPr>
    </w:p>
    <w:p>
      <w:pPr>
        <w:ind w:right="180" w:firstLine="456"/>
        <w:spacing w:after="0" w:line="248" w:lineRule="auto"/>
        <w:rPr>
          <w:sz w:val="20"/>
          <w:szCs w:val="20"/>
          <w:color w:val="auto"/>
        </w:rPr>
      </w:pPr>
      <w:r>
        <w:rPr>
          <w:rFonts w:ascii="Arial" w:cs="Arial" w:eastAsia="Arial" w:hAnsi="Arial"/>
          <w:sz w:val="21"/>
          <w:szCs w:val="21"/>
          <w:color w:val="auto"/>
        </w:rPr>
        <w:t>“Thanks to our strong performance in a seasonally slow period with particularly acute weather-related volatility, we are reaffirming our earnings outlook for fiscal 2005,” said Melrose. “To date, we have contained much of the impact of higher commodity costs on our profits by continuing to work at reducing costs and leveraging expenses. We are in the early stage of year two of our ‘6+8’ profitability improvement and sales growth initiative, and we expect further benefits from our efforts in the balance of the year. We are comfortable with our field inventory levels and expect top-line growth to continue to benefit from strong new product acceptance as customers anticipate a favorable spring selling season.”</w:t>
      </w:r>
    </w:p>
    <w:p>
      <w:pPr>
        <w:spacing w:after="0" w:line="177" w:lineRule="exact"/>
        <w:rPr>
          <w:sz w:val="20"/>
          <w:szCs w:val="20"/>
          <w:color w:val="auto"/>
        </w:rPr>
      </w:pPr>
    </w:p>
    <w:p>
      <w:pPr>
        <w:ind w:right="140" w:firstLine="456"/>
        <w:spacing w:after="0" w:line="238" w:lineRule="auto"/>
        <w:rPr>
          <w:sz w:val="20"/>
          <w:szCs w:val="20"/>
          <w:color w:val="auto"/>
        </w:rPr>
      </w:pPr>
      <w:r>
        <w:rPr>
          <w:rFonts w:ascii="Arial" w:cs="Arial" w:eastAsia="Arial" w:hAnsi="Arial"/>
          <w:sz w:val="22"/>
          <w:szCs w:val="22"/>
          <w:color w:val="auto"/>
        </w:rPr>
        <w:t>After the close of the fiscal 2005 first quarter, the company completed the acquisition of Hayter Ltd., a manufacturer of high-quality consumer and commercial mowing products with strong market positions throughout the United Kingdom. “With this acquisition, we have gained a significant foothold in the municipal and high-end residential turf markets, consistent with our long-term strategy to expand our international business,” said Melrose.</w:t>
      </w:r>
    </w:p>
    <w:p>
      <w:pPr>
        <w:spacing w:after="0" w:line="185" w:lineRule="exact"/>
        <w:rPr>
          <w:sz w:val="20"/>
          <w:szCs w:val="20"/>
          <w:color w:val="auto"/>
        </w:rPr>
      </w:pPr>
    </w:p>
    <w:p>
      <w:pPr>
        <w:ind w:right="380" w:firstLine="456"/>
        <w:spacing w:after="0" w:line="297" w:lineRule="auto"/>
        <w:rPr>
          <w:sz w:val="20"/>
          <w:szCs w:val="20"/>
          <w:color w:val="auto"/>
        </w:rPr>
      </w:pPr>
      <w:r>
        <w:rPr>
          <w:rFonts w:ascii="Arial" w:cs="Arial" w:eastAsia="Arial" w:hAnsi="Arial"/>
          <w:sz w:val="19"/>
          <w:szCs w:val="19"/>
          <w:color w:val="auto"/>
        </w:rPr>
        <w:t>For fiscal 2005, the company continues to expect net earnings per diluted share to grow 12% to 15% compared with 2004. The company does not expect the Hayter acquisition to have a material effect on fiscal 2005 earnings, however the acquisition should contribute to fiscal 2005 sales, and the company is now projecting sales growth of 9% to 11% for the year.</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For its fiscal 2005 second quarter, Toro expects to report net earnings per diluted share of $2.30 to $2.40.</w:t>
      </w:r>
    </w:p>
    <w:p>
      <w:pPr>
        <w:spacing w:after="0" w:line="206" w:lineRule="exact"/>
        <w:rPr>
          <w:sz w:val="20"/>
          <w:szCs w:val="20"/>
          <w:color w:val="auto"/>
        </w:rPr>
      </w:pPr>
    </w:p>
    <w:p>
      <w:pPr>
        <w:ind w:right="140" w:firstLine="456"/>
        <w:spacing w:after="0" w:line="251" w:lineRule="auto"/>
        <w:rPr>
          <w:sz w:val="20"/>
          <w:szCs w:val="20"/>
          <w:color w:val="auto"/>
        </w:rPr>
      </w:pPr>
      <w:r>
        <w:rPr>
          <w:rFonts w:ascii="Arial" w:cs="Arial" w:eastAsia="Arial" w:hAnsi="Arial"/>
          <w:sz w:val="22"/>
          <w:szCs w:val="22"/>
          <w:color w:val="auto"/>
        </w:rPr>
        <w:t>The Toro Company is a leading worldwide provider of outdoor maintenance and beautification products for home, recreation and commercial landscapes.</w:t>
      </w:r>
    </w:p>
    <w:p>
      <w:pPr>
        <w:spacing w:after="0" w:line="173" w:lineRule="exact"/>
        <w:rPr>
          <w:sz w:val="20"/>
          <w:szCs w:val="20"/>
          <w:color w:val="auto"/>
        </w:rPr>
      </w:pPr>
    </w:p>
    <w:p>
      <w:pPr>
        <w:ind w:right="220" w:firstLine="456"/>
        <w:spacing w:after="0" w:line="238" w:lineRule="auto"/>
        <w:rPr>
          <w:sz w:val="20"/>
          <w:szCs w:val="20"/>
          <w:color w:val="auto"/>
        </w:rPr>
      </w:pPr>
      <w:r>
        <w:rPr>
          <w:rFonts w:ascii="Arial" w:cs="Arial" w:eastAsia="Arial" w:hAnsi="Arial"/>
          <w:sz w:val="22"/>
          <w:szCs w:val="22"/>
          <w:i w:val="1"/>
          <w:iCs w:val="1"/>
          <w:color w:val="auto"/>
        </w:rPr>
        <w:t xml:space="preserve">The Toro Company will conduct a conference call and webcast for investors beginning at 10:00 a.m. Central Time (CST) on February 22, 2005. The webcast will be available at </w:t>
      </w:r>
      <w:r>
        <w:rPr>
          <w:rFonts w:ascii="Arial" w:cs="Arial" w:eastAsia="Arial" w:hAnsi="Arial"/>
          <w:sz w:val="22"/>
          <w:szCs w:val="22"/>
          <w:i w:val="1"/>
          <w:iCs w:val="1"/>
          <w:u w:val="single" w:color="auto"/>
          <w:color w:val="auto"/>
        </w:rPr>
        <w:t>www.streetevents.com</w:t>
      </w:r>
      <w:r>
        <w:rPr>
          <w:rFonts w:ascii="Arial" w:cs="Arial" w:eastAsia="Arial" w:hAnsi="Arial"/>
          <w:sz w:val="22"/>
          <w:szCs w:val="22"/>
          <w:i w:val="1"/>
          <w:iCs w:val="1"/>
          <w:color w:val="auto"/>
        </w:rPr>
        <w:t xml:space="preserve"> or at </w:t>
      </w:r>
      <w:r>
        <w:rPr>
          <w:rFonts w:ascii="Arial" w:cs="Arial" w:eastAsia="Arial" w:hAnsi="Arial"/>
          <w:sz w:val="22"/>
          <w:szCs w:val="22"/>
          <w:i w:val="1"/>
          <w:iCs w:val="1"/>
          <w:u w:val="single" w:color="auto"/>
          <w:color w:val="auto"/>
        </w:rPr>
        <w:t>www.thetorocompany.com/invest</w:t>
      </w:r>
      <w:r>
        <w:rPr>
          <w:rFonts w:ascii="Arial" w:cs="Arial" w:eastAsia="Arial" w:hAnsi="Arial"/>
          <w:sz w:val="22"/>
          <w:szCs w:val="22"/>
          <w:i w:val="1"/>
          <w:iCs w:val="1"/>
          <w:color w:val="auto"/>
        </w:rPr>
        <w:t>. Webcast participants will need to complete a brief registration form and should allocate extra time before the webcast begins to register and, if necessary, download and install audio software.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initiative which is intended to improve our revenue growth and after-tax return on sales; the company’s ability to achieve sales and earnings per share growth in fiscal 2005; our ability to successfully integrate acquisitions and manage alliances; ability of management to manage around unplanned events; unforeseen product quality problems in the development and production of new and existing products; potential issues with moving production between facilities; fluctuations in the cost and availability of raw materials, including steel and other commodities; rising cost of transportation; level of growth in the golf market; increased dependence on The Home Depot as a customer for the residential segment; reduced government spending for grounds maintenance equipment due to reduced tax revenue and tighter government budgets; increased competition; elimination of shelf space for our products at retailers; financial viability of distributors and dealers; market acceptance of existing and new products; unforeseen inventory adjustments or changes in purchasing patterns by our customers; the impact of abnormal weather patterns; and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(Financial tables follow)</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TORO COMPANY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Consolidated Statements of Earnings (Unaudited)</w:t>
      </w:r>
    </w:p>
    <w:p>
      <w:pPr>
        <w:jc w:val="center"/>
        <w:ind w:right="-19"/>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365"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5"/>
                <w:szCs w:val="15"/>
                <w:color w:val="auto"/>
                <w:w w:val="91"/>
              </w:rPr>
              <w:t>Three Months Ended</w:t>
            </w:r>
          </w:p>
        </w:tc>
        <w:tc>
          <w:tcPr>
            <w:tcW w:w="0" w:type="dxa"/>
            <w:vAlign w:val="bottom"/>
          </w:tcPr>
          <w:p>
            <w:pPr>
              <w:spacing w:after="0"/>
              <w:rPr>
                <w:sz w:val="1"/>
                <w:szCs w:val="1"/>
                <w:color w:val="auto"/>
              </w:rPr>
            </w:pPr>
          </w:p>
        </w:tc>
      </w:tr>
      <w:tr>
        <w:trPr>
          <w:trHeight w:val="140"/>
        </w:trPr>
        <w:tc>
          <w:tcPr>
            <w:tcW w:w="7520" w:type="dxa"/>
            <w:vAlign w:val="bottom"/>
          </w:tcPr>
          <w:p>
            <w:pPr>
              <w:spacing w:after="0"/>
              <w:rPr>
                <w:sz w:val="12"/>
                <w:szCs w:val="12"/>
                <w:color w:val="auto"/>
              </w:rPr>
            </w:pPr>
          </w:p>
        </w:tc>
        <w:tc>
          <w:tcPr>
            <w:tcW w:w="1420" w:type="dxa"/>
            <w:vAlign w:val="bottom"/>
            <w:gridSpan w:val="3"/>
          </w:tcPr>
          <w:p>
            <w:pPr>
              <w:jc w:val="right"/>
              <w:ind w:right="263"/>
              <w:spacing w:after="0" w:line="140" w:lineRule="exact"/>
              <w:rPr>
                <w:sz w:val="20"/>
                <w:szCs w:val="20"/>
                <w:color w:val="auto"/>
              </w:rPr>
            </w:pPr>
            <w:r>
              <w:rPr>
                <w:rFonts w:ascii="Arial" w:cs="Arial" w:eastAsia="Arial" w:hAnsi="Arial"/>
                <w:sz w:val="15"/>
                <w:szCs w:val="15"/>
                <w:b w:val="1"/>
                <w:bCs w:val="1"/>
                <w:color w:val="auto"/>
              </w:rPr>
              <w:t>January 28,</w:t>
            </w:r>
          </w:p>
        </w:tc>
        <w:tc>
          <w:tcPr>
            <w:tcW w:w="500" w:type="dxa"/>
            <w:vAlign w:val="bottom"/>
          </w:tcPr>
          <w:p>
            <w:pPr>
              <w:spacing w:after="0"/>
              <w:rPr>
                <w:sz w:val="12"/>
                <w:szCs w:val="12"/>
                <w:color w:val="auto"/>
              </w:rPr>
            </w:pPr>
          </w:p>
        </w:tc>
        <w:tc>
          <w:tcPr>
            <w:tcW w:w="1400" w:type="dxa"/>
            <w:vAlign w:val="bottom"/>
            <w:gridSpan w:val="3"/>
          </w:tcPr>
          <w:p>
            <w:pPr>
              <w:jc w:val="right"/>
              <w:ind w:right="320"/>
              <w:spacing w:after="0" w:line="140" w:lineRule="exact"/>
              <w:rPr>
                <w:sz w:val="20"/>
                <w:szCs w:val="20"/>
                <w:color w:val="auto"/>
              </w:rPr>
            </w:pPr>
            <w:r>
              <w:rPr>
                <w:rFonts w:ascii="Arial" w:cs="Arial" w:eastAsia="Arial" w:hAnsi="Arial"/>
                <w:sz w:val="15"/>
                <w:szCs w:val="15"/>
                <w:b w:val="1"/>
                <w:bCs w:val="1"/>
                <w:color w:val="auto"/>
              </w:rPr>
              <w:t>January 30,</w:t>
            </w:r>
          </w:p>
        </w:tc>
        <w:tc>
          <w:tcPr>
            <w:tcW w:w="0" w:type="dxa"/>
            <w:vAlign w:val="bottom"/>
          </w:tcPr>
          <w:p>
            <w:pPr>
              <w:spacing w:after="0"/>
              <w:rPr>
                <w:sz w:val="1"/>
                <w:szCs w:val="1"/>
                <w:color w:val="auto"/>
              </w:rPr>
            </w:pPr>
          </w:p>
        </w:tc>
      </w:tr>
      <w:tr>
        <w:trPr>
          <w:trHeight w:val="205"/>
        </w:trPr>
        <w:tc>
          <w:tcPr>
            <w:tcW w:w="752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1000" w:type="dxa"/>
            <w:vAlign w:val="bottom"/>
            <w:gridSpan w:val="2"/>
          </w:tcPr>
          <w:p>
            <w:pPr>
              <w:jc w:val="right"/>
              <w:ind w:right="30"/>
              <w:spacing w:after="0" w:line="204" w:lineRule="exact"/>
              <w:rPr>
                <w:sz w:val="20"/>
                <w:szCs w:val="20"/>
                <w:color w:val="auto"/>
              </w:rPr>
            </w:pPr>
            <w:r>
              <w:rPr>
                <w:rFonts w:ascii="Arial" w:cs="Arial" w:eastAsia="Arial" w:hAnsi="Arial"/>
                <w:sz w:val="14"/>
                <w:szCs w:val="14"/>
                <w:b w:val="1"/>
                <w:bCs w:val="1"/>
                <w:color w:val="auto"/>
              </w:rPr>
              <w:t>2005</w:t>
            </w:r>
            <w:r>
              <w:rPr>
                <w:rFonts w:ascii="Arial" w:cs="Arial" w:eastAsia="Arial" w:hAnsi="Arial"/>
                <w:sz w:val="23"/>
                <w:szCs w:val="23"/>
                <w:color w:val="auto"/>
                <w:vertAlign w:val="superscript"/>
              </w:rPr>
              <w:t>1</w:t>
            </w:r>
          </w:p>
        </w:tc>
        <w:tc>
          <w:tcPr>
            <w:tcW w:w="420" w:type="dxa"/>
            <w:vAlign w:val="bottom"/>
          </w:tcPr>
          <w:p>
            <w:pPr>
              <w:spacing w:after="0"/>
              <w:rPr>
                <w:sz w:val="17"/>
                <w:szCs w:val="17"/>
                <w:color w:val="auto"/>
              </w:rPr>
            </w:pPr>
          </w:p>
        </w:tc>
        <w:tc>
          <w:tcPr>
            <w:tcW w:w="1500" w:type="dxa"/>
            <w:vAlign w:val="bottom"/>
            <w:gridSpan w:val="3"/>
          </w:tcPr>
          <w:p>
            <w:pPr>
              <w:jc w:val="right"/>
              <w:ind w:right="30"/>
              <w:spacing w:after="0" w:line="204" w:lineRule="exact"/>
              <w:rPr>
                <w:sz w:val="20"/>
                <w:szCs w:val="20"/>
                <w:color w:val="auto"/>
              </w:rPr>
            </w:pPr>
            <w:r>
              <w:rPr>
                <w:rFonts w:ascii="Arial" w:cs="Arial" w:eastAsia="Arial" w:hAnsi="Arial"/>
                <w:sz w:val="14"/>
                <w:szCs w:val="14"/>
                <w:b w:val="1"/>
                <w:bCs w:val="1"/>
                <w:color w:val="auto"/>
              </w:rPr>
              <w:t>2004</w:t>
            </w:r>
            <w:r>
              <w:rPr>
                <w:rFonts w:ascii="Arial" w:cs="Arial" w:eastAsia="Arial" w:hAnsi="Arial"/>
                <w:sz w:val="23"/>
                <w:szCs w:val="23"/>
                <w:color w:val="auto"/>
                <w:vertAlign w:val="superscript"/>
              </w:rPr>
              <w:t>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20" w:type="dxa"/>
            <w:vAlign w:val="bottom"/>
            <w:vMerge w:val="continue"/>
          </w:tcPr>
          <w:p>
            <w:pPr>
              <w:spacing w:after="0"/>
              <w:rPr>
                <w:sz w:val="16"/>
                <w:szCs w:val="16"/>
                <w:color w:val="auto"/>
              </w:rPr>
            </w:pPr>
          </w:p>
        </w:tc>
        <w:tc>
          <w:tcPr>
            <w:tcW w:w="10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$346,913</w:t>
            </w:r>
          </w:p>
        </w:tc>
        <w:tc>
          <w:tcPr>
            <w:tcW w:w="42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$313,573</w:t>
            </w:r>
          </w:p>
        </w:tc>
        <w:tc>
          <w:tcPr>
            <w:tcW w:w="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Gross profit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121,663</w:t>
            </w:r>
          </w:p>
        </w:tc>
        <w:tc>
          <w:tcPr>
            <w:tcW w:w="4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112,610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Gross profit percent</w:t>
            </w:r>
          </w:p>
        </w:tc>
        <w:tc>
          <w:tcPr>
            <w:tcW w:w="1420" w:type="dxa"/>
            <w:vAlign w:val="bottom"/>
            <w:gridSpan w:val="3"/>
          </w:tcPr>
          <w:p>
            <w:pPr>
              <w:jc w:val="right"/>
              <w:ind w:right="183"/>
              <w:spacing w:after="0"/>
              <w:rPr>
                <w:sz w:val="20"/>
                <w:szCs w:val="20"/>
                <w:color w:val="auto"/>
              </w:rPr>
            </w:pPr>
            <w:r>
              <w:rPr>
                <w:rFonts w:ascii="Arial" w:cs="Arial" w:eastAsia="Arial" w:hAnsi="Arial"/>
                <w:sz w:val="18"/>
                <w:szCs w:val="18"/>
                <w:color w:val="auto"/>
              </w:rPr>
              <w:t>35.1%</w:t>
            </w:r>
          </w:p>
        </w:tc>
        <w:tc>
          <w:tcPr>
            <w:tcW w:w="1900" w:type="dxa"/>
            <w:vAlign w:val="bottom"/>
            <w:gridSpan w:val="4"/>
          </w:tcPr>
          <w:p>
            <w:pPr>
              <w:jc w:val="right"/>
              <w:ind w:right="2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102,239</w:t>
            </w:r>
          </w:p>
        </w:tc>
        <w:tc>
          <w:tcPr>
            <w:tcW w:w="4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96,015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520" w:type="dxa"/>
            <w:vAlign w:val="bottom"/>
          </w:tcPr>
          <w:p>
            <w:pPr>
              <w:ind w:left="140"/>
              <w:spacing w:after="0"/>
              <w:rPr>
                <w:sz w:val="20"/>
                <w:szCs w:val="20"/>
                <w:color w:val="auto"/>
              </w:rPr>
            </w:pPr>
            <w:r>
              <w:rPr>
                <w:rFonts w:ascii="Arial" w:cs="Arial" w:eastAsia="Arial" w:hAnsi="Arial"/>
                <w:sz w:val="18"/>
                <w:szCs w:val="18"/>
                <w:color w:val="auto"/>
              </w:rPr>
              <w:t>Earnings from operations</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19,424</w:t>
            </w:r>
          </w:p>
        </w:tc>
        <w:tc>
          <w:tcPr>
            <w:tcW w:w="42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(3,760)</w:t>
            </w:r>
          </w:p>
        </w:tc>
        <w:tc>
          <w:tcPr>
            <w:tcW w:w="6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Other income, net</w:t>
            </w:r>
          </w:p>
        </w:tc>
        <w:tc>
          <w:tcPr>
            <w:tcW w:w="12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140"/>
              <w:spacing w:after="0"/>
              <w:rPr>
                <w:sz w:val="20"/>
                <w:szCs w:val="20"/>
                <w:color w:val="auto"/>
              </w:rPr>
            </w:pPr>
            <w:r>
              <w:rPr>
                <w:rFonts w:ascii="Arial" w:cs="Arial" w:eastAsia="Arial" w:hAnsi="Arial"/>
                <w:sz w:val="18"/>
                <w:szCs w:val="18"/>
                <w:color w:val="auto"/>
              </w:rPr>
              <w:t>Earnings before income taxes</w:t>
            </w:r>
          </w:p>
        </w:tc>
        <w:tc>
          <w:tcPr>
            <w:tcW w:w="1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16,805</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11,176</w:t>
            </w: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Basic net earnings per share</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6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Diluted net earnings per share</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6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 outstanding – Basic</w:t>
            </w:r>
          </w:p>
        </w:tc>
        <w:tc>
          <w:tcPr>
            <w:tcW w:w="1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23,068</w:t>
            </w: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24,926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Weighted average number of shares of common stock outstanding – Dilutive</w:t>
            </w:r>
          </w:p>
        </w:tc>
        <w:tc>
          <w:tcPr>
            <w:tcW w:w="1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23,879</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00" w:right="3340" w:hanging="7"/>
        <w:spacing w:after="0" w:line="358" w:lineRule="auto"/>
        <w:tabs>
          <w:tab w:leader="none" w:pos="496" w:val="left"/>
        </w:tabs>
        <w:numPr>
          <w:ilvl w:val="0"/>
          <w:numId w:val="2"/>
        </w:numPr>
        <w:rPr>
          <w:rFonts w:ascii="Arial" w:cs="Arial" w:eastAsia="Arial" w:hAnsi="Arial"/>
          <w:sz w:val="25"/>
          <w:szCs w:val="25"/>
          <w:color w:val="auto"/>
          <w:vertAlign w:val="superscript"/>
        </w:rPr>
      </w:pPr>
      <w:r>
        <w:rPr>
          <w:rFonts w:ascii="Arial" w:cs="Arial" w:eastAsia="Arial" w:hAnsi="Arial"/>
          <w:sz w:val="15"/>
          <w:szCs w:val="15"/>
          <w:color w:val="auto"/>
        </w:rPr>
        <w:t>Prepared under the accounting provisions of Statement of Financial Accounting Standard No. 123 (Revised 2004), “Share-Based Payment.”</w:t>
      </w:r>
    </w:p>
    <w:p>
      <w:pPr>
        <w:ind w:left="720" w:hanging="171"/>
        <w:spacing w:after="0" w:line="198" w:lineRule="auto"/>
        <w:tabs>
          <w:tab w:leader="none" w:pos="72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Prepared under the accounting provisions of Accounting Principles Board Opinion No. 25, “Accounting for Stock Issued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to Employees,” (APB No. 25), and related Interpretations.</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Segment Data (Unaudited)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(Dollars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3"/>
              </w:rPr>
              <w:t>Three Months Ended</w:t>
            </w:r>
          </w:p>
        </w:tc>
        <w:tc>
          <w:tcPr>
            <w:tcW w:w="6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40" w:type="dxa"/>
            <w:vAlign w:val="bottom"/>
            <w:gridSpan w:val="3"/>
          </w:tcPr>
          <w:p>
            <w:pPr>
              <w:ind w:left="460"/>
              <w:spacing w:after="0" w:line="191" w:lineRule="exact"/>
              <w:rPr>
                <w:sz w:val="20"/>
                <w:szCs w:val="20"/>
                <w:color w:val="auto"/>
              </w:rPr>
            </w:pPr>
            <w:r>
              <w:rPr>
                <w:rFonts w:ascii="Arial" w:cs="Arial" w:eastAsia="Arial" w:hAnsi="Arial"/>
                <w:sz w:val="18"/>
                <w:szCs w:val="18"/>
                <w:b w:val="1"/>
                <w:bCs w:val="1"/>
                <w:color w:val="auto"/>
              </w:rPr>
              <w:t>January 28,</w:t>
            </w:r>
          </w:p>
        </w:tc>
        <w:tc>
          <w:tcPr>
            <w:tcW w:w="480" w:type="dxa"/>
            <w:vAlign w:val="bottom"/>
          </w:tcPr>
          <w:p>
            <w:pPr>
              <w:spacing w:after="0"/>
              <w:rPr>
                <w:sz w:val="16"/>
                <w:szCs w:val="16"/>
                <w:color w:val="auto"/>
              </w:rPr>
            </w:pPr>
          </w:p>
        </w:tc>
        <w:tc>
          <w:tcPr>
            <w:tcW w:w="1840" w:type="dxa"/>
            <w:vAlign w:val="bottom"/>
            <w:gridSpan w:val="3"/>
          </w:tcPr>
          <w:p>
            <w:pPr>
              <w:ind w:left="460"/>
              <w:spacing w:after="0" w:line="191" w:lineRule="exact"/>
              <w:rPr>
                <w:sz w:val="20"/>
                <w:szCs w:val="20"/>
                <w:color w:val="auto"/>
              </w:rPr>
            </w:pPr>
            <w:r>
              <w:rPr>
                <w:rFonts w:ascii="Arial" w:cs="Arial" w:eastAsia="Arial" w:hAnsi="Arial"/>
                <w:sz w:val="18"/>
                <w:szCs w:val="18"/>
                <w:b w:val="1"/>
                <w:bCs w:val="1"/>
                <w:color w:val="auto"/>
              </w:rPr>
              <w:t>January 30,</w:t>
            </w:r>
          </w:p>
        </w:tc>
        <w:tc>
          <w:tcPr>
            <w:tcW w:w="0" w:type="dxa"/>
            <w:vAlign w:val="bottom"/>
          </w:tcPr>
          <w:p>
            <w:pPr>
              <w:spacing w:after="0"/>
              <w:rPr>
                <w:sz w:val="1"/>
                <w:szCs w:val="1"/>
                <w:color w:val="auto"/>
              </w:rPr>
            </w:pPr>
          </w:p>
        </w:tc>
      </w:tr>
      <w:tr>
        <w:trPr>
          <w:trHeight w:val="234"/>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Segment Net Sales</w:t>
            </w:r>
          </w:p>
        </w:tc>
        <w:tc>
          <w:tcPr>
            <w:tcW w:w="62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2004</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Professional</w:t>
            </w:r>
          </w:p>
        </w:tc>
        <w:tc>
          <w:tcPr>
            <w:tcW w:w="480" w:type="dxa"/>
            <w:vAlign w:val="bottom"/>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245,230</w:t>
            </w:r>
          </w:p>
        </w:tc>
        <w:tc>
          <w:tcPr>
            <w:tcW w:w="62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207,678</w:t>
            </w:r>
          </w:p>
        </w:tc>
        <w:tc>
          <w:tcPr>
            <w:tcW w:w="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95,876</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97,887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5,807</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8,008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346,913</w:t>
            </w:r>
          </w:p>
        </w:tc>
        <w:tc>
          <w:tcPr>
            <w:tcW w:w="6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313,573</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 Includes international sales of</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89,653</w:t>
            </w:r>
          </w:p>
        </w:tc>
        <w:tc>
          <w:tcPr>
            <w:tcW w:w="6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75,378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5"/>
          </w:tcPr>
          <w:p>
            <w:pPr>
              <w:jc w:val="right"/>
              <w:ind w:right="2340"/>
              <w:spacing w:after="0"/>
              <w:rPr>
                <w:sz w:val="20"/>
                <w:szCs w:val="20"/>
                <w:color w:val="auto"/>
              </w:rPr>
            </w:pPr>
            <w:r>
              <w:rPr>
                <w:rFonts w:ascii="Arial" w:cs="Arial" w:eastAsia="Arial" w:hAnsi="Arial"/>
                <w:sz w:val="18"/>
                <w:szCs w:val="18"/>
                <w:color w:val="auto"/>
              </w:rPr>
              <w:t>Three Months Ended</w:t>
            </w:r>
          </w:p>
        </w:tc>
      </w:tr>
      <w:tr>
        <w:trPr>
          <w:trHeight w:val="191"/>
        </w:trPr>
        <w:tc>
          <w:tcPr>
            <w:tcW w:w="4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00" w:type="dxa"/>
            <w:vAlign w:val="bottom"/>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rPr>
              <w:t>January 28,</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gridSpan w:val="3"/>
          </w:tcPr>
          <w:p>
            <w:pPr>
              <w:jc w:val="right"/>
              <w:ind w:right="980"/>
              <w:spacing w:after="0" w:line="191" w:lineRule="exact"/>
              <w:rPr>
                <w:sz w:val="20"/>
                <w:szCs w:val="20"/>
                <w:color w:val="auto"/>
              </w:rPr>
            </w:pPr>
            <w:r>
              <w:rPr>
                <w:rFonts w:ascii="Arial" w:cs="Arial" w:eastAsia="Arial" w:hAnsi="Arial"/>
                <w:sz w:val="18"/>
                <w:szCs w:val="18"/>
                <w:b w:val="1"/>
                <w:bCs w:val="1"/>
                <w:color w:val="auto"/>
              </w:rPr>
              <w:t>January 30,</w:t>
            </w:r>
          </w:p>
        </w:tc>
      </w:tr>
      <w:tr>
        <w:trPr>
          <w:trHeight w:val="234"/>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Segment Earnings (Loss) Before Income Taxes</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c>
          <w:tcPr>
            <w:tcW w:w="400" w:type="dxa"/>
            <w:vAlign w:val="bottom"/>
          </w:tcPr>
          <w:p>
            <w:pPr>
              <w:spacing w:after="0"/>
              <w:rPr>
                <w:sz w:val="20"/>
                <w:szCs w:val="20"/>
                <w:color w:val="auto"/>
              </w:rPr>
            </w:pPr>
          </w:p>
        </w:tc>
        <w:tc>
          <w:tcPr>
            <w:tcW w:w="29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2004</w:t>
            </w:r>
          </w:p>
        </w:tc>
        <w:tc>
          <w:tcPr>
            <w:tcW w:w="1160" w:type="dxa"/>
            <w:vAlign w:val="bottom"/>
          </w:tcPr>
          <w:p>
            <w:pPr>
              <w:spacing w:after="0"/>
              <w:rPr>
                <w:sz w:val="20"/>
                <w:szCs w:val="20"/>
                <w:color w:val="auto"/>
              </w:rPr>
            </w:pPr>
          </w:p>
        </w:tc>
      </w:tr>
      <w:tr>
        <w:trPr>
          <w:trHeight w:val="195"/>
        </w:trPr>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Professional</w:t>
            </w:r>
          </w:p>
        </w:tc>
        <w:tc>
          <w:tcPr>
            <w:tcW w:w="460" w:type="dxa"/>
            <w:vAlign w:val="bottom"/>
          </w:tcPr>
          <w:p>
            <w:pPr>
              <w:spacing w:after="0"/>
              <w:rPr>
                <w:sz w:val="16"/>
                <w:szCs w:val="16"/>
                <w:color w:val="auto"/>
              </w:rPr>
            </w:pPr>
          </w:p>
        </w:tc>
        <w:tc>
          <w:tcPr>
            <w:tcW w:w="17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$ 38,865</w:t>
            </w: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$ 28,449</w:t>
            </w:r>
          </w:p>
        </w:tc>
        <w:tc>
          <w:tcPr>
            <w:tcW w:w="1160" w:type="dxa"/>
            <w:vAlign w:val="bottom"/>
            <w:tcBorders>
              <w:top w:val="single" w:sz="8" w:color="auto"/>
            </w:tcBorders>
          </w:tcPr>
          <w:p>
            <w:pPr>
              <w:spacing w:after="0"/>
              <w:rPr>
                <w:sz w:val="16"/>
                <w:szCs w:val="16"/>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4,434</w:t>
            </w:r>
          </w:p>
        </w:tc>
        <w:tc>
          <w:tcPr>
            <w:tcW w:w="4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8"/>
                <w:szCs w:val="18"/>
                <w:color w:val="auto"/>
              </w:rPr>
              <w:t>8,337</w:t>
            </w:r>
          </w:p>
        </w:tc>
        <w:tc>
          <w:tcPr>
            <w:tcW w:w="116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100" w:type="dxa"/>
            <w:vAlign w:val="bottom"/>
            <w:gridSpan w:val="3"/>
          </w:tcPr>
          <w:p>
            <w:pPr>
              <w:jc w:val="right"/>
              <w:ind w:right="340"/>
              <w:spacing w:after="0"/>
              <w:rPr>
                <w:sz w:val="20"/>
                <w:szCs w:val="20"/>
                <w:color w:val="auto"/>
              </w:rPr>
            </w:pPr>
            <w:r>
              <w:rPr>
                <w:rFonts w:ascii="Arial" w:cs="Arial" w:eastAsia="Arial" w:hAnsi="Arial"/>
                <w:sz w:val="18"/>
                <w:szCs w:val="18"/>
                <w:color w:val="auto"/>
              </w:rPr>
              <w:t>(26,494)</w:t>
            </w:r>
          </w:p>
        </w:tc>
        <w:tc>
          <w:tcPr>
            <w:tcW w:w="4080" w:type="dxa"/>
            <w:vAlign w:val="bottom"/>
            <w:gridSpan w:val="5"/>
          </w:tcPr>
          <w:p>
            <w:pPr>
              <w:jc w:val="right"/>
              <w:ind w:right="1100"/>
              <w:spacing w:after="0"/>
              <w:rPr>
                <w:sz w:val="20"/>
                <w:szCs w:val="20"/>
                <w:color w:val="auto"/>
              </w:rPr>
            </w:pPr>
            <w:r>
              <w:rPr>
                <w:rFonts w:ascii="Arial" w:cs="Arial" w:eastAsia="Arial" w:hAnsi="Arial"/>
                <w:sz w:val="18"/>
                <w:szCs w:val="18"/>
                <w:color w:val="auto"/>
              </w:rPr>
              <w:t>(22,764)</w:t>
            </w:r>
          </w:p>
        </w:tc>
      </w:tr>
      <w:tr>
        <w:trPr>
          <w:trHeight w:val="230"/>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$ 16,805</w:t>
            </w:r>
          </w:p>
        </w:tc>
        <w:tc>
          <w:tcPr>
            <w:tcW w:w="400" w:type="dxa"/>
            <w:vAlign w:val="bottom"/>
          </w:tcPr>
          <w:p>
            <w:pPr>
              <w:spacing w:after="0"/>
              <w:rPr>
                <w:sz w:val="20"/>
                <w:szCs w:val="20"/>
                <w:color w:val="auto"/>
              </w:rPr>
            </w:pPr>
          </w:p>
        </w:tc>
        <w:tc>
          <w:tcPr>
            <w:tcW w:w="2920" w:type="dxa"/>
            <w:vAlign w:val="bottom"/>
            <w:gridSpan w:val="4"/>
          </w:tcPr>
          <w:p>
            <w:pPr>
              <w:jc w:val="right"/>
              <w:spacing w:after="0"/>
              <w:rPr>
                <w:sz w:val="20"/>
                <w:szCs w:val="20"/>
                <w:color w:val="auto"/>
              </w:rPr>
            </w:pPr>
            <w:r>
              <w:rPr>
                <w:rFonts w:ascii="Arial" w:cs="Arial" w:eastAsia="Arial" w:hAnsi="Arial"/>
                <w:sz w:val="18"/>
                <w:szCs w:val="18"/>
                <w:color w:val="auto"/>
              </w:rPr>
              <w:t>$ 14,022</w:t>
            </w:r>
          </w:p>
        </w:tc>
        <w:tc>
          <w:tcPr>
            <w:tcW w:w="1160" w:type="dxa"/>
            <w:vAlign w:val="bottom"/>
          </w:tcPr>
          <w:p>
            <w:pPr>
              <w:spacing w:after="0"/>
              <w:rPr>
                <w:sz w:val="20"/>
                <w:szCs w:val="20"/>
                <w:color w:val="auto"/>
              </w:rPr>
            </w:pPr>
          </w:p>
        </w:tc>
      </w:tr>
      <w:tr>
        <w:trPr>
          <w:trHeight w:val="20"/>
        </w:trPr>
        <w:tc>
          <w:tcPr>
            <w:tcW w:w="4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THE TORO COMPANY AND SUBSIDIARIES</w:t>
      </w:r>
    </w:p>
    <w:p>
      <w:pPr>
        <w:spacing w:after="0" w:line="206"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Condensed Consolidated Balance Sheets (Unaudited)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(Dollars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3"/>
          </w:tcPr>
          <w:p>
            <w:pPr>
              <w:ind w:left="240"/>
              <w:spacing w:after="0"/>
              <w:rPr>
                <w:sz w:val="20"/>
                <w:szCs w:val="20"/>
                <w:color w:val="auto"/>
              </w:rPr>
            </w:pPr>
            <w:r>
              <w:rPr>
                <w:rFonts w:ascii="Arial" w:cs="Arial" w:eastAsia="Arial" w:hAnsi="Arial"/>
                <w:sz w:val="18"/>
                <w:szCs w:val="18"/>
                <w:b w:val="1"/>
                <w:bCs w:val="1"/>
                <w:color w:val="auto"/>
              </w:rPr>
              <w:t>January 28,</w:t>
            </w:r>
          </w:p>
        </w:tc>
        <w:tc>
          <w:tcPr>
            <w:tcW w:w="460" w:type="dxa"/>
            <w:vAlign w:val="bottom"/>
          </w:tcPr>
          <w:p>
            <w:pPr>
              <w:spacing w:after="0"/>
              <w:rPr>
                <w:sz w:val="18"/>
                <w:szCs w:val="18"/>
                <w:color w:val="auto"/>
              </w:rPr>
            </w:pPr>
          </w:p>
        </w:tc>
        <w:tc>
          <w:tcPr>
            <w:tcW w:w="1400" w:type="dxa"/>
            <w:vAlign w:val="bottom"/>
            <w:gridSpan w:val="3"/>
          </w:tcPr>
          <w:p>
            <w:pPr>
              <w:ind w:left="240"/>
              <w:spacing w:after="0"/>
              <w:rPr>
                <w:sz w:val="20"/>
                <w:szCs w:val="20"/>
                <w:color w:val="auto"/>
              </w:rPr>
            </w:pPr>
            <w:r>
              <w:rPr>
                <w:rFonts w:ascii="Arial" w:cs="Arial" w:eastAsia="Arial" w:hAnsi="Arial"/>
                <w:sz w:val="18"/>
                <w:szCs w:val="18"/>
                <w:b w:val="1"/>
                <w:bCs w:val="1"/>
                <w:color w:val="auto"/>
              </w:rPr>
              <w:t>January 30,</w:t>
            </w:r>
          </w:p>
        </w:tc>
        <w:tc>
          <w:tcPr>
            <w:tcW w:w="0" w:type="dxa"/>
            <w:vAlign w:val="bottom"/>
          </w:tcPr>
          <w:p>
            <w:pPr>
              <w:spacing w:after="0"/>
              <w:rPr>
                <w:sz w:val="1"/>
                <w:szCs w:val="1"/>
                <w:color w:val="auto"/>
              </w:rPr>
            </w:pPr>
          </w:p>
        </w:tc>
      </w:tr>
      <w:tr>
        <w:trPr>
          <w:trHeight w:val="234"/>
        </w:trPr>
        <w:tc>
          <w:tcPr>
            <w:tcW w:w="758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4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80" w:type="dxa"/>
            <w:vAlign w:val="bottom"/>
            <w:gridSpan w:val="3"/>
            <w:vMerge w:val="continue"/>
          </w:tcPr>
          <w:p>
            <w:pPr>
              <w:spacing w:after="0"/>
              <w:rPr>
                <w:sz w:val="18"/>
                <w:szCs w:val="18"/>
                <w:color w:val="auto"/>
              </w:rPr>
            </w:pPr>
          </w:p>
        </w:tc>
        <w:tc>
          <w:tcPr>
            <w:tcW w:w="340" w:type="dxa"/>
            <w:vAlign w:val="bottom"/>
            <w:vMerge w:val="restart"/>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7,467</w:t>
            </w:r>
          </w:p>
        </w:tc>
        <w:tc>
          <w:tcPr>
            <w:tcW w:w="460" w:type="dxa"/>
            <w:vAlign w:val="bottom"/>
          </w:tcPr>
          <w:p>
            <w:pPr>
              <w:spacing w:after="0"/>
              <w:rPr>
                <w:sz w:val="18"/>
                <w:szCs w:val="18"/>
                <w:color w:val="auto"/>
              </w:rPr>
            </w:pPr>
          </w:p>
        </w:tc>
        <w:tc>
          <w:tcPr>
            <w:tcW w:w="800" w:type="dxa"/>
            <w:vAlign w:val="bottom"/>
            <w:gridSpan w:val="2"/>
            <w:vMerge w:val="restart"/>
          </w:tcPr>
          <w:p>
            <w:pPr>
              <w:ind w:left="70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17,925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318,063</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311,451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276,364</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271,071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14,756</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13,710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46,106</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43,253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662,756</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657,410</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5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160,718</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160,729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color w:val="auto"/>
              </w:rPr>
              <w:t>Goodwill and other assets, net</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101,590</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100,841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Total assets</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925,103</w:t>
            </w:r>
          </w:p>
        </w:tc>
        <w:tc>
          <w:tcPr>
            <w:tcW w:w="460" w:type="dxa"/>
            <w:vAlign w:val="bottom"/>
          </w:tcPr>
          <w:p>
            <w:pPr>
              <w:spacing w:after="0"/>
              <w:rPr>
                <w:sz w:val="20"/>
                <w:szCs w:val="20"/>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920,161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3"/>
            <w:vMerge w:val="continue"/>
          </w:tcPr>
          <w:p>
            <w:pPr>
              <w:spacing w:after="0"/>
              <w:rPr>
                <w:sz w:val="18"/>
                <w:szCs w:val="18"/>
                <w:color w:val="auto"/>
              </w:rPr>
            </w:pPr>
          </w:p>
        </w:tc>
        <w:tc>
          <w:tcPr>
            <w:tcW w:w="340" w:type="dxa"/>
            <w:vAlign w:val="bottom"/>
            <w:vMerge w:val="restart"/>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8"/>
                <w:szCs w:val="18"/>
                <w:color w:val="auto"/>
              </w:rPr>
            </w:pPr>
          </w:p>
        </w:tc>
        <w:tc>
          <w:tcPr>
            <w:tcW w:w="800" w:type="dxa"/>
            <w:vAlign w:val="bottom"/>
            <w:gridSpan w:val="2"/>
            <w:vMerge w:val="restart"/>
          </w:tcPr>
          <w:p>
            <w:pPr>
              <w:ind w:left="700"/>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4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62,162</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90,459</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84,766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227,127</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202,332</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379,793</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289,631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8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175,035</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175,080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color w:val="auto"/>
              </w:rPr>
              <w:t>Long-term deferred income taxes</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3,837</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color w:val="auto"/>
              </w:rPr>
              <w:t>Deferred revenue and other long-term liabilities</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13,245</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11,775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353,193</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443,675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925,103</w:t>
            </w:r>
          </w:p>
        </w:tc>
        <w:tc>
          <w:tcPr>
            <w:tcW w:w="460" w:type="dxa"/>
            <w:vAlign w:val="bottom"/>
          </w:tcPr>
          <w:p>
            <w:pPr>
              <w:spacing w:after="0"/>
              <w:rPr>
                <w:sz w:val="19"/>
                <w:szCs w:val="19"/>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920,161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THE TORO COMPANY AND SUBSIDIARIES</w:t>
      </w:r>
    </w:p>
    <w:p>
      <w:pPr>
        <w:spacing w:after="0" w:line="206"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Condensed Consolidated Statements of Cash Flows (Unaudited)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(Dollars in thousands)</w:t>
      </w:r>
    </w:p>
    <w:p>
      <w:pPr>
        <w:sectPr>
          <w:pgSz w:w="11900" w:h="16838" w:orient="portrait"/>
          <w:cols w:equalWidth="0" w:num="1">
            <w:col w:w="10840"/>
          </w:cols>
          <w:pgMar w:left="540" w:top="125" w:right="51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jc w:val="right"/>
              <w:ind w:right="9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91"/>
        </w:trPr>
        <w:tc>
          <w:tcPr>
            <w:tcW w:w="7440" w:type="dxa"/>
            <w:vAlign w:val="bottom"/>
          </w:tcPr>
          <w:p>
            <w:pPr>
              <w:spacing w:after="0"/>
              <w:rPr>
                <w:sz w:val="16"/>
                <w:szCs w:val="16"/>
                <w:color w:val="auto"/>
              </w:rPr>
            </w:pPr>
          </w:p>
        </w:tc>
        <w:tc>
          <w:tcPr>
            <w:tcW w:w="1540" w:type="dxa"/>
            <w:vAlign w:val="bottom"/>
            <w:gridSpan w:val="4"/>
          </w:tcPr>
          <w:p>
            <w:pPr>
              <w:jc w:val="right"/>
              <w:ind w:right="280"/>
              <w:spacing w:after="0" w:line="191" w:lineRule="exact"/>
              <w:rPr>
                <w:sz w:val="20"/>
                <w:szCs w:val="20"/>
                <w:color w:val="auto"/>
              </w:rPr>
            </w:pPr>
            <w:r>
              <w:rPr>
                <w:rFonts w:ascii="Arial" w:cs="Arial" w:eastAsia="Arial" w:hAnsi="Arial"/>
                <w:sz w:val="18"/>
                <w:szCs w:val="18"/>
                <w:b w:val="1"/>
                <w:bCs w:val="1"/>
                <w:color w:val="auto"/>
              </w:rPr>
              <w:t>January 28,</w:t>
            </w:r>
          </w:p>
        </w:tc>
        <w:tc>
          <w:tcPr>
            <w:tcW w:w="300" w:type="dxa"/>
            <w:vAlign w:val="bottom"/>
          </w:tcPr>
          <w:p>
            <w:pPr>
              <w:spacing w:after="0"/>
              <w:rPr>
                <w:sz w:val="16"/>
                <w:szCs w:val="16"/>
                <w:color w:val="auto"/>
              </w:rPr>
            </w:pPr>
          </w:p>
        </w:tc>
        <w:tc>
          <w:tcPr>
            <w:tcW w:w="1560" w:type="dxa"/>
            <w:vAlign w:val="bottom"/>
            <w:gridSpan w:val="3"/>
          </w:tcPr>
          <w:p>
            <w:pPr>
              <w:ind w:left="320"/>
              <w:spacing w:after="0" w:line="191" w:lineRule="exact"/>
              <w:rPr>
                <w:sz w:val="20"/>
                <w:szCs w:val="20"/>
                <w:color w:val="auto"/>
              </w:rPr>
            </w:pPr>
            <w:r>
              <w:rPr>
                <w:rFonts w:ascii="Arial" w:cs="Arial" w:eastAsia="Arial" w:hAnsi="Arial"/>
                <w:sz w:val="18"/>
                <w:szCs w:val="18"/>
                <w:b w:val="1"/>
                <w:bCs w:val="1"/>
                <w:color w:val="auto"/>
              </w:rPr>
              <w:t>January 30,</w:t>
            </w:r>
          </w:p>
        </w:tc>
        <w:tc>
          <w:tcPr>
            <w:tcW w:w="0" w:type="dxa"/>
            <w:vAlign w:val="bottom"/>
          </w:tcPr>
          <w:p>
            <w:pPr>
              <w:spacing w:after="0"/>
              <w:rPr>
                <w:sz w:val="1"/>
                <w:szCs w:val="1"/>
                <w:color w:val="auto"/>
              </w:rPr>
            </w:pPr>
          </w:p>
        </w:tc>
      </w:tr>
      <w:tr>
        <w:trPr>
          <w:trHeight w:val="234"/>
        </w:trPr>
        <w:tc>
          <w:tcPr>
            <w:tcW w:w="74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earnings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11,176</w:t>
            </w:r>
          </w:p>
        </w:tc>
        <w:tc>
          <w:tcPr>
            <w:tcW w:w="520" w:type="dxa"/>
            <w:vAlign w:val="bottom"/>
          </w:tcPr>
          <w:p>
            <w:pPr>
              <w:spacing w:after="0"/>
              <w:rPr>
                <w:sz w:val="18"/>
                <w:szCs w:val="18"/>
                <w:color w:val="auto"/>
              </w:rPr>
            </w:pP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9,325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Non-cash asset impairment recovery</w:t>
            </w:r>
          </w:p>
        </w:tc>
        <w:tc>
          <w:tcPr>
            <w:tcW w:w="44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Equity losses from an investment</w:t>
            </w:r>
          </w:p>
        </w:tc>
        <w:tc>
          <w:tcPr>
            <w:tcW w:w="4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Provision for depreciation and amortization</w:t>
            </w:r>
          </w:p>
        </w:tc>
        <w:tc>
          <w:tcPr>
            <w:tcW w:w="4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9,429</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8,560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Gain on disposal of property, plant, and equipment</w:t>
            </w:r>
          </w:p>
        </w:tc>
        <w:tc>
          <w:tcPr>
            <w:tcW w:w="44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4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2,498</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Increase in deferred income taxes</w:t>
            </w:r>
          </w:p>
        </w:tc>
        <w:tc>
          <w:tcPr>
            <w:tcW w:w="44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(1,630)</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Receivables, net</w:t>
            </w:r>
          </w:p>
        </w:tc>
        <w:tc>
          <w:tcPr>
            <w:tcW w:w="44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w w:val="89"/>
              </w:rPr>
              <w:t>(28,291)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(40,286)</w:t>
            </w:r>
          </w:p>
        </w:tc>
        <w:tc>
          <w:tcPr>
            <w:tcW w:w="0" w:type="dxa"/>
            <w:vAlign w:val="bottom"/>
          </w:tcPr>
          <w:p>
            <w:pPr>
              <w:spacing w:after="0"/>
              <w:rPr>
                <w:sz w:val="1"/>
                <w:szCs w:val="1"/>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44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w w:val="89"/>
              </w:rPr>
              <w:t>(53,832)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(39,289)</w:t>
            </w:r>
          </w:p>
        </w:tc>
        <w:tc>
          <w:tcPr>
            <w:tcW w:w="0" w:type="dxa"/>
            <w:vAlign w:val="bottom"/>
          </w:tcPr>
          <w:p>
            <w:pPr>
              <w:spacing w:after="0"/>
              <w:rPr>
                <w:sz w:val="1"/>
                <w:szCs w:val="1"/>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2,877</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Accounts payable, accrued expenses, and deferred revenue</w:t>
            </w:r>
          </w:p>
        </w:tc>
        <w:tc>
          <w:tcPr>
            <w:tcW w:w="4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2,999</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23"/>
        </w:trPr>
        <w:tc>
          <w:tcPr>
            <w:tcW w:w="7440" w:type="dxa"/>
            <w:vAlign w:val="bottom"/>
          </w:tcPr>
          <w:p>
            <w:pPr>
              <w:ind w:left="400"/>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(54,778</w:t>
            </w:r>
          </w:p>
        </w:tc>
        <w:tc>
          <w:tcPr>
            <w:tcW w:w="520" w:type="dxa"/>
            <w:vAlign w:val="bottom"/>
          </w:tcPr>
          <w:p>
            <w:pPr>
              <w:jc w:val="right"/>
              <w:ind w:right="440"/>
              <w:spacing w:after="0"/>
              <w:rPr>
                <w:sz w:val="20"/>
                <w:szCs w:val="20"/>
                <w:color w:val="auto"/>
              </w:rPr>
            </w:pPr>
            <w:r>
              <w:rPr>
                <w:rFonts w:ascii="Arial" w:cs="Arial" w:eastAsia="Arial" w:hAnsi="Arial"/>
                <w:sz w:val="8"/>
                <w:szCs w:val="8"/>
                <w:color w:val="auto"/>
                <w:w w:val="73"/>
              </w:rPr>
              <w:t>)</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(60,000</w:t>
            </w:r>
          </w:p>
        </w:tc>
        <w:tc>
          <w:tcPr>
            <w:tcW w:w="540" w:type="dxa"/>
            <w:vAlign w:val="bottom"/>
          </w:tcPr>
          <w:p>
            <w:pPr>
              <w:jc w:val="right"/>
              <w:ind w:right="4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44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(7,319)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(10,015)</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Proceeds from disposal of property, plant, and equipment</w:t>
            </w:r>
          </w:p>
        </w:tc>
        <w:tc>
          <w:tcPr>
            <w:tcW w:w="4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2,191</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Increase in investment in affiliates</w:t>
            </w:r>
          </w:p>
        </w:tc>
        <w:tc>
          <w:tcPr>
            <w:tcW w:w="44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(Increase) decrease in other assets</w:t>
            </w:r>
          </w:p>
        </w:tc>
        <w:tc>
          <w:tcPr>
            <w:tcW w:w="44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(3,224)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Proceeds from sale of business</w:t>
            </w:r>
          </w:p>
        </w:tc>
        <w:tc>
          <w:tcPr>
            <w:tcW w:w="4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0"/>
                <w:szCs w:val="20"/>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(7,587)</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(9,717)</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Increase in short-term debt</w:t>
            </w:r>
          </w:p>
        </w:tc>
        <w:tc>
          <w:tcPr>
            <w:tcW w:w="4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61,023</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44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Excess tax benefits from share-based arrangements</w:t>
            </w:r>
          </w:p>
        </w:tc>
        <w:tc>
          <w:tcPr>
            <w:tcW w:w="4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1,709</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4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2,950</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Purchases of Toro common stock</w:t>
            </w:r>
          </w:p>
        </w:tc>
        <w:tc>
          <w:tcPr>
            <w:tcW w:w="44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w w:val="89"/>
              </w:rPr>
              <w:t>(83,763)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(19,786)</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Dividends paid on Toro common stock</w:t>
            </w:r>
          </w:p>
        </w:tc>
        <w:tc>
          <w:tcPr>
            <w:tcW w:w="44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(2,793)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30"/>
        </w:trPr>
        <w:tc>
          <w:tcPr>
            <w:tcW w:w="7440" w:type="dxa"/>
            <w:vAlign w:val="bottom"/>
          </w:tcPr>
          <w:p>
            <w:pPr>
              <w:ind w:left="40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Pr>
          <w:p>
            <w:pPr>
              <w:spacing w:after="0"/>
              <w:rPr>
                <w:sz w:val="20"/>
                <w:szCs w:val="20"/>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w w:val="89"/>
              </w:rPr>
              <w:t>(20,885)</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(22,712)</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5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tcPr>
          <w:p>
            <w:pPr>
              <w:spacing w:after="0"/>
              <w:rPr>
                <w:sz w:val="18"/>
                <w:szCs w:val="18"/>
                <w:color w:val="auto"/>
              </w:rPr>
            </w:pPr>
          </w:p>
        </w:tc>
        <w:tc>
          <w:tcPr>
            <w:tcW w:w="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0"/>
              </w:rPr>
              <w:t>(83,289)</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(92,362)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440" w:type="dxa"/>
            <w:vAlign w:val="bottom"/>
          </w:tcPr>
          <w:p>
            <w:pPr>
              <w:spacing w:after="0"/>
              <w:rPr>
                <w:sz w:val="20"/>
                <w:szCs w:val="20"/>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90,756</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110,287</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7,467</w:t>
            </w:r>
          </w:p>
        </w:tc>
        <w:tc>
          <w:tcPr>
            <w:tcW w:w="520" w:type="dxa"/>
            <w:vAlign w:val="bottom"/>
          </w:tcPr>
          <w:p>
            <w:pPr>
              <w:spacing w:after="0"/>
              <w:rPr>
                <w:sz w:val="19"/>
                <w:szCs w:val="19"/>
                <w:color w:val="auto"/>
              </w:rPr>
            </w:pP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17,925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40"/>
          </w:cols>
          <w:pgMar w:left="540" w:top="341" w:right="519" w:bottom="1440" w:gutter="0" w:footer="0" w:header="0"/>
        </w:sectPr>
      </w:pPr>
    </w:p>
    <w:bookmarkStart w:id="8" w:name="page9"/>
    <w:bookmarkEnd w:id="8"/>
    <w:p>
      <w:pPr>
        <w:ind w:left="300"/>
        <w:spacing w:after="0"/>
        <w:rPr>
          <w:sz w:val="20"/>
          <w:szCs w:val="20"/>
          <w:color w:val="auto"/>
        </w:rPr>
      </w:pPr>
      <w:r>
        <w:rPr>
          <w:rFonts w:ascii="Arial" w:cs="Arial" w:eastAsia="Arial" w:hAnsi="Arial"/>
          <w:sz w:val="32"/>
          <w:szCs w:val="32"/>
          <w:b w:val="1"/>
          <w:bCs w:val="1"/>
          <w:color w:val="auto"/>
        </w:rPr>
        <w:t>The Toro Company</w:t>
      </w:r>
    </w:p>
    <w:p>
      <w:pPr>
        <w:spacing w:after="0" w:line="3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8111 Lyndale Avenue South,</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Bloomington, Minnesota 55420-1196</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952/888-8801 • FAX 952/887-8258</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1780" w:type="dxa"/>
            <w:vAlign w:val="bottom"/>
          </w:tcPr>
          <w:p>
            <w:pPr>
              <w:spacing w:after="0"/>
              <w:rPr>
                <w:sz w:val="20"/>
                <w:szCs w:val="20"/>
                <w:color w:val="auto"/>
              </w:rPr>
            </w:pPr>
            <w:r>
              <w:rPr>
                <w:rFonts w:ascii="Arial" w:cs="Arial" w:eastAsia="Arial" w:hAnsi="Arial"/>
                <w:sz w:val="18"/>
                <w:szCs w:val="18"/>
                <w:b w:val="1"/>
                <w:bCs w:val="1"/>
                <w:color w:val="auto"/>
              </w:rPr>
              <w:t>Media Relations</w:t>
            </w:r>
          </w:p>
        </w:tc>
        <w:tc>
          <w:tcPr>
            <w:tcW w:w="7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Connie Kotke</w:t>
            </w:r>
          </w:p>
        </w:tc>
        <w:tc>
          <w:tcPr>
            <w:tcW w:w="7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Toro Media Relations</w:t>
            </w:r>
          </w:p>
        </w:tc>
        <w:tc>
          <w:tcPr>
            <w:tcW w:w="7040" w:type="dxa"/>
            <w:vAlign w:val="bottom"/>
            <w:vMerge w:val="restart"/>
          </w:tcPr>
          <w:p>
            <w:pPr>
              <w:ind w:left="3640"/>
              <w:spacing w:after="0"/>
              <w:rPr>
                <w:sz w:val="20"/>
                <w:szCs w:val="20"/>
                <w:color w:val="auto"/>
              </w:rPr>
            </w:pPr>
            <w:r>
              <w:rPr>
                <w:rFonts w:ascii="Arial" w:cs="Arial" w:eastAsia="Arial" w:hAnsi="Arial"/>
                <w:sz w:val="18"/>
                <w:szCs w:val="18"/>
                <w:b w:val="1"/>
                <w:bCs w:val="1"/>
                <w:color w:val="auto"/>
              </w:rPr>
              <w:t>Web Site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(952) 887-8984</w:t>
            </w:r>
          </w:p>
        </w:tc>
        <w:tc>
          <w:tcPr>
            <w:tcW w:w="7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www, pr@toro.com</w:t>
            </w:r>
          </w:p>
        </w:tc>
        <w:tc>
          <w:tcPr>
            <w:tcW w:w="7040" w:type="dxa"/>
            <w:vAlign w:val="bottom"/>
          </w:tcPr>
          <w:p>
            <w:pPr>
              <w:ind w:left="3640"/>
              <w:spacing w:after="0"/>
              <w:rPr>
                <w:sz w:val="20"/>
                <w:szCs w:val="20"/>
                <w:color w:val="auto"/>
              </w:rPr>
            </w:pPr>
            <w:r>
              <w:rPr>
                <w:rFonts w:ascii="Arial" w:cs="Arial" w:eastAsia="Arial" w:hAnsi="Arial"/>
                <w:sz w:val="18"/>
                <w:szCs w:val="18"/>
                <w:color w:val="auto"/>
              </w:rPr>
              <w:t>www.thetorocompany.com</w:t>
            </w:r>
          </w:p>
        </w:tc>
        <w:tc>
          <w:tcPr>
            <w:tcW w:w="0" w:type="dxa"/>
            <w:vAlign w:val="bottom"/>
          </w:tcPr>
          <w:p>
            <w:pPr>
              <w:spacing w:after="0"/>
              <w:rPr>
                <w:sz w:val="1"/>
                <w:szCs w:val="1"/>
                <w:color w:val="auto"/>
              </w:rPr>
            </w:pPr>
          </w:p>
        </w:tc>
      </w:tr>
      <w:tr>
        <w:trPr>
          <w:trHeight w:val="391"/>
        </w:trPr>
        <w:tc>
          <w:tcPr>
            <w:tcW w:w="1780" w:type="dxa"/>
            <w:vAlign w:val="bottom"/>
          </w:tcPr>
          <w:p>
            <w:pPr>
              <w:spacing w:after="0"/>
              <w:rPr>
                <w:sz w:val="24"/>
                <w:szCs w:val="24"/>
                <w:color w:val="auto"/>
              </w:rPr>
            </w:pPr>
          </w:p>
        </w:tc>
        <w:tc>
          <w:tcPr>
            <w:tcW w:w="7040" w:type="dxa"/>
            <w:vAlign w:val="bottom"/>
          </w:tcPr>
          <w:p>
            <w:pPr>
              <w:jc w:val="center"/>
              <w:ind w:left="139"/>
              <w:spacing w:after="0"/>
              <w:rPr>
                <w:sz w:val="20"/>
                <w:szCs w:val="20"/>
                <w:color w:val="auto"/>
              </w:rPr>
            </w:pPr>
            <w:r>
              <w:rPr>
                <w:rFonts w:ascii="Arial" w:cs="Arial" w:eastAsia="Arial" w:hAnsi="Arial"/>
                <w:sz w:val="22"/>
                <w:szCs w:val="22"/>
                <w:b w:val="1"/>
                <w:bCs w:val="1"/>
                <w:color w:val="auto"/>
                <w:w w:val="99"/>
              </w:rPr>
              <w:t>THE TORO COMPANY NAMES MICHAEL J. HOFFMAN</w:t>
            </w:r>
          </w:p>
        </w:tc>
        <w:tc>
          <w:tcPr>
            <w:tcW w:w="0" w:type="dxa"/>
            <w:vAlign w:val="bottom"/>
          </w:tcPr>
          <w:p>
            <w:pPr>
              <w:spacing w:after="0"/>
              <w:rPr>
                <w:sz w:val="1"/>
                <w:szCs w:val="1"/>
                <w:color w:val="auto"/>
              </w:rPr>
            </w:pPr>
          </w:p>
        </w:tc>
      </w:tr>
      <w:tr>
        <w:trPr>
          <w:trHeight w:val="281"/>
        </w:trPr>
        <w:tc>
          <w:tcPr>
            <w:tcW w:w="1780" w:type="dxa"/>
            <w:vAlign w:val="bottom"/>
          </w:tcPr>
          <w:p>
            <w:pPr>
              <w:spacing w:after="0"/>
              <w:rPr>
                <w:sz w:val="24"/>
                <w:szCs w:val="24"/>
                <w:color w:val="auto"/>
              </w:rPr>
            </w:pPr>
          </w:p>
        </w:tc>
        <w:tc>
          <w:tcPr>
            <w:tcW w:w="7040" w:type="dxa"/>
            <w:vAlign w:val="bottom"/>
          </w:tcPr>
          <w:p>
            <w:pPr>
              <w:jc w:val="center"/>
              <w:ind w:left="119"/>
              <w:spacing w:after="0"/>
              <w:rPr>
                <w:sz w:val="20"/>
                <w:szCs w:val="20"/>
                <w:color w:val="auto"/>
              </w:rPr>
            </w:pPr>
            <w:r>
              <w:rPr>
                <w:rFonts w:ascii="Arial" w:cs="Arial" w:eastAsia="Arial" w:hAnsi="Arial"/>
                <w:sz w:val="22"/>
                <w:szCs w:val="22"/>
                <w:b w:val="1"/>
                <w:bCs w:val="1"/>
                <w:color w:val="auto"/>
              </w:rPr>
              <w:t>CHIEF EXECUTIVE OFFICER</w:t>
            </w:r>
          </w:p>
        </w:tc>
        <w:tc>
          <w:tcPr>
            <w:tcW w:w="0" w:type="dxa"/>
            <w:vAlign w:val="bottom"/>
          </w:tcPr>
          <w:p>
            <w:pPr>
              <w:spacing w:after="0"/>
              <w:rPr>
                <w:sz w:val="1"/>
                <w:szCs w:val="1"/>
                <w:color w:val="auto"/>
              </w:rPr>
            </w:pPr>
          </w:p>
        </w:tc>
      </w:tr>
      <w:tr>
        <w:trPr>
          <w:trHeight w:val="459"/>
        </w:trPr>
        <w:tc>
          <w:tcPr>
            <w:tcW w:w="1780" w:type="dxa"/>
            <w:vAlign w:val="bottom"/>
          </w:tcPr>
          <w:p>
            <w:pPr>
              <w:spacing w:after="0"/>
              <w:rPr>
                <w:sz w:val="24"/>
                <w:szCs w:val="24"/>
                <w:color w:val="auto"/>
              </w:rPr>
            </w:pPr>
          </w:p>
        </w:tc>
        <w:tc>
          <w:tcPr>
            <w:tcW w:w="7040" w:type="dxa"/>
            <w:vAlign w:val="bottom"/>
          </w:tcPr>
          <w:p>
            <w:pPr>
              <w:jc w:val="center"/>
              <w:ind w:left="119"/>
              <w:spacing w:after="0"/>
              <w:rPr>
                <w:sz w:val="20"/>
                <w:szCs w:val="20"/>
                <w:color w:val="auto"/>
              </w:rPr>
            </w:pPr>
            <w:r>
              <w:rPr>
                <w:rFonts w:ascii="Arial" w:cs="Arial" w:eastAsia="Arial" w:hAnsi="Arial"/>
                <w:sz w:val="22"/>
                <w:szCs w:val="22"/>
                <w:i w:val="1"/>
                <w:iCs w:val="1"/>
                <w:color w:val="auto"/>
                <w:w w:val="91"/>
              </w:rPr>
              <w:t>KENDRICK B. MELROSE TO ASSUME ROLE OF EXECUTIVE CHAIRMAN</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80"/>
        <w:spacing w:after="0" w:line="251" w:lineRule="auto"/>
        <w:rPr>
          <w:sz w:val="20"/>
          <w:szCs w:val="20"/>
          <w:color w:val="auto"/>
        </w:rPr>
      </w:pPr>
      <w:r>
        <w:rPr>
          <w:rFonts w:ascii="Arial" w:cs="Arial" w:eastAsia="Arial" w:hAnsi="Arial"/>
          <w:sz w:val="21"/>
          <w:szCs w:val="21"/>
          <w:b w:val="1"/>
          <w:bCs w:val="1"/>
          <w:color w:val="auto"/>
        </w:rPr>
        <w:t xml:space="preserve">BLOOMINGTON, Minn. (Feb. 22, 2004) </w:t>
      </w:r>
      <w:r>
        <w:rPr>
          <w:rFonts w:ascii="Arial" w:cs="Arial" w:eastAsia="Arial" w:hAnsi="Arial"/>
          <w:sz w:val="21"/>
          <w:szCs w:val="21"/>
          <w:color w:val="auto"/>
        </w:rPr>
        <w:t>– The Toro Company (NYSE: TTC) today announced that its board of directors has</w:t>
      </w:r>
      <w:r>
        <w:rPr>
          <w:rFonts w:ascii="Arial" w:cs="Arial" w:eastAsia="Arial" w:hAnsi="Arial"/>
          <w:sz w:val="21"/>
          <w:szCs w:val="21"/>
          <w:b w:val="1"/>
          <w:bCs w:val="1"/>
          <w:color w:val="auto"/>
        </w:rPr>
        <w:t xml:space="preserve"> </w:t>
      </w:r>
      <w:r>
        <w:rPr>
          <w:rFonts w:ascii="Arial" w:cs="Arial" w:eastAsia="Arial" w:hAnsi="Arial"/>
          <w:sz w:val="21"/>
          <w:szCs w:val="21"/>
          <w:color w:val="auto"/>
        </w:rPr>
        <w:t>elected Michael J. Hoffman, 49, to the position of chief executive officer effective March 15, 2005. Hoffman, a 27-year veteran with the company, was elected president and chief operating officer on October 18, 2004, and since that date has been responsible for all the company’s businesses and operations. Kendrick B. Melrose will step down as CEO and assume the role of executive chairman for Toro’s board of directors, effective March 15, 2005.</w:t>
      </w:r>
    </w:p>
    <w:p>
      <w:pPr>
        <w:spacing w:after="0" w:line="17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Hoffman joined Toro in 1977, serving the company in various sales, service and marketing roles for nearly all company businesses in the professional and residential segments. Over the past 10 years as a key executive, he successfully directed these divisions toward increased market share, revenue growth, and profitability.</w:t>
      </w:r>
    </w:p>
    <w:p>
      <w:pPr>
        <w:spacing w:after="0" w:line="186" w:lineRule="exact"/>
        <w:rPr>
          <w:sz w:val="20"/>
          <w:szCs w:val="20"/>
          <w:color w:val="auto"/>
        </w:rPr>
      </w:pPr>
    </w:p>
    <w:p>
      <w:pPr>
        <w:jc w:val="both"/>
        <w:ind w:right="400"/>
        <w:spacing w:after="0" w:line="236" w:lineRule="auto"/>
        <w:rPr>
          <w:sz w:val="20"/>
          <w:szCs w:val="20"/>
          <w:color w:val="auto"/>
        </w:rPr>
      </w:pPr>
      <w:r>
        <w:rPr>
          <w:rFonts w:ascii="Arial" w:cs="Arial" w:eastAsia="Arial" w:hAnsi="Arial"/>
          <w:sz w:val="22"/>
          <w:szCs w:val="22"/>
          <w:color w:val="auto"/>
        </w:rPr>
        <w:t>“Mike has made significant contributions in the areas of business strategy, customer relationships, as well as culture and values over the last 27 years,” said Ken Melrose, Toro’s CEO and chairman. “The vitality of the organization, our strong management team, and Mike’s extensive experience in this industry will ensure that Toro continues its remarkable performance and market leadership well into the future. This is the last step in our well-planned leadership succession strategy and the company is fully prepared for a smooth transition.”</w:t>
      </w:r>
    </w:p>
    <w:p>
      <w:pPr>
        <w:spacing w:after="0" w:line="188"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Melrose joined The Toro Company in 1970 as director of marketing for the consumer products division. He was named chief executive officer in December 1983 and chairman of the board in December of 1987. Melrose currently serves as a director on the boards of directors of SurModics, Inc., the Center for Ethical Business Cultures, the National Association of Manufacturers, the Outdoor Power Equipment Institute, Inc., and the Guthrie Theater.</w:t>
      </w:r>
    </w:p>
    <w:p>
      <w:pPr>
        <w:spacing w:after="0" w:line="185" w:lineRule="exact"/>
        <w:rPr>
          <w:sz w:val="20"/>
          <w:szCs w:val="20"/>
          <w:color w:val="auto"/>
        </w:rPr>
      </w:pPr>
    </w:p>
    <w:p>
      <w:pPr>
        <w:ind w:right="540"/>
        <w:spacing w:after="0" w:line="258" w:lineRule="auto"/>
        <w:rPr>
          <w:sz w:val="20"/>
          <w:szCs w:val="20"/>
          <w:color w:val="auto"/>
        </w:rPr>
      </w:pPr>
      <w:r>
        <w:rPr>
          <w:rFonts w:ascii="Arial" w:cs="Arial" w:eastAsia="Arial" w:hAnsi="Arial"/>
          <w:sz w:val="21"/>
          <w:szCs w:val="21"/>
          <w:color w:val="auto"/>
        </w:rPr>
        <w:t>“My priority in this new leadership role will be to build on the proven strategies and cultural values that have enabled Toro to achieve such strong results,” said Hoffman. “I look forward to continuing Ken’s legacy of leadership – one that values and recognizes employees as the company’s competitive advantage and greatest asset.”</w:t>
      </w:r>
    </w:p>
    <w:p>
      <w:pPr>
        <w:spacing w:after="0" w:line="167"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Hoffman holds a bachelor’s degree in marketing management from the University of St. Thomas in St. Paul, Minn., and an MBA from the Carlson School of Management at the University of Minnesota.</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Toro Company:</w:t>
      </w:r>
    </w:p>
    <w:p>
      <w:pPr>
        <w:spacing w:after="0" w:line="14" w:lineRule="exact"/>
        <w:rPr>
          <w:sz w:val="20"/>
          <w:szCs w:val="20"/>
          <w:color w:val="auto"/>
        </w:rPr>
      </w:pPr>
    </w:p>
    <w:p>
      <w:pPr>
        <w:ind w:right="340"/>
        <w:spacing w:after="0" w:line="233" w:lineRule="auto"/>
        <w:rPr>
          <w:sz w:val="20"/>
          <w:szCs w:val="20"/>
          <w:color w:val="auto"/>
        </w:rPr>
      </w:pPr>
      <w:r>
        <w:rPr>
          <w:rFonts w:ascii="Arial" w:cs="Arial" w:eastAsia="Arial" w:hAnsi="Arial"/>
          <w:sz w:val="22"/>
          <w:szCs w:val="22"/>
          <w:color w:val="auto"/>
        </w:rPr>
        <w:t>The Toro Company (NYSE: TTC), with fiscal year 2004 sales of $1.6 billion, is a leading provider of outdoor maintenance and beautification products for home, recreation, and commercial landscapes around the world. Together with its distributors, Toro provides innovative products, agronomic expertise and exemplary service that helps consumers and professionals maintain their landscapes.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initiative which is intended to improve our revenue growth and after-tax return on sales; the company’s ability to achieve sales and earnings per share growth in fiscal 2005; ability of management to manage around unplanned events; unforeseen product quality problems in the development and production of new and existing products; potential issues with moving production between facilities; fluctuations in the cost and availability of raw materials, including steel; rising cost of transportation; level of growth in the golf market; increased dependence on The Home Depot as a customer for the residential segment; reduced government spending for grounds maintenance equipment due to reduced tax revenue and tighter government budgets; increased competition; elimination of shelf space for our products at retailers; financial viability of distributors and dealers; market acceptance of existing and new products; unforeseen inventory adjustments or changes in purchasing patterns by our customers; the impact of abnormal weather patterns; and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ectPr>
          <w:pgSz w:w="11900" w:h="16838" w:orient="portrait"/>
          <w:cols w:equalWidth="0" w:num="1">
            <w:col w:w="11400"/>
          </w:cols>
          <w:pgMar w:left="240" w:top="314" w:right="259" w:bottom="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2019-12-13T13:42:07Z</dcterms:created>
  <dcterms:modified xsi:type="dcterms:W3CDTF">2019-12-13T13:42:07Z</dcterms:modified>
</cp:coreProperties>
</file>