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October 31, 2011</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944" w:gutter="0" w:footer="0" w:header="0"/>
        </w:sectPr>
      </w:pPr>
    </w:p>
    <w:p>
      <w:pPr>
        <w:spacing w:after="0" w:line="195" w:lineRule="exact"/>
        <w:rPr>
          <w:sz w:val="24"/>
          <w:szCs w:val="24"/>
          <w:color w:val="auto"/>
        </w:rPr>
      </w:pPr>
    </w:p>
    <w:p>
      <w:pPr>
        <w:jc w:val="center"/>
        <w:ind w:left="102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jc w:val="center"/>
        <w:ind w:left="102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580"/>
        <w:spacing w:after="0"/>
        <w:rPr>
          <w:sz w:val="20"/>
          <w:szCs w:val="20"/>
          <w:color w:val="auto"/>
        </w:rPr>
      </w:pPr>
      <w:r>
        <w:rPr>
          <w:rFonts w:ascii="Arial" w:cs="Arial" w:eastAsia="Arial" w:hAnsi="Arial"/>
          <w:sz w:val="14"/>
          <w:szCs w:val="14"/>
          <w:b w:val="1"/>
          <w:bCs w:val="1"/>
          <w:color w:val="auto"/>
        </w:rPr>
        <w:t>1-8649</w:t>
      </w:r>
    </w:p>
    <w:p>
      <w:pPr>
        <w:spacing w:after="0" w:line="19" w:lineRule="exact"/>
        <w:rPr>
          <w:sz w:val="24"/>
          <w:szCs w:val="24"/>
          <w:color w:val="auto"/>
        </w:rPr>
      </w:pPr>
    </w:p>
    <w:p>
      <w:pPr>
        <w:jc w:val="center"/>
        <w:ind w:right="15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41-0580470</w:t>
      </w:r>
    </w:p>
    <w:p>
      <w:pPr>
        <w:spacing w:after="0" w:line="19" w:lineRule="exact"/>
        <w:rPr>
          <w:sz w:val="24"/>
          <w:szCs w:val="24"/>
          <w:color w:val="auto"/>
        </w:rPr>
      </w:pPr>
    </w:p>
    <w:p>
      <w:pPr>
        <w:jc w:val="center"/>
        <w:ind w:right="34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340"/>
        <w:spacing w:after="0"/>
        <w:rPr>
          <w:sz w:val="20"/>
          <w:szCs w:val="20"/>
          <w:color w:val="auto"/>
        </w:rPr>
      </w:pPr>
      <w:r>
        <w:rPr>
          <w:rFonts w:ascii="Arial" w:cs="Arial" w:eastAsia="Arial" w:hAnsi="Arial"/>
          <w:sz w:val="14"/>
          <w:szCs w:val="14"/>
          <w:color w:val="auto"/>
        </w:rPr>
        <w:t>Identification</w:t>
      </w:r>
    </w:p>
    <w:p>
      <w:pPr>
        <w:spacing w:after="0" w:line="1" w:lineRule="exact"/>
        <w:rPr>
          <w:sz w:val="24"/>
          <w:szCs w:val="24"/>
          <w:color w:val="auto"/>
        </w:rPr>
      </w:pPr>
    </w:p>
    <w:p>
      <w:pPr>
        <w:jc w:val="center"/>
        <w:ind w:right="340"/>
        <w:spacing w:after="0"/>
        <w:rPr>
          <w:sz w:val="20"/>
          <w:szCs w:val="20"/>
          <w:color w:val="auto"/>
        </w:rPr>
      </w:pPr>
      <w:r>
        <w:rPr>
          <w:rFonts w:ascii="Arial" w:cs="Arial" w:eastAsia="Arial" w:hAnsi="Arial"/>
          <w:sz w:val="14"/>
          <w:szCs w:val="14"/>
          <w:color w:val="auto"/>
        </w:rPr>
        <w:t>Number)</w:t>
      </w:r>
    </w:p>
    <w:p>
      <w:pPr>
        <w:spacing w:after="0" w:line="194" w:lineRule="exact"/>
        <w:rPr>
          <w:sz w:val="24"/>
          <w:szCs w:val="24"/>
          <w:color w:val="auto"/>
        </w:rPr>
      </w:pPr>
    </w:p>
    <w:p>
      <w:pPr>
        <w:sectPr>
          <w:pgSz w:w="11900" w:h="16838" w:orient="portrait"/>
          <w:cols w:equalWidth="0" w:num="3">
            <w:col w:w="5280" w:space="720"/>
            <w:col w:w="3300" w:space="720"/>
            <w:col w:w="1400"/>
          </w:cols>
          <w:pgMar w:left="240" w:top="469" w:right="239" w:bottom="944"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Bloomington, Minnesota 55420-1196</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ectPr>
          <w:pgSz w:w="11900" w:h="16838" w:orient="portrait"/>
          <w:cols w:equalWidth="0" w:num="1">
            <w:col w:w="11420"/>
          </w:cols>
          <w:pgMar w:left="240" w:top="469" w:right="239" w:bottom="944" w:gutter="0" w:footer="0" w:header="0"/>
          <w:type w:val="continuous"/>
        </w:sect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132715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7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5340" w:type="dxa"/>
            <w:vAlign w:val="bottom"/>
            <w:gridSpan w:val="5"/>
          </w:tcPr>
          <w:p>
            <w:pPr>
              <w:ind w:left="110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8"/>
        </w:trPr>
        <w:tc>
          <w:tcPr>
            <w:tcW w:w="17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Common Stock, par value $1.00 per share</w:t>
            </w:r>
          </w:p>
        </w:tc>
        <w:tc>
          <w:tcPr>
            <w:tcW w:w="3980" w:type="dxa"/>
            <w:vAlign w:val="bottom"/>
            <w:gridSpan w:val="2"/>
          </w:tcPr>
          <w:p>
            <w:pPr>
              <w:ind w:left="1100"/>
              <w:spacing w:after="0"/>
              <w:rPr>
                <w:sz w:val="20"/>
                <w:szCs w:val="20"/>
                <w:color w:val="auto"/>
              </w:rPr>
            </w:pPr>
            <w:r>
              <w:rPr>
                <w:rFonts w:ascii="Arial" w:cs="Arial" w:eastAsia="Arial" w:hAnsi="Arial"/>
                <w:sz w:val="18"/>
                <w:szCs w:val="18"/>
                <w:color w:val="auto"/>
              </w:rPr>
              <w:t>New York Stock Exchange</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10"/>
        </w:trPr>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20" w:type="dxa"/>
            <w:vAlign w:val="bottom"/>
            <w:gridSpan w:val="3"/>
          </w:tcPr>
          <w:p>
            <w:pPr>
              <w:jc w:val="center"/>
              <w:ind w:right="840"/>
              <w:spacing w:after="0"/>
              <w:rPr>
                <w:sz w:val="20"/>
                <w:szCs w:val="20"/>
                <w:color w:val="auto"/>
              </w:rPr>
            </w:pPr>
            <w:r>
              <w:rPr>
                <w:rFonts w:ascii="Arial" w:cs="Arial" w:eastAsia="Arial" w:hAnsi="Arial"/>
                <w:sz w:val="18"/>
                <w:szCs w:val="18"/>
                <w:color w:val="auto"/>
                <w:w w:val="97"/>
              </w:rPr>
              <w:t>Securities registered pursuant to Section 12(g) of the Act:</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1"/>
        </w:trPr>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80" w:type="dxa"/>
            <w:vAlign w:val="bottom"/>
            <w:gridSpan w:val="2"/>
          </w:tcPr>
          <w:p>
            <w:pPr>
              <w:jc w:val="center"/>
              <w:ind w:right="3080"/>
              <w:spacing w:after="0"/>
              <w:rPr>
                <w:sz w:val="20"/>
                <w:szCs w:val="20"/>
                <w:color w:val="auto"/>
              </w:rPr>
            </w:pPr>
            <w:r>
              <w:rPr>
                <w:rFonts w:ascii="Arial" w:cs="Arial" w:eastAsia="Arial" w:hAnsi="Arial"/>
                <w:sz w:val="18"/>
                <w:szCs w:val="18"/>
                <w:color w:val="auto"/>
                <w:w w:val="97"/>
              </w:rPr>
              <w:t>None</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9"/>
        </w:trPr>
        <w:tc>
          <w:tcPr>
            <w:tcW w:w="9240" w:type="dxa"/>
            <w:vAlign w:val="bottom"/>
            <w:gridSpan w:val="5"/>
          </w:tcPr>
          <w:p>
            <w:pPr>
              <w:spacing w:after="0"/>
              <w:rPr>
                <w:sz w:val="20"/>
                <w:szCs w:val="20"/>
                <w:color w:val="auto"/>
              </w:rPr>
            </w:pPr>
            <w:r>
              <w:rPr>
                <w:rFonts w:ascii="Arial" w:cs="Arial" w:eastAsia="Arial" w:hAnsi="Arial"/>
                <w:sz w:val="18"/>
                <w:szCs w:val="18"/>
                <w:color w:val="auto"/>
                <w:w w:val="99"/>
              </w:rPr>
              <w:t>Indicate by check mark if the registrant is a well-known seasoned issuer, as defined in Rule 405 of the Securities Act.</w:t>
            </w:r>
          </w:p>
        </w:tc>
        <w:tc>
          <w:tcPr>
            <w:tcW w:w="74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tcPr>
          <w:p>
            <w:pPr>
              <w:ind w:left="120"/>
              <w:spacing w:after="0"/>
              <w:rPr>
                <w:sz w:val="20"/>
                <w:szCs w:val="20"/>
                <w:color w:val="auto"/>
              </w:rPr>
            </w:pPr>
            <w:r>
              <w:rPr>
                <w:rFonts w:ascii="Arial" w:cs="Arial" w:eastAsia="Arial" w:hAnsi="Arial"/>
                <w:sz w:val="18"/>
                <w:szCs w:val="18"/>
                <w:color w:val="auto"/>
              </w:rPr>
              <w:t>No o</w:t>
            </w:r>
          </w:p>
        </w:tc>
      </w:tr>
      <w:tr>
        <w:trPr>
          <w:trHeight w:val="432"/>
        </w:trPr>
        <w:tc>
          <w:tcPr>
            <w:tcW w:w="9240" w:type="dxa"/>
            <w:vAlign w:val="bottom"/>
            <w:gridSpan w:val="5"/>
          </w:tcPr>
          <w:p>
            <w:pPr>
              <w:spacing w:after="0"/>
              <w:rPr>
                <w:sz w:val="20"/>
                <w:szCs w:val="20"/>
                <w:color w:val="auto"/>
              </w:rPr>
            </w:pPr>
            <w:r>
              <w:rPr>
                <w:rFonts w:ascii="Arial" w:cs="Arial" w:eastAsia="Arial" w:hAnsi="Arial"/>
                <w:sz w:val="18"/>
                <w:szCs w:val="18"/>
                <w:color w:val="auto"/>
                <w:w w:val="98"/>
              </w:rPr>
              <w:t>Indicate by check mark if the registrant is not required to file reports pursuant to Section 13 or Section 15(d) of the Act.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Yes o</w:t>
            </w:r>
          </w:p>
        </w:tc>
        <w:tc>
          <w:tcPr>
            <w:tcW w:w="620" w:type="dxa"/>
            <w:vAlign w:val="bottom"/>
          </w:tcPr>
          <w:p>
            <w:pPr>
              <w:ind w:left="20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201"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ind w:right="10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3" w:lineRule="exact"/>
        <w:rPr>
          <w:sz w:val="24"/>
          <w:szCs w:val="24"/>
          <w:color w:val="auto"/>
        </w:rPr>
      </w:pPr>
    </w:p>
    <w:p>
      <w:pPr>
        <w:ind w:right="28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jc w:val="center"/>
              <w:ind w:left="592"/>
              <w:spacing w:after="0"/>
              <w:rPr>
                <w:sz w:val="20"/>
                <w:szCs w:val="20"/>
                <w:color w:val="auto"/>
              </w:rPr>
            </w:pPr>
            <w:r>
              <w:rPr>
                <w:rFonts w:ascii="Arial" w:cs="Arial" w:eastAsia="Arial" w:hAnsi="Arial"/>
                <w:sz w:val="18"/>
                <w:szCs w:val="18"/>
                <w:color w:val="auto"/>
                <w:w w:val="98"/>
              </w:rPr>
              <w:t>Large accelerated</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Accelerated</w:t>
            </w:r>
          </w:p>
        </w:tc>
        <w:tc>
          <w:tcPr>
            <w:tcW w:w="3580" w:type="dxa"/>
            <w:vAlign w:val="bottom"/>
          </w:tcPr>
          <w:p>
            <w:pPr>
              <w:jc w:val="center"/>
              <w:ind w:right="543"/>
              <w:spacing w:after="0"/>
              <w:rPr>
                <w:sz w:val="20"/>
                <w:szCs w:val="20"/>
                <w:color w:val="auto"/>
              </w:rPr>
            </w:pPr>
            <w:r>
              <w:rPr>
                <w:rFonts w:ascii="Arial" w:cs="Arial" w:eastAsia="Arial" w:hAnsi="Arial"/>
                <w:sz w:val="18"/>
                <w:szCs w:val="18"/>
                <w:color w:val="auto"/>
                <w:w w:val="97"/>
              </w:rPr>
              <w:t>Non-accelerated filer o</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7"/>
              </w:rPr>
              <w:t>Smaller reporting</w:t>
            </w:r>
          </w:p>
        </w:tc>
      </w:tr>
      <w:tr>
        <w:trPr>
          <w:trHeight w:val="221"/>
        </w:trPr>
        <w:tc>
          <w:tcPr>
            <w:tcW w:w="3100" w:type="dxa"/>
            <w:vAlign w:val="bottom"/>
          </w:tcPr>
          <w:p>
            <w:pPr>
              <w:jc w:val="center"/>
              <w:ind w:left="592"/>
              <w:spacing w:after="0" w:line="207" w:lineRule="exact"/>
              <w:rPr>
                <w:sz w:val="20"/>
                <w:szCs w:val="20"/>
                <w:color w:val="auto"/>
              </w:rPr>
            </w:pPr>
            <w:r>
              <w:rPr>
                <w:rFonts w:ascii="Arial" w:cs="Arial" w:eastAsia="Arial" w:hAnsi="Arial"/>
                <w:sz w:val="18"/>
                <w:szCs w:val="18"/>
                <w:color w:val="auto"/>
                <w:w w:val="96"/>
              </w:rPr>
              <w:t xml:space="preserve">filer </w:t>
            </w:r>
            <w:r>
              <w:rPr>
                <w:rFonts w:ascii="MS PGothic" w:cs="MS PGothic" w:eastAsia="MS PGothic" w:hAnsi="MS PGothic"/>
                <w:sz w:val="18"/>
                <w:szCs w:val="18"/>
                <w:color w:val="auto"/>
                <w:w w:val="96"/>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filer o</w:t>
            </w:r>
          </w:p>
        </w:tc>
        <w:tc>
          <w:tcPr>
            <w:tcW w:w="3580" w:type="dxa"/>
            <w:vAlign w:val="bottom"/>
          </w:tcPr>
          <w:p>
            <w:pPr>
              <w:jc w:val="center"/>
              <w:ind w:right="523"/>
              <w:spacing w:after="0"/>
              <w:rPr>
                <w:sz w:val="20"/>
                <w:szCs w:val="20"/>
                <w:color w:val="auto"/>
              </w:rPr>
            </w:pPr>
            <w:r>
              <w:rPr>
                <w:rFonts w:ascii="Arial" w:cs="Arial" w:eastAsia="Arial" w:hAnsi="Arial"/>
                <w:sz w:val="14"/>
                <w:szCs w:val="14"/>
                <w:color w:val="auto"/>
              </w:rPr>
              <w:t>(Do not check if a smaller</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7"/>
              </w:rPr>
              <w:t>company o</w:t>
            </w:r>
          </w:p>
        </w:tc>
      </w:tr>
      <w:tr>
        <w:trPr>
          <w:trHeight w:val="172"/>
        </w:trPr>
        <w:tc>
          <w:tcPr>
            <w:tcW w:w="3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80" w:type="dxa"/>
            <w:vAlign w:val="bottom"/>
          </w:tcPr>
          <w:p>
            <w:pPr>
              <w:jc w:val="center"/>
              <w:ind w:right="543"/>
              <w:spacing w:after="0"/>
              <w:rPr>
                <w:sz w:val="20"/>
                <w:szCs w:val="20"/>
                <w:color w:val="auto"/>
              </w:rPr>
            </w:pPr>
            <w:r>
              <w:rPr>
                <w:rFonts w:ascii="Arial" w:cs="Arial" w:eastAsia="Arial" w:hAnsi="Arial"/>
                <w:sz w:val="14"/>
                <w:szCs w:val="14"/>
                <w:color w:val="auto"/>
              </w:rPr>
              <w:t>reporting company)</w:t>
            </w:r>
          </w:p>
        </w:tc>
        <w:tc>
          <w:tcPr>
            <w:tcW w:w="1460" w:type="dxa"/>
            <w:vAlign w:val="bottom"/>
          </w:tcPr>
          <w:p>
            <w:pPr>
              <w:spacing w:after="0"/>
              <w:rPr>
                <w:sz w:val="14"/>
                <w:szCs w:val="14"/>
                <w:color w:val="auto"/>
              </w:rPr>
            </w:pPr>
          </w:p>
        </w:tc>
      </w:tr>
      <w:tr>
        <w:trPr>
          <w:trHeight w:val="435"/>
        </w:trPr>
        <w:tc>
          <w:tcPr>
            <w:tcW w:w="8740" w:type="dxa"/>
            <w:vAlign w:val="bottom"/>
            <w:gridSpan w:val="3"/>
          </w:tcPr>
          <w:p>
            <w:pPr>
              <w:spacing w:after="0"/>
              <w:rPr>
                <w:sz w:val="20"/>
                <w:szCs w:val="20"/>
                <w:color w:val="auto"/>
              </w:rPr>
            </w:pPr>
            <w:r>
              <w:rPr>
                <w:rFonts w:ascii="Arial" w:cs="Arial" w:eastAsia="Arial" w:hAnsi="Arial"/>
                <w:sz w:val="18"/>
                <w:szCs w:val="18"/>
                <w:color w:val="auto"/>
                <w:w w:val="99"/>
              </w:rPr>
              <w:t>Indicate by check mark whether the registrant is a shell company (as defined in Rule 12b-2 of the Act).   Yes o</w:t>
            </w:r>
          </w:p>
        </w:tc>
        <w:tc>
          <w:tcPr>
            <w:tcW w:w="14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1" w:lineRule="exact"/>
        <w:rPr>
          <w:sz w:val="24"/>
          <w:szCs w:val="24"/>
          <w:color w:val="auto"/>
        </w:rPr>
      </w:pPr>
    </w:p>
    <w:p>
      <w:pPr>
        <w:ind w:right="60"/>
        <w:spacing w:after="0" w:line="238" w:lineRule="auto"/>
        <w:rPr>
          <w:sz w:val="20"/>
          <w:szCs w:val="20"/>
          <w:color w:val="auto"/>
        </w:rPr>
      </w:pPr>
      <w:r>
        <w:rPr>
          <w:rFonts w:ascii="Arial" w:cs="Arial" w:eastAsia="Arial" w:hAnsi="Arial"/>
          <w:sz w:val="18"/>
          <w:szCs w:val="18"/>
          <w:color w:val="auto"/>
        </w:rPr>
        <w:t>The aggregate market value of the voting common stock held by non-affiliates of the registrant, based on the closing price of the common stock on April 29, 2011, the last business day of the registrant's most recently completed second fiscal quarter, as reported by the New York Stock Exchange, was approximately $2.1 billion.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14, 2011 was 29,597,045.</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4"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Portions of the registrant's Proxy Statement for the 2012 Annual Meeting of Shareholders expected to be held March 20, 2012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944" w:gutter="0" w:footer="0" w:header="0"/>
          <w:type w:val="continuous"/>
        </w:sectPr>
      </w:pPr>
    </w:p>
    <w:bookmarkStart w:id="1" w:name="page2"/>
    <w:bookmarkEnd w:id="1"/>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40" w:type="dxa"/>
            <w:vAlign w:val="bottom"/>
          </w:tcPr>
          <w:p>
            <w:pPr>
              <w:jc w:val="center"/>
              <w:ind w:left="927"/>
              <w:spacing w:after="0"/>
              <w:rPr>
                <w:sz w:val="20"/>
                <w:szCs w:val="20"/>
                <w:color w:val="auto"/>
              </w:rPr>
            </w:pPr>
            <w:r>
              <w:rPr>
                <w:rFonts w:ascii="Arial" w:cs="Arial" w:eastAsia="Arial" w:hAnsi="Arial"/>
                <w:sz w:val="22"/>
                <w:szCs w:val="22"/>
                <w:b w:val="1"/>
                <w:bCs w:val="1"/>
                <w:color w:val="auto"/>
                <w:w w:val="99"/>
              </w:rPr>
              <w:t>THE TORO COMPANY</w:t>
            </w:r>
          </w:p>
        </w:tc>
        <w:tc>
          <w:tcPr>
            <w:tcW w:w="20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40" w:type="dxa"/>
            <w:vAlign w:val="bottom"/>
          </w:tcPr>
          <w:p>
            <w:pPr>
              <w:jc w:val="center"/>
              <w:ind w:left="927"/>
              <w:spacing w:after="0" w:line="243" w:lineRule="exact"/>
              <w:rPr>
                <w:sz w:val="20"/>
                <w:szCs w:val="20"/>
                <w:color w:val="auto"/>
              </w:rPr>
            </w:pPr>
            <w:r>
              <w:rPr>
                <w:rFonts w:ascii="Arial" w:cs="Arial" w:eastAsia="Arial" w:hAnsi="Arial"/>
                <w:sz w:val="22"/>
                <w:szCs w:val="22"/>
                <w:b w:val="1"/>
                <w:bCs w:val="1"/>
                <w:color w:val="auto"/>
                <w:w w:val="99"/>
              </w:rPr>
              <w:t>FORM 10-K</w:t>
            </w:r>
          </w:p>
        </w:tc>
        <w:tc>
          <w:tcPr>
            <w:tcW w:w="2060" w:type="dxa"/>
            <w:vAlign w:val="bottom"/>
          </w:tcPr>
          <w:p>
            <w:pPr>
              <w:spacing w:after="0"/>
              <w:rPr>
                <w:sz w:val="21"/>
                <w:szCs w:val="21"/>
                <w:color w:val="auto"/>
              </w:rPr>
            </w:pPr>
          </w:p>
        </w:tc>
      </w:tr>
      <w:tr>
        <w:trPr>
          <w:trHeight w:val="28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40" w:type="dxa"/>
            <w:vAlign w:val="bottom"/>
          </w:tcPr>
          <w:p>
            <w:pPr>
              <w:jc w:val="center"/>
              <w:ind w:left="887"/>
              <w:spacing w:after="0"/>
              <w:rPr>
                <w:sz w:val="20"/>
                <w:szCs w:val="20"/>
                <w:color w:val="auto"/>
              </w:rPr>
            </w:pPr>
            <w:r>
              <w:rPr>
                <w:rFonts w:ascii="Arial" w:cs="Arial" w:eastAsia="Arial" w:hAnsi="Arial"/>
                <w:sz w:val="22"/>
                <w:szCs w:val="22"/>
                <w:b w:val="1"/>
                <w:bCs w:val="1"/>
                <w:color w:val="auto"/>
                <w:w w:val="96"/>
              </w:rPr>
              <w:t>TABLE OF CONTENTS</w:t>
            </w:r>
          </w:p>
        </w:tc>
        <w:tc>
          <w:tcPr>
            <w:tcW w:w="2060" w:type="dxa"/>
            <w:vAlign w:val="bottom"/>
          </w:tcPr>
          <w:p>
            <w:pPr>
              <w:spacing w:after="0"/>
              <w:rPr>
                <w:sz w:val="24"/>
                <w:szCs w:val="24"/>
                <w:color w:val="auto"/>
              </w:rPr>
            </w:pPr>
          </w:p>
        </w:tc>
      </w:tr>
      <w:tr>
        <w:trPr>
          <w:trHeight w:val="39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60" w:type="dxa"/>
            <w:vAlign w:val="bottom"/>
          </w:tcPr>
          <w:p>
            <w:pPr>
              <w:jc w:val="right"/>
              <w:ind w:right="72"/>
              <w:spacing w:after="0"/>
              <w:rPr>
                <w:sz w:val="20"/>
                <w:szCs w:val="20"/>
                <w:color w:val="auto"/>
              </w:rPr>
            </w:pPr>
            <w:r>
              <w:rPr>
                <w:rFonts w:ascii="Arial" w:cs="Arial" w:eastAsia="Arial" w:hAnsi="Arial"/>
                <w:sz w:val="18"/>
                <w:szCs w:val="18"/>
                <w:b w:val="1"/>
                <w:bCs w:val="1"/>
                <w:color w:val="auto"/>
              </w:rPr>
              <w:t>Page</w:t>
            </w:r>
          </w:p>
        </w:tc>
      </w:tr>
      <w:tr>
        <w:trPr>
          <w:trHeight w:val="242"/>
        </w:trPr>
        <w:tc>
          <w:tcPr>
            <w:tcW w:w="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r>
      <w:tr>
        <w:trPr>
          <w:trHeight w:val="32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4"/>
                <w:szCs w:val="24"/>
                <w:b w:val="1"/>
                <w:bCs w:val="1"/>
                <w:color w:val="auto"/>
              </w:rPr>
              <w:t>PART I</w:t>
            </w:r>
          </w:p>
        </w:tc>
        <w:tc>
          <w:tcPr>
            <w:tcW w:w="6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75"/>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ITEM 1.</w:t>
            </w:r>
          </w:p>
        </w:tc>
        <w:tc>
          <w:tcPr>
            <w:tcW w:w="6040" w:type="dxa"/>
            <w:vAlign w:val="bottom"/>
          </w:tcPr>
          <w:p>
            <w:pPr>
              <w:ind w:left="100"/>
              <w:spacing w:after="0"/>
              <w:rPr>
                <w:sz w:val="20"/>
                <w:szCs w:val="20"/>
                <w:color w:val="auto"/>
              </w:rPr>
            </w:pPr>
            <w:r>
              <w:rPr>
                <w:rFonts w:ascii="Arial" w:cs="Arial" w:eastAsia="Arial" w:hAnsi="Arial"/>
                <w:sz w:val="18"/>
                <w:szCs w:val="18"/>
                <w:color w:val="auto"/>
              </w:rPr>
              <w:t>Business</w:t>
            </w:r>
          </w:p>
        </w:tc>
        <w:tc>
          <w:tcPr>
            <w:tcW w:w="20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ITEM 1A.</w:t>
            </w:r>
          </w:p>
        </w:tc>
        <w:tc>
          <w:tcPr>
            <w:tcW w:w="60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20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ITEM 1B.</w:t>
            </w:r>
          </w:p>
        </w:tc>
        <w:tc>
          <w:tcPr>
            <w:tcW w:w="604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ITEM 2.</w:t>
            </w:r>
          </w:p>
        </w:tc>
        <w:tc>
          <w:tcPr>
            <w:tcW w:w="604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0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ITEM 3.</w:t>
            </w:r>
          </w:p>
        </w:tc>
        <w:tc>
          <w:tcPr>
            <w:tcW w:w="60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7"/>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ITEM 4.</w:t>
            </w:r>
          </w:p>
        </w:tc>
        <w:tc>
          <w:tcPr>
            <w:tcW w:w="6040" w:type="dxa"/>
            <w:vAlign w:val="bottom"/>
          </w:tcPr>
          <w:p>
            <w:pPr>
              <w:ind w:left="100"/>
              <w:spacing w:after="0"/>
              <w:rPr>
                <w:sz w:val="20"/>
                <w:szCs w:val="20"/>
                <w:color w:val="auto"/>
              </w:rPr>
            </w:pPr>
            <w:r>
              <w:rPr>
                <w:rFonts w:ascii="Arial" w:cs="Arial" w:eastAsia="Arial" w:hAnsi="Arial"/>
                <w:sz w:val="18"/>
                <w:szCs w:val="18"/>
                <w:color w:val="auto"/>
              </w:rPr>
              <w:t>(Removed and 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Executive Officers of the Registrant</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57"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PART II</w:t>
      </w:r>
    </w:p>
    <w:p>
      <w:pPr>
        <w:sectPr>
          <w:pgSz w:w="11900" w:h="16838" w:orient="portrait"/>
          <w:cols w:equalWidth="0" w:num="1">
            <w:col w:w="11420"/>
          </w:cols>
          <w:pgMar w:left="240" w:top="345" w:right="239" w:bottom="1440" w:gutter="0" w:footer="0" w:header="0"/>
        </w:sectPr>
      </w:pPr>
    </w:p>
    <w:p>
      <w:pPr>
        <w:spacing w:after="0" w:line="37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ITEM 5.</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ITEM 6.</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ITEM 7.</w:t>
      </w:r>
    </w:p>
    <w:p>
      <w:pPr>
        <w:ind w:left="1140"/>
        <w:spacing w:after="0"/>
        <w:rPr>
          <w:sz w:val="20"/>
          <w:szCs w:val="20"/>
          <w:color w:val="auto"/>
        </w:rPr>
      </w:pPr>
      <w:r>
        <w:rPr>
          <w:rFonts w:ascii="Arial" w:cs="Arial" w:eastAsia="Arial" w:hAnsi="Arial"/>
          <w:sz w:val="21"/>
          <w:szCs w:val="21"/>
          <w:b w:val="1"/>
          <w:bCs w:val="1"/>
          <w:color w:val="auto"/>
        </w:rPr>
        <w:t>ITEM 7A.</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ITEM 9.</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auto"/>
        </w:rPr>
        <w:t>ITEM 9A.</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auto"/>
        </w:rPr>
        <w:t>ITEM 9B.</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20"/>
                <w:szCs w:val="20"/>
                <w:color w:val="auto"/>
              </w:rPr>
            </w:pPr>
            <w:r>
              <w:rPr>
                <w:rFonts w:ascii="Arial" w:cs="Arial" w:eastAsia="Arial" w:hAnsi="Arial"/>
                <w:sz w:val="18"/>
                <w:szCs w:val="18"/>
                <w:color w:val="auto"/>
              </w:rPr>
              <w:t>Market for Registrant's Common Equity, Related Stockholder Matters, and Issuer</w:t>
            </w:r>
          </w:p>
        </w:tc>
        <w:tc>
          <w:tcPr>
            <w:tcW w:w="720" w:type="dxa"/>
            <w:vAlign w:val="bottom"/>
          </w:tcPr>
          <w:p>
            <w:pPr>
              <w:spacing w:after="0"/>
              <w:rPr>
                <w:sz w:val="17"/>
                <w:szCs w:val="17"/>
                <w:color w:val="auto"/>
              </w:rPr>
            </w:pPr>
          </w:p>
        </w:tc>
      </w:tr>
      <w:tr>
        <w:trPr>
          <w:trHeight w:val="211"/>
        </w:trPr>
        <w:tc>
          <w:tcPr>
            <w:tcW w:w="7280" w:type="dxa"/>
            <w:vAlign w:val="bottom"/>
          </w:tcPr>
          <w:p>
            <w:pPr>
              <w:ind w:left="180"/>
              <w:spacing w:after="0"/>
              <w:rPr>
                <w:sz w:val="20"/>
                <w:szCs w:val="20"/>
                <w:color w:val="auto"/>
              </w:rPr>
            </w:pPr>
            <w:r>
              <w:rPr>
                <w:rFonts w:ascii="Arial" w:cs="Arial" w:eastAsia="Arial" w:hAnsi="Arial"/>
                <w:sz w:val="18"/>
                <w:szCs w:val="18"/>
                <w:color w:val="auto"/>
              </w:rPr>
              <w:t>Purchases of Equity Securities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The Toro Company Common Stock Comparative Performance Graph</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24-37</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tcPr>
          <w:p>
            <w:pPr>
              <w:jc w:val="right"/>
              <w:spacing w:after="0"/>
              <w:rPr>
                <w:sz w:val="20"/>
                <w:szCs w:val="20"/>
                <w:color w:val="auto"/>
              </w:rPr>
            </w:pPr>
            <w:r>
              <w:rPr>
                <w:rFonts w:ascii="Arial" w:cs="Arial" w:eastAsia="Arial" w:hAnsi="Arial"/>
                <w:sz w:val="18"/>
                <w:szCs w:val="18"/>
                <w:color w:val="auto"/>
              </w:rPr>
              <w:t>37-38</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Financial Statements and Supplementary Data</w:t>
            </w:r>
          </w:p>
        </w:tc>
        <w:tc>
          <w:tcPr>
            <w:tcW w:w="720" w:type="dxa"/>
            <w:vAlign w:val="bottom"/>
          </w:tcPr>
          <w:p>
            <w:pPr>
              <w:spacing w:after="0"/>
              <w:rPr>
                <w:sz w:val="21"/>
                <w:szCs w:val="21"/>
                <w:color w:val="auto"/>
              </w:rPr>
            </w:pP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Management's Report on Internal Control over Financial Reporting</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5"/>
        </w:trPr>
        <w:tc>
          <w:tcPr>
            <w:tcW w:w="7280" w:type="dxa"/>
            <w:vAlign w:val="bottom"/>
          </w:tcPr>
          <w:p>
            <w:pPr>
              <w:ind w:left="160"/>
              <w:spacing w:after="0"/>
              <w:rPr>
                <w:sz w:val="20"/>
                <w:szCs w:val="20"/>
                <w:color w:val="auto"/>
              </w:rPr>
            </w:pPr>
            <w:r>
              <w:rPr>
                <w:rFonts w:ascii="Arial" w:cs="Arial" w:eastAsia="Arial" w:hAnsi="Arial"/>
                <w:sz w:val="18"/>
                <w:szCs w:val="18"/>
                <w:color w:val="auto"/>
              </w:rPr>
              <w:t>Report of Independent Registered Public Accounting Firm</w:t>
            </w: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Consolidated Statements of Earnings for the fiscal years ended October 31, 2011, 2010,</w:t>
            </w:r>
          </w:p>
        </w:tc>
        <w:tc>
          <w:tcPr>
            <w:tcW w:w="720" w:type="dxa"/>
            <w:vAlign w:val="bottom"/>
          </w:tcPr>
          <w:p>
            <w:pPr>
              <w:spacing w:after="0"/>
              <w:rPr>
                <w:sz w:val="17"/>
                <w:szCs w:val="17"/>
                <w:color w:val="auto"/>
              </w:rPr>
            </w:pPr>
          </w:p>
        </w:tc>
      </w:tr>
      <w:tr>
        <w:trPr>
          <w:trHeight w:val="211"/>
        </w:trPr>
        <w:tc>
          <w:tcPr>
            <w:tcW w:w="7280" w:type="dxa"/>
            <w:vAlign w:val="bottom"/>
          </w:tcPr>
          <w:p>
            <w:pPr>
              <w:ind w:left="180"/>
              <w:spacing w:after="0"/>
              <w:rPr>
                <w:sz w:val="20"/>
                <w:szCs w:val="20"/>
                <w:color w:val="auto"/>
              </w:rPr>
            </w:pPr>
            <w:r>
              <w:rPr>
                <w:rFonts w:ascii="Arial" w:cs="Arial" w:eastAsia="Arial" w:hAnsi="Arial"/>
                <w:sz w:val="18"/>
                <w:szCs w:val="18"/>
                <w:color w:val="auto"/>
              </w:rPr>
              <w:t>and 2009</w:t>
            </w: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5"/>
        </w:trPr>
        <w:tc>
          <w:tcPr>
            <w:tcW w:w="7280" w:type="dxa"/>
            <w:vAlign w:val="bottom"/>
          </w:tcPr>
          <w:p>
            <w:pPr>
              <w:ind w:left="160"/>
              <w:spacing w:after="0"/>
              <w:rPr>
                <w:sz w:val="20"/>
                <w:szCs w:val="20"/>
                <w:color w:val="auto"/>
              </w:rPr>
            </w:pPr>
            <w:r>
              <w:rPr>
                <w:rFonts w:ascii="Arial" w:cs="Arial" w:eastAsia="Arial" w:hAnsi="Arial"/>
                <w:sz w:val="18"/>
                <w:szCs w:val="18"/>
                <w:color w:val="auto"/>
              </w:rPr>
              <w:t>Consolidated Balance Sheets as of October 31, 2011 and 2010</w:t>
            </w: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Consolidated Statements of Cash Flows for the fiscal years ended October 31, 2011,</w:t>
            </w:r>
          </w:p>
        </w:tc>
        <w:tc>
          <w:tcPr>
            <w:tcW w:w="720" w:type="dxa"/>
            <w:vAlign w:val="bottom"/>
          </w:tcPr>
          <w:p>
            <w:pPr>
              <w:spacing w:after="0"/>
              <w:rPr>
                <w:sz w:val="17"/>
                <w:szCs w:val="17"/>
                <w:color w:val="auto"/>
              </w:rPr>
            </w:pPr>
          </w:p>
        </w:tc>
      </w:tr>
      <w:tr>
        <w:trPr>
          <w:trHeight w:val="203"/>
        </w:trPr>
        <w:tc>
          <w:tcPr>
            <w:tcW w:w="7280" w:type="dxa"/>
            <w:vAlign w:val="bottom"/>
          </w:tcPr>
          <w:p>
            <w:pPr>
              <w:ind w:left="180"/>
              <w:spacing w:after="0" w:line="202" w:lineRule="exact"/>
              <w:rPr>
                <w:sz w:val="20"/>
                <w:szCs w:val="20"/>
                <w:color w:val="auto"/>
              </w:rPr>
            </w:pPr>
            <w:r>
              <w:rPr>
                <w:rFonts w:ascii="Arial" w:cs="Arial" w:eastAsia="Arial" w:hAnsi="Arial"/>
                <w:sz w:val="18"/>
                <w:szCs w:val="18"/>
                <w:color w:val="auto"/>
              </w:rPr>
              <w:t>2010, and 2009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Consolidated Statements of Stockholders' Equity and Comprehensive Income for the</w:t>
            </w:r>
          </w:p>
        </w:tc>
        <w:tc>
          <w:tcPr>
            <w:tcW w:w="720" w:type="dxa"/>
            <w:vAlign w:val="bottom"/>
          </w:tcPr>
          <w:p>
            <w:pPr>
              <w:spacing w:after="0"/>
              <w:rPr>
                <w:sz w:val="17"/>
                <w:szCs w:val="17"/>
                <w:color w:val="auto"/>
              </w:rPr>
            </w:pPr>
          </w:p>
        </w:tc>
      </w:tr>
      <w:tr>
        <w:trPr>
          <w:trHeight w:val="211"/>
        </w:trPr>
        <w:tc>
          <w:tcPr>
            <w:tcW w:w="7280" w:type="dxa"/>
            <w:vAlign w:val="bottom"/>
          </w:tcPr>
          <w:p>
            <w:pPr>
              <w:ind w:left="340"/>
              <w:spacing w:after="0"/>
              <w:rPr>
                <w:sz w:val="20"/>
                <w:szCs w:val="20"/>
                <w:color w:val="auto"/>
              </w:rPr>
            </w:pPr>
            <w:r>
              <w:rPr>
                <w:rFonts w:ascii="Arial" w:cs="Arial" w:eastAsia="Arial" w:hAnsi="Arial"/>
                <w:sz w:val="18"/>
                <w:szCs w:val="18"/>
                <w:color w:val="auto"/>
              </w:rPr>
              <w:t>fiscal years ended October 31, 2011, 2010, and 2009</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45-63</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Other Information</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98" w:lineRule="exact"/>
        <w:rPr>
          <w:sz w:val="20"/>
          <w:szCs w:val="20"/>
          <w:color w:val="auto"/>
        </w:rPr>
      </w:pPr>
    </w:p>
    <w:p>
      <w:pPr>
        <w:sectPr>
          <w:pgSz w:w="11900" w:h="16838" w:orient="portrait"/>
          <w:cols w:equalWidth="0" w:num="2">
            <w:col w:w="2060" w:space="220"/>
            <w:col w:w="9140"/>
          </w:cols>
          <w:pgMar w:left="240" w:top="345" w:right="239" w:bottom="1440" w:gutter="0" w:footer="0" w:header="0"/>
          <w:type w:val="continuous"/>
        </w:sectPr>
      </w:pPr>
    </w:p>
    <w:p>
      <w:pPr>
        <w:ind w:left="1140"/>
        <w:spacing w:after="0"/>
        <w:rPr>
          <w:sz w:val="20"/>
          <w:szCs w:val="20"/>
          <w:color w:val="auto"/>
        </w:rPr>
      </w:pPr>
      <w:r>
        <w:rPr>
          <w:rFonts w:ascii="Arial" w:cs="Arial" w:eastAsia="Arial" w:hAnsi="Arial"/>
          <w:sz w:val="24"/>
          <w:szCs w:val="24"/>
          <w:b w:val="1"/>
          <w:bCs w:val="1"/>
          <w:color w:val="auto"/>
        </w:rPr>
        <w:t>PART III</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7120" w:type="dxa"/>
            <w:vAlign w:val="bottom"/>
          </w:tcPr>
          <w:p>
            <w:pPr>
              <w:ind w:left="120"/>
              <w:spacing w:after="0"/>
              <w:rPr>
                <w:sz w:val="20"/>
                <w:szCs w:val="20"/>
                <w:color w:val="auto"/>
              </w:rPr>
            </w:pPr>
            <w:r>
              <w:rPr>
                <w:rFonts w:ascii="Arial" w:cs="Arial" w:eastAsia="Arial" w:hAnsi="Arial"/>
                <w:sz w:val="18"/>
                <w:szCs w:val="18"/>
                <w:color w:val="auto"/>
              </w:rPr>
              <w:t>Directors, Executive Officers and Corporate Governance</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9"/>
        </w:trPr>
        <w:tc>
          <w:tcPr>
            <w:tcW w:w="1020" w:type="dxa"/>
            <w:vAlign w:val="bottom"/>
          </w:tcPr>
          <w:p>
            <w:pPr>
              <w:spacing w:after="0"/>
              <w:rPr>
                <w:sz w:val="20"/>
                <w:szCs w:val="20"/>
                <w:color w:val="auto"/>
              </w:rPr>
            </w:pPr>
            <w:r>
              <w:rPr>
                <w:rFonts w:ascii="Arial" w:cs="Arial" w:eastAsia="Arial" w:hAnsi="Arial"/>
                <w:sz w:val="22"/>
                <w:szCs w:val="22"/>
                <w:b w:val="1"/>
                <w:bCs w:val="1"/>
                <w:color w:val="auto"/>
              </w:rPr>
              <w:t>ITEM 11.</w:t>
            </w:r>
          </w:p>
        </w:tc>
        <w:tc>
          <w:tcPr>
            <w:tcW w:w="712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1020" w:type="dxa"/>
            <w:vAlign w:val="bottom"/>
            <w:vMerge w:val="restart"/>
          </w:tcPr>
          <w:p>
            <w:pPr>
              <w:spacing w:after="0"/>
              <w:rPr>
                <w:sz w:val="20"/>
                <w:szCs w:val="20"/>
                <w:color w:val="auto"/>
              </w:rPr>
            </w:pPr>
            <w:r>
              <w:rPr>
                <w:rFonts w:ascii="Arial" w:cs="Arial" w:eastAsia="Arial" w:hAnsi="Arial"/>
                <w:sz w:val="22"/>
                <w:szCs w:val="22"/>
                <w:b w:val="1"/>
                <w:bCs w:val="1"/>
                <w:color w:val="auto"/>
              </w:rPr>
              <w:t>ITEM 12.</w:t>
            </w:r>
          </w:p>
        </w:tc>
        <w:tc>
          <w:tcPr>
            <w:tcW w:w="7120" w:type="dxa"/>
            <w:vAlign w:val="bottom"/>
          </w:tcPr>
          <w:p>
            <w:pPr>
              <w:ind w:left="12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7120" w:type="dxa"/>
            <w:vAlign w:val="bottom"/>
          </w:tcPr>
          <w:p>
            <w:pPr>
              <w:ind w:left="300"/>
              <w:spacing w:after="0" w:line="167" w:lineRule="exact"/>
              <w:rPr>
                <w:sz w:val="20"/>
                <w:szCs w:val="20"/>
                <w:color w:val="auto"/>
              </w:rPr>
            </w:pPr>
            <w:r>
              <w:rPr>
                <w:rFonts w:ascii="Arial" w:cs="Arial" w:eastAsia="Arial" w:hAnsi="Arial"/>
                <w:sz w:val="18"/>
                <w:szCs w:val="18"/>
                <w:color w:val="auto"/>
              </w:rPr>
              <w:t>Stockholder Matters</w:t>
            </w:r>
          </w:p>
        </w:tc>
        <w:tc>
          <w:tcPr>
            <w:tcW w:w="1000" w:type="dxa"/>
            <w:vAlign w:val="bottom"/>
          </w:tcPr>
          <w:p>
            <w:pPr>
              <w:jc w:val="right"/>
              <w:spacing w:after="0" w:line="167"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Arial" w:cs="Arial" w:eastAsia="Arial" w:hAnsi="Arial"/>
                <w:sz w:val="22"/>
                <w:szCs w:val="22"/>
                <w:b w:val="1"/>
                <w:bCs w:val="1"/>
                <w:color w:val="auto"/>
              </w:rPr>
              <w:t>ITEM 13.</w:t>
            </w:r>
          </w:p>
        </w:tc>
        <w:tc>
          <w:tcPr>
            <w:tcW w:w="712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Arial" w:cs="Arial" w:eastAsia="Arial" w:hAnsi="Arial"/>
                <w:sz w:val="22"/>
                <w:szCs w:val="22"/>
                <w:b w:val="1"/>
                <w:bCs w:val="1"/>
                <w:color w:val="auto"/>
              </w:rPr>
              <w:t>ITEM 14.</w:t>
            </w:r>
          </w:p>
        </w:tc>
        <w:tc>
          <w:tcPr>
            <w:tcW w:w="7120" w:type="dxa"/>
            <w:vAlign w:val="bottom"/>
          </w:tcPr>
          <w:p>
            <w:pPr>
              <w:ind w:left="120"/>
              <w:spacing w:after="0"/>
              <w:rPr>
                <w:sz w:val="20"/>
                <w:szCs w:val="20"/>
                <w:color w:val="auto"/>
              </w:rPr>
            </w:pPr>
            <w:r>
              <w:rPr>
                <w:rFonts w:ascii="Arial" w:cs="Arial" w:eastAsia="Arial" w:hAnsi="Arial"/>
                <w:sz w:val="18"/>
                <w:szCs w:val="18"/>
                <w:color w:val="auto"/>
              </w:rPr>
              <w:t>Principal Accounting Fees and Services</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PART IV</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540" w:type="dxa"/>
            <w:vAlign w:val="bottom"/>
          </w:tcPr>
          <w:p>
            <w:pPr>
              <w:ind w:left="1140"/>
              <w:spacing w:after="0"/>
              <w:rPr>
                <w:sz w:val="20"/>
                <w:szCs w:val="20"/>
                <w:color w:val="auto"/>
              </w:rPr>
            </w:pPr>
            <w:r>
              <w:rPr>
                <w:rFonts w:ascii="Arial" w:cs="Arial" w:eastAsia="Arial" w:hAnsi="Arial"/>
                <w:sz w:val="22"/>
                <w:szCs w:val="22"/>
                <w:b w:val="1"/>
                <w:bCs w:val="1"/>
                <w:color w:val="auto"/>
              </w:rPr>
              <w:t xml:space="preserve">ITEM 15.  </w:t>
            </w:r>
            <w:r>
              <w:rPr>
                <w:rFonts w:ascii="Arial" w:cs="Arial" w:eastAsia="Arial" w:hAnsi="Arial"/>
                <w:sz w:val="17"/>
                <w:szCs w:val="17"/>
                <w:color w:val="auto"/>
              </w:rPr>
              <w:t>Exhibits, Financial Statement Schedules</w:t>
            </w:r>
          </w:p>
        </w:tc>
        <w:tc>
          <w:tcPr>
            <w:tcW w:w="5880" w:type="dxa"/>
            <w:vAlign w:val="bottom"/>
          </w:tcPr>
          <w:p>
            <w:pPr>
              <w:jc w:val="right"/>
              <w:ind w:right="1052"/>
              <w:spacing w:after="0"/>
              <w:rPr>
                <w:sz w:val="20"/>
                <w:szCs w:val="20"/>
                <w:color w:val="auto"/>
              </w:rPr>
            </w:pPr>
            <w:r>
              <w:rPr>
                <w:rFonts w:ascii="Arial" w:cs="Arial" w:eastAsia="Arial" w:hAnsi="Arial"/>
                <w:sz w:val="18"/>
                <w:szCs w:val="18"/>
                <w:color w:val="auto"/>
              </w:rPr>
              <w:t>65-69</w:t>
            </w:r>
          </w:p>
        </w:tc>
      </w:tr>
      <w:tr>
        <w:trPr>
          <w:trHeight w:val="243"/>
        </w:trPr>
        <w:tc>
          <w:tcPr>
            <w:tcW w:w="5540" w:type="dxa"/>
            <w:vAlign w:val="bottom"/>
          </w:tcPr>
          <w:p>
            <w:pPr>
              <w:ind w:left="2280"/>
              <w:spacing w:after="0"/>
              <w:rPr>
                <w:sz w:val="20"/>
                <w:szCs w:val="20"/>
                <w:color w:val="auto"/>
              </w:rPr>
            </w:pPr>
            <w:r>
              <w:rPr>
                <w:rFonts w:ascii="Arial" w:cs="Arial" w:eastAsia="Arial" w:hAnsi="Arial"/>
                <w:sz w:val="18"/>
                <w:szCs w:val="18"/>
                <w:color w:val="auto"/>
              </w:rPr>
              <w:t>Signatures</w:t>
            </w:r>
          </w:p>
        </w:tc>
        <w:tc>
          <w:tcPr>
            <w:tcW w:w="5880" w:type="dxa"/>
            <w:vAlign w:val="bottom"/>
          </w:tcPr>
          <w:p>
            <w:pPr>
              <w:jc w:val="right"/>
              <w:ind w:right="1052"/>
              <w:spacing w:after="0"/>
              <w:rPr>
                <w:sz w:val="20"/>
                <w:szCs w:val="20"/>
                <w:color w:val="auto"/>
              </w:rPr>
            </w:pPr>
            <w:r>
              <w:rPr>
                <w:rFonts w:ascii="Arial" w:cs="Arial" w:eastAsia="Arial" w:hAnsi="Arial"/>
                <w:sz w:val="18"/>
                <w:szCs w:val="18"/>
                <w:color w:val="auto"/>
              </w:rPr>
              <w:t>70</w:t>
            </w:r>
          </w:p>
        </w:tc>
      </w:tr>
      <w:tr>
        <w:trPr>
          <w:trHeight w:val="419"/>
        </w:trPr>
        <w:tc>
          <w:tcPr>
            <w:tcW w:w="5540" w:type="dxa"/>
            <w:vAlign w:val="bottom"/>
          </w:tcPr>
          <w:p>
            <w:pPr>
              <w:spacing w:after="0"/>
              <w:rPr>
                <w:sz w:val="24"/>
                <w:szCs w:val="24"/>
                <w:color w:val="auto"/>
              </w:rPr>
            </w:pPr>
          </w:p>
        </w:tc>
        <w:tc>
          <w:tcPr>
            <w:tcW w:w="5880" w:type="dxa"/>
            <w:vAlign w:val="bottom"/>
          </w:tcPr>
          <w:p>
            <w:pPr>
              <w:jc w:val="right"/>
              <w:ind w:right="5572"/>
              <w:spacing w:after="0"/>
              <w:rPr>
                <w:sz w:val="20"/>
                <w:szCs w:val="20"/>
                <w:color w:val="auto"/>
              </w:rPr>
            </w:pPr>
            <w:r>
              <w:rPr>
                <w:rFonts w:ascii="Arial" w:cs="Arial" w:eastAsia="Arial" w:hAnsi="Arial"/>
                <w:sz w:val="18"/>
                <w:szCs w:val="18"/>
                <w:color w:val="auto"/>
              </w:rPr>
              <w:t>2</w:t>
            </w:r>
          </w:p>
        </w:tc>
      </w:tr>
      <w:tr>
        <w:trPr>
          <w:trHeight w:val="215"/>
        </w:trPr>
        <w:tc>
          <w:tcPr>
            <w:tcW w:w="5540" w:type="dxa"/>
            <w:vAlign w:val="bottom"/>
            <w:tcBorders>
              <w:bottom w:val="single" w:sz="8" w:color="808080"/>
            </w:tcBorders>
          </w:tcPr>
          <w:p>
            <w:pPr>
              <w:spacing w:after="0"/>
              <w:rPr>
                <w:sz w:val="18"/>
                <w:szCs w:val="18"/>
                <w:color w:val="auto"/>
              </w:rPr>
            </w:pPr>
          </w:p>
        </w:tc>
        <w:tc>
          <w:tcPr>
            <w:tcW w:w="58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type w:val="continuous"/>
        </w:sectPr>
      </w:pPr>
    </w:p>
    <w:bookmarkStart w:id="2" w:name="page3"/>
    <w:bookmarkEnd w:id="2"/>
    <w:p>
      <w:pPr>
        <w:jc w:val="center"/>
        <w:ind w:right="60"/>
        <w:spacing w:after="0"/>
        <w:rPr>
          <w:sz w:val="20"/>
          <w:szCs w:val="20"/>
          <w:color w:val="auto"/>
        </w:rPr>
      </w:pPr>
      <w:r>
        <w:rPr>
          <w:rFonts w:ascii="Arial" w:cs="Arial" w:eastAsia="Arial" w:hAnsi="Arial"/>
          <w:sz w:val="24"/>
          <w:szCs w:val="24"/>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Toro Company was incorporated in Minnesota in 1935 as a successor to a business founded in 1914 and reincorporated in Delaware in 1983. Unless the context indicates otherwise, the terms "company," "Toro," "we," "us," and "our" refer to The Toro Company and its consolidated subsidiaries. Our executive offices are located at 8111 Lyndale Avenue South, Bloomington, Minnesota, 55420-1196, telephone number (952) 888-8801. Our web site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210"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We design, manufacture, and market professional turf maintenance equipment and services, turf irrigation systems, agricultural micro-irrigation systems, landscaping equipment and lighting, and residential yard and snow removal products. We produced our first mower for golf course use in 1921 when we mounted five reel mowers on a Toro tractor, and we introduced our first lawn mower for residential use in 1935. We have continued to enhance our product lines ever since. We classify our operations into three reportable business segments: Professional, Residential, and Distribution. Our Distribution segment, which consists of our company-owned domestic distributorships, has been combined with our corporate activities and is shown as "Other." Net sales of our three reportable segments accounted for the following percentages of our consolidated net sales for fiscal 2011: Professional, 66 percent; Residential, 33 percent; and Other, 1 percent.</w:t>
      </w:r>
    </w:p>
    <w:p>
      <w:pPr>
        <w:spacing w:after="0" w:line="209" w:lineRule="exact"/>
        <w:rPr>
          <w:sz w:val="20"/>
          <w:szCs w:val="20"/>
          <w:color w:val="auto"/>
        </w:rPr>
      </w:pPr>
    </w:p>
    <w:p>
      <w:pPr>
        <w:ind w:right="40" w:firstLine="146"/>
        <w:spacing w:after="0" w:line="281" w:lineRule="auto"/>
        <w:rPr>
          <w:sz w:val="20"/>
          <w:szCs w:val="20"/>
          <w:color w:val="auto"/>
        </w:rPr>
      </w:pPr>
      <w:r>
        <w:rPr>
          <w:rFonts w:ascii="Arial" w:cs="Arial" w:eastAsia="Arial" w:hAnsi="Arial"/>
          <w:sz w:val="16"/>
          <w:szCs w:val="16"/>
          <w:color w:val="auto"/>
        </w:rPr>
        <w:t>Our products are advertised and sold at the retail level under the primary trademarks of Toro®, Exmark®, Irritrol®, Hayter®, Pope®, Lawn-Boy®, and Lawn Genie®, most of which are registered in the United States and/or in the primary foreign countries where we market such products. This report also contains trademarks, trade names, and service marks that are owned by other persons or entities, such as The Home Depot.</w:t>
      </w:r>
    </w:p>
    <w:p>
      <w:pPr>
        <w:spacing w:after="0" w:line="178"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existing products and develop new products. Through these efforts, we seek to be responsive to trends that may affect our target markets now and in the future. A significant portion of our revenue historically has been, and we expect it to continue to be, attributable to new and enhanced products. We define new products as those introduced in the current and previous two fiscal years. We plan to continue to pursue targeted acquisitions using a disciplined approach that adds value while considering our existing brands and product portfolio.</w:t>
      </w:r>
    </w:p>
    <w:p>
      <w:pPr>
        <w:spacing w:after="0" w:line="210" w:lineRule="exact"/>
        <w:rPr>
          <w:sz w:val="20"/>
          <w:szCs w:val="20"/>
          <w:color w:val="auto"/>
        </w:rPr>
      </w:pPr>
    </w:p>
    <w:p>
      <w:pPr>
        <w:ind w:right="320" w:firstLine="146"/>
        <w:spacing w:after="0" w:line="238" w:lineRule="auto"/>
        <w:rPr>
          <w:sz w:val="20"/>
          <w:szCs w:val="20"/>
          <w:color w:val="auto"/>
        </w:rPr>
      </w:pPr>
      <w:r>
        <w:rPr>
          <w:rFonts w:ascii="Arial" w:cs="Arial" w:eastAsia="Arial" w:hAnsi="Arial"/>
          <w:sz w:val="18"/>
          <w:szCs w:val="18"/>
          <w:color w:val="auto"/>
        </w:rPr>
        <w:t>Our purpose is to help our customers enrich the beauty, productivity, and sustainability of the land. Our mission is to be the leading worldwide provider of outdoor landscaping products, support services, and integrated systems that help customers preserve and beautify their outdoor landscapes with environmentally responsible solutions of customer-valued quality and innovation.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by Market</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landscapes, agricultural fields, turf care maintenance, and residential demands. The following is a summary of our products, by market, for the professional segment and our products for the residential segment:</w:t>
      </w:r>
    </w:p>
    <w:p>
      <w:pPr>
        <w:spacing w:after="0" w:line="18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Professional </w:t>
      </w:r>
      <w:r>
        <w:rPr>
          <w:rFonts w:ascii="Arial" w:cs="Arial" w:eastAsia="Arial" w:hAnsi="Arial"/>
          <w:sz w:val="18"/>
          <w:szCs w:val="18"/>
          <w:color w:val="auto"/>
        </w:rPr>
        <w:t>– We design professional turf, landscape, and agricultural products and market them worldwide through a network of distributors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dealers as well as directly to government customers, rental companies, and large retailers. These channel partners then sell our products to professional users engaged in creating and renovating landscapes, irrigating turf and agricultural fields, and maintaining turf, such as golf courses, sports fields, municipal properties, and residential and commercial landscapes.</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Landscape Contractor Market. </w:t>
      </w:r>
      <w:r>
        <w:rPr>
          <w:rFonts w:ascii="Arial" w:cs="Arial" w:eastAsia="Arial" w:hAnsi="Arial"/>
          <w:sz w:val="18"/>
          <w:szCs w:val="18"/>
          <w:color w:val="auto"/>
        </w:rPr>
        <w:t>Products for the landscape contractor market include zero-turn radius riding mowers, heavy-duty walk behind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mowers, mid-size walk behind mowers, stand-on mowers, turf cultivation equipment, compact utility loaders, walk-behind trenchers, and stump grinders. These products are sold through dealers and are available through rental centers to individuals and companies who maintain, create, and renovate residential and commercial landscapes on behalf of property owners. We market products to landscape contractors under the Toro and Exmark brands. In fiscal 2011, we introduced the new Z Master® G3 Commercial Series mower, featuring our exclusive TURBO FORCE® cutting decks, unitized pump, and wheel motors for professional results and dependability. We also introduced the new Exmark Pioneer® E-Series and S-Series mowers, featuring a patented cutting deck design yielding professional results and improving cutting efficiency, and the new Exmark Quest® mower, which is engineered using many of the same elements and features we use in our commercial-grade mowers and features a hydrostatic drive system and zero-turn radius technology.</w:t>
      </w:r>
    </w:p>
    <w:p>
      <w:pPr>
        <w:spacing w:after="0" w:line="212"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Our compact utility loaders are the cornerstone products for our Toro Sitework Systems business, which are designed to improve efficiency in the creation and renovation of landscapes. We offer over 35 attachments for our compact utility loaders, including trenchers, augers, vibratory plows, and backhoes. In fiscal 2011, we acquired a line of turf renovation equipment, including aerators,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seeders, power rakes, and brush cutters, to broaden and strengthen our equipment solutions line.</w:t>
      </w:r>
    </w:p>
    <w:p>
      <w:pPr>
        <w:spacing w:after="0" w:line="192" w:lineRule="exact"/>
        <w:rPr>
          <w:sz w:val="20"/>
          <w:szCs w:val="20"/>
          <w:color w:val="auto"/>
        </w:rPr>
      </w:pPr>
    </w:p>
    <w:p>
      <w:pPr>
        <w:ind w:right="120"/>
        <w:spacing w:after="0"/>
        <w:rPr>
          <w:sz w:val="20"/>
          <w:szCs w:val="20"/>
          <w:color w:val="auto"/>
        </w:rPr>
      </w:pPr>
      <w:r>
        <w:rPr>
          <w:rFonts w:ascii="Arial" w:cs="Arial" w:eastAsia="Arial" w:hAnsi="Arial"/>
          <w:sz w:val="18"/>
          <w:szCs w:val="18"/>
          <w:b w:val="1"/>
          <w:bCs w:val="1"/>
          <w:i w:val="1"/>
          <w:iCs w:val="1"/>
          <w:color w:val="auto"/>
        </w:rPr>
        <w:t xml:space="preserve">Sports Fields and Grounds Market. </w:t>
      </w:r>
      <w:r>
        <w:rPr>
          <w:rFonts w:ascii="Arial" w:cs="Arial" w:eastAsia="Arial" w:hAnsi="Arial"/>
          <w:sz w:val="18"/>
          <w:szCs w:val="18"/>
          <w:color w:val="auto"/>
        </w:rPr>
        <w:t>Products for the sports fields and grounds market include riding rotary mowers and attachments, aerators,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debris management products, which include versatile debris vacuums, blowers, and sweepers. Other products include multipurpose vehicles, such as the Toro Workman®, that can be used for turf maintenance, towing, and industrial hauling. These products are sold through distributors, who then sell to owners and/or managers of sports fields, governmental properties, and residential and commercial landscapes. In fiscal 2011, we introduced the Groundsmaster® 360 Quad-Steer™ that is designed to maximize productivity by combining the agility of a zero-turn radius-riding mower with the flexibility of an out-front rotary mower.</w:t>
      </w:r>
    </w:p>
    <w:p>
      <w:pPr>
        <w:spacing w:after="0" w:line="19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b w:val="1"/>
          <w:bCs w:val="1"/>
          <w:i w:val="1"/>
          <w:iCs w:val="1"/>
          <w:color w:val="auto"/>
        </w:rPr>
        <w:t xml:space="preserve">Golf Course Market. </w:t>
      </w:r>
      <w:r>
        <w:rPr>
          <w:rFonts w:ascii="Arial" w:cs="Arial" w:eastAsia="Arial" w:hAnsi="Arial"/>
          <w:sz w:val="16"/>
          <w:szCs w:val="16"/>
          <w:color w:val="auto"/>
        </w:rPr>
        <w:t>Products for the golf course market include large reel and rotary riding products for fairway, rough and trim cutting; riding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walking mowers for putting greens and specialty areas; turf sprayer equipment; utility vehicles; aeration equipment; and bunker maintenance equipment. In fiscal 2011, we introduced the all-new Greensmaster® TriFlex™ and TriFlex™ Hybrid, the first riding greens mower models that are designed to deliver the productivity of a rider and the precision cut of a walk behind mower. We also introduced the Toro Multi Pro® 5800 turf sprayer, featuring enhanced performance, spray accuracy, and innovative new attachments designed to improve efficiency.</w:t>
      </w:r>
    </w:p>
    <w:p>
      <w:pPr>
        <w:spacing w:after="0" w:line="180"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We also manufacture and market underground irrigation systems, including sprinkler heads, controllers, turf sensors, and electric, battery-operated, and hydraulic valves. Our golf course irrigation systems are designed to use computerized management systems and a variety of other technologies to help customers manage their consumption of water. Our 835S/855S Series golf sprinklers are equipped with a unique TruJectory™ feature that provides enhanced water distribution control as well as uniformity, nozzle flexibility, and system efficiency. Our Network VP® Satellite combines modular flexibility, ease of use, and increased control in a single controller with programming to the individual station level that supports station-based flow management. Our Turf Guard® wireless soil monitoring systems are designed to measure soil moisture, salinity, and temperature through buried wireless sensors that communicate through an Internet server for processing and presentation to a user through the web. In fiscal 2011, we launched the new R Series conversion assemblies that enable the upgrade of select competitive sprinklers to patented Toro technologies, such as our TruJectory™ sprinklers with adjustable height of spray capability. We also expanded the usability of our popular Lynx® central control system through the introduction of a mobile platform that allows superintendants to control their course from a web-enabled device, or via our National Support Network, which provides remote troubleshooting.</w:t>
      </w:r>
    </w:p>
    <w:p>
      <w:pPr>
        <w:spacing w:after="0" w:line="1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i w:val="1"/>
          <w:iCs w:val="1"/>
          <w:color w:val="auto"/>
        </w:rPr>
        <w:t xml:space="preserve">Residential/Commercial Irrigation and Lighting Market. </w:t>
      </w:r>
      <w:r>
        <w:rPr>
          <w:rFonts w:ascii="Arial" w:cs="Arial" w:eastAsia="Arial" w:hAnsi="Arial"/>
          <w:sz w:val="18"/>
          <w:szCs w:val="18"/>
          <w:color w:val="auto"/>
        </w:rPr>
        <w:t>Turf irrigation products marketed under the Toro and Irritrol brands include rotors;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sprinkler bodies and nozzles; plastic and brass valves; drip tubing and subsurface irrigation; electric and hydraulic control devices; and wired and wireless rain, freeze, and climate sensors. These products are designed to be used in residential and commercial turf irrigation systems that are professionally installed into new systems or used to replace or retrofit existing systems. Most of the product lines are designed for underground automatic irrigation. Electric and hydraulic controllers activate valves and sprinkler bodies and nozzles in a typical irrigation system. In fiscal 2011, we introduced the intuitive Rain Master® Eagle Plus control system that utilizes a faster microprocessor designed to enhance real-time irrigation control and the Irritrol Climate Logic®, a smart device that automatically updates irrigation system watering times based on a combination of historical and real-time weather data. We also launched a new version of our extremely efficient Precision™ Series Rotating Nozzles that can retrofit most competitive spray bodies to deliver improved uniform watering coverage.</w:t>
      </w:r>
    </w:p>
    <w:p>
      <w:pPr>
        <w:spacing w:after="0" w:line="212" w:lineRule="exact"/>
        <w:rPr>
          <w:sz w:val="20"/>
          <w:szCs w:val="20"/>
          <w:color w:val="auto"/>
        </w:rPr>
      </w:pPr>
    </w:p>
    <w:p>
      <w:pPr>
        <w:ind w:right="520" w:firstLine="146"/>
        <w:spacing w:after="0" w:line="281" w:lineRule="auto"/>
        <w:rPr>
          <w:sz w:val="20"/>
          <w:szCs w:val="20"/>
          <w:color w:val="auto"/>
        </w:rPr>
      </w:pPr>
      <w:r>
        <w:rPr>
          <w:rFonts w:ascii="Arial" w:cs="Arial" w:eastAsia="Arial" w:hAnsi="Arial"/>
          <w:sz w:val="16"/>
          <w:szCs w:val="16"/>
          <w:color w:val="auto"/>
        </w:rPr>
        <w:t>Our retail irrigation products are marketed under the Toro and Lawn Genie brand names. These products are designed for homeowner installation and include sprinkler heads, valves, timers, and drip irrigation systems. Our ECXTRA™ sprinkler timers can be used with a home computer and our Scheduling Advisor™ recommends the proper watering schedule based on the local weather, plant type, and sprinkler.</w:t>
      </w:r>
    </w:p>
    <w:p>
      <w:pPr>
        <w:spacing w:after="0" w:line="178" w:lineRule="exact"/>
        <w:rPr>
          <w:sz w:val="20"/>
          <w:szCs w:val="20"/>
          <w:color w:val="auto"/>
        </w:rPr>
      </w:pPr>
    </w:p>
    <w:p>
      <w:pPr>
        <w:jc w:val="both"/>
        <w:ind w:right="60" w:firstLine="146"/>
        <w:spacing w:after="0" w:line="238" w:lineRule="auto"/>
        <w:rPr>
          <w:sz w:val="20"/>
          <w:szCs w:val="20"/>
          <w:color w:val="auto"/>
        </w:rPr>
      </w:pPr>
      <w:r>
        <w:rPr>
          <w:rFonts w:ascii="Arial" w:cs="Arial" w:eastAsia="Arial" w:hAnsi="Arial"/>
          <w:sz w:val="18"/>
          <w:szCs w:val="18"/>
          <w:color w:val="auto"/>
        </w:rPr>
        <w:t>In fiscal 2011, we acquired the assets of Unique Lighting Systems, consisting of a line of high quality, professionally installed lighting fixtures and transformers for residential and commercial landscapes. The acquisition includes the Signature, Odyssey, and Brass and Copper Knight series of products and strengthens our product offering to distributors and landscape contractors that also purchase our irrigation products.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Micro-Irrigation Market. </w:t>
      </w:r>
      <w:r>
        <w:rPr>
          <w:rFonts w:ascii="Arial" w:cs="Arial" w:eastAsia="Arial" w:hAnsi="Arial"/>
          <w:sz w:val="18"/>
          <w:szCs w:val="18"/>
          <w:color w:val="auto"/>
        </w:rPr>
        <w:t>Products for the micro-irrigation market include products that regulate the flow of water for drip irrigation,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Aqua-Traxx® PBX drip tape, Aqua-Traxx® PC (pressure-compensating) drip tape, Blue Stripe® polyethylene tubing, BlueLine® drip line, and NGE® emitters, all used in agriculture, mining, and landscape applications. In addition to these core products, we offer a full complement of control devices and connection options to complete the system. These products are sold primarily through dealers and distributors who then sell to end-users for use primarily in vegetable fields, fruit and nut orchards, vineyards, landscapes, and mines. In fiscal 2011, we introduced Aqua-Clear™ filters, a sand media filter that is ideal for growers with small to medium sized fields. The seamless durable fiberglass construction of this innovative, lightweight filter is designed to enable smaller growers to utilize drip irrigation technology. We introduced a variety of system accessories, such as Layflat™ fittings and flexible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PVC tubing, in order to enable growers to complete their Toro micro-irrigation system.</w:t>
      </w:r>
    </w:p>
    <w:p>
      <w:pPr>
        <w:spacing w:after="0" w:line="190"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color w:val="auto"/>
        </w:rPr>
        <w:t xml:space="preserve">Residential </w:t>
      </w:r>
      <w:r>
        <w:rPr>
          <w:rFonts w:ascii="Arial" w:cs="Arial" w:eastAsia="Arial" w:hAnsi="Arial"/>
          <w:sz w:val="16"/>
          <w:szCs w:val="16"/>
          <w:color w:val="auto"/>
        </w:rPr>
        <w:t>– We market our residential products to homeowners through a variety of distribution channels, including outdoor power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dealers, hardware retailers, home centers, mass retailers, and over the Internet. These products are sold mainly in North America, Europe, and Australia, with the exception of snow removal products that are sold primarily in North America and Europe. We also license our trade name to other manufacturers and retailers on certain riding and home solutions products as a means of expanding our brand presence.</w:t>
      </w:r>
    </w:p>
    <w:p>
      <w:pPr>
        <w:spacing w:after="0" w:line="15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Walk Power Mower Products. </w:t>
      </w:r>
      <w:r>
        <w:rPr>
          <w:rFonts w:ascii="Arial" w:cs="Arial" w:eastAsia="Arial" w:hAnsi="Arial"/>
          <w:sz w:val="18"/>
          <w:szCs w:val="18"/>
          <w:color w:val="auto"/>
        </w:rPr>
        <w:t>We manufacture and market numerous walk power mower models under our Toro and Lawn-Boy brand names,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Pope brand in Australia and the Hayter brand in the United Kingdom. Models differ as to cutting width, type of starter mechanism, method of grass clipping discharge, deck type, operational controls, and power sources, and are either self-propelled or push mowers. We also offer a line of rear-roller walk power mowers, a design that provides a striped finish, for the United Kingdom market.</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Riding Products. </w:t>
      </w:r>
      <w:r>
        <w:rPr>
          <w:rFonts w:ascii="Arial" w:cs="Arial" w:eastAsia="Arial" w:hAnsi="Arial"/>
          <w:sz w:val="18"/>
          <w:szCs w:val="18"/>
          <w:color w:val="auto"/>
        </w:rPr>
        <w:t>We manufacture and market riding products under the Toro brand name worldwide and under the Hayter brand name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Kingdom. Riding products primarily consist of zero-turn radius mowers that save homeowners time by using superior maneuverability to cut around obstacles more quickly and easily than tractor technology. Lawn and garden tractor models are sold worldwide. In addition, our rear engine and direct-collect riding mowers are manufactured and sold in the European market. Many models are available with a variety of engines, decks, transmissions, and accessories. In fiscal 2011, we introduced the TimeCutter® SS zero-turn radius mower with our innovative Smart Speed™ control system, which is designed to allow the operator to choose different ground speed ranges with the flip of a lever and without changing the blade or engine speed. We also introduced the TITAN MX mower, which is designed to bridge the gap between commercial-grade zero-turn radius mowers and residential models and is loaded with user-friendly features.</w:t>
      </w:r>
    </w:p>
    <w:p>
      <w:pPr>
        <w:spacing w:after="0" w:line="195"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 xml:space="preserve">Home Solutions Products. </w:t>
      </w:r>
      <w:r>
        <w:rPr>
          <w:rFonts w:ascii="Arial" w:cs="Arial" w:eastAsia="Arial" w:hAnsi="Arial"/>
          <w:sz w:val="18"/>
          <w:szCs w:val="18"/>
          <w:color w:val="auto"/>
        </w:rPr>
        <w:t>We design and market home solutions products under the Toro and Pope brand names, including electric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battery operated flexible line grass trimmers, electric blower-vacuums, electric blowers, and electric snow throwers. In Australia, we also design and market underground and hose-end retail irrigation products under the Pope brand name.</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Gas Snow Removal Products. </w:t>
      </w:r>
      <w:r>
        <w:rPr>
          <w:rFonts w:ascii="Arial" w:cs="Arial" w:eastAsia="Arial" w:hAnsi="Arial"/>
          <w:sz w:val="16"/>
          <w:szCs w:val="16"/>
          <w:color w:val="auto"/>
        </w:rPr>
        <w:t>We manufacture and market a range of gas-powered single-stage and two-stage snow thrower models. Single-stage snow throwers are walk behind units with lightweight two- and four-cycle gasoline engines. Most single-stage snow thrower models include Power Curve® snow thrower technology and some feature our Quick Shoot™ control system that enables operators to quickly change snow-throwing direction. Our innovative pivoting scraper is designed to keep the rotor in constant contact with the pavement. Our two-stage snow throwers are generally designed for relatively large areas of deep, heavy snow and use four-cycle engines. Our two-stage snow throwers include a line of innovative models featuring the Power Max® auger system for enhanced performance and the Quick Stick® chute control technology.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Foreign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Business Segments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currently manufacture our products in the United States, Mexico, Australia, the United Kingdom, and Italy for sale throughout the world and, in late fiscal 2011, we completed the construction of our new manufacturing facility in Romania. We maintain sales offices in the United States, Belgium, the United Kingdom, France, Australia, Singapore, Japan, China, Italy, Korea, and Germany. New product development is pursued primarily in the United States. Our net sales outside the United States were 32.3 percent, 31.8 percent, and 32.0 percent of total consolidated net sales for fiscal 2011, 2010, and 2009, respectively.</w:t>
      </w:r>
    </w:p>
    <w:p>
      <w:pPr>
        <w:spacing w:after="0" w:line="211" w:lineRule="exact"/>
        <w:rPr>
          <w:sz w:val="20"/>
          <w:szCs w:val="20"/>
          <w:color w:val="auto"/>
        </w:rPr>
      </w:pPr>
    </w:p>
    <w:p>
      <w:pPr>
        <w:ind w:right="40" w:firstLine="137"/>
        <w:spacing w:after="0" w:line="236"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foreign operations and each of our three reportable business segments, see Note 12 of the Notes to Consolidated Financial Statements, in the section entitled "Segment Data," included in Part II, Item 8, "Financial Statements and Supplementary Data" of this report.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upfront with customers, using "Voice of the Customer" tools, to help us develop innovative products that we expect to meet or exceed customer expectations. We use Design for Manufacturing and Assembly ("DFM/A") tools to ensure early manufacturing involvement in new product designs to reduce production costs. DFM/A focuses on reducing the number of parts required to assemble new products, as well as designing products to move more efficiently through the manufacturing process. We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 w:name="page6"/>
    <w:bookmarkEnd w:id="5"/>
    <w:p>
      <w:pPr>
        <w:ind w:right="900"/>
        <w:spacing w:after="0" w:line="239" w:lineRule="auto"/>
        <w:rPr>
          <w:sz w:val="20"/>
          <w:szCs w:val="20"/>
          <w:color w:val="auto"/>
        </w:rPr>
      </w:pPr>
      <w:r>
        <w:rPr>
          <w:rFonts w:ascii="Arial" w:cs="Arial" w:eastAsia="Arial" w:hAnsi="Arial"/>
          <w:sz w:val="18"/>
          <w:szCs w:val="18"/>
          <w:color w:val="auto"/>
        </w:rPr>
        <w:t>are striving to make improvements to our new product development system as part of our continuing focus on Lean methods to shorten development time, reduce costs, and improve quality.</w:t>
      </w:r>
    </w:p>
    <w:p>
      <w:pPr>
        <w:spacing w:after="0" w:line="209" w:lineRule="exact"/>
        <w:rPr>
          <w:sz w:val="20"/>
          <w:szCs w:val="20"/>
          <w:color w:val="auto"/>
        </w:rPr>
      </w:pPr>
    </w:p>
    <w:p>
      <w:pPr>
        <w:ind w:right="20" w:firstLine="146"/>
        <w:spacing w:after="0" w:line="237"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$57.0 million (3.0 percent of net sales) in fiscal 2011, $53.3 million (3.2 percent of net sales) in fiscal 2010, and $52.7 million (3.5 percent of net sales) in fiscal 2009.</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Production</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some areas of our business we serve as a fully integrated manufacturer, while in others we are primarily an assembler.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our products. Operations are also designed to be flexible enough to accommodate product design changes that are necessary to respond to market demand.</w:t>
      </w:r>
    </w:p>
    <w:p>
      <w:pPr>
        <w:spacing w:after="0" w:line="209"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that are intended to streamline work and eliminate waste. We also have flexible assembly lines that can handle a wide product mix and deliver products to meet customer demand. Additionally, we spend considerable effort to reduce manufacturing costs through Lean methods and process improvement, product and platform design, application of advanced technologies, enhanced environmental management systems, SKU consolidation, safety improvements, and improved supply-chain management. We also have agreements with other third party manufacturers to manufacture products on our behalf.</w:t>
      </w:r>
    </w:p>
    <w:p>
      <w:pPr>
        <w:spacing w:after="0" w:line="210" w:lineRule="exact"/>
        <w:rPr>
          <w:sz w:val="20"/>
          <w:szCs w:val="20"/>
          <w:color w:val="auto"/>
        </w:rPr>
      </w:pPr>
    </w:p>
    <w:p>
      <w:pPr>
        <w:ind w:right="240" w:firstLine="146"/>
        <w:spacing w:after="0" w:line="236" w:lineRule="auto"/>
        <w:rPr>
          <w:sz w:val="20"/>
          <w:szCs w:val="20"/>
          <w:color w:val="auto"/>
        </w:rPr>
      </w:pPr>
      <w:r>
        <w:rPr>
          <w:rFonts w:ascii="Arial" w:cs="Arial" w:eastAsia="Arial" w:hAnsi="Arial"/>
          <w:sz w:val="18"/>
          <w:szCs w:val="18"/>
          <w:color w:val="auto"/>
        </w:rPr>
        <w:t>Our professional products are manufactured throughout the year. Our residential lawn and garden products are also generally manufactured throughout the year. However, our residential snow removal products are generally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211"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Our production levels and inventory management goals are based on estimates of retail demand for our products, taking into account production capacity, timing of shipments, and field inventory levels. In fiscal 2011, we continued to roll-out a pull-based production system at some of our manufacturing facilities to better align the production of our products to meet customer demand at just the right time. Along with improved service levels for our participating suppliers, distributors, and dealers, this system has resulted in inventory reductions for us and throughout our distribution system.</w:t>
      </w:r>
    </w:p>
    <w:p>
      <w:pPr>
        <w:spacing w:after="0" w:line="211" w:lineRule="exact"/>
        <w:rPr>
          <w:sz w:val="20"/>
          <w:szCs w:val="20"/>
          <w:color w:val="auto"/>
        </w:rPr>
      </w:pPr>
    </w:p>
    <w:p>
      <w:pPr>
        <w:ind w:right="260" w:firstLine="146"/>
        <w:spacing w:after="0" w:line="238" w:lineRule="auto"/>
        <w:rPr>
          <w:sz w:val="20"/>
          <w:szCs w:val="20"/>
          <w:color w:val="auto"/>
        </w:rPr>
      </w:pPr>
      <w:r>
        <w:rPr>
          <w:rFonts w:ascii="Arial" w:cs="Arial" w:eastAsia="Arial" w:hAnsi="Arial"/>
          <w:sz w:val="18"/>
          <w:szCs w:val="18"/>
          <w:color w:val="auto"/>
        </w:rPr>
        <w:t>We periodically shut down production at our manufacturing facilities in order to allow for maintenance, rearrangement, capital equipment installation, and as needed to adjust for market demand. Capital expenditures for fiscal 2012 are planned to be approximately $45 million as we expect to continue to invest in new product tooling and replacement production equipment.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fiscal 2011, we experienced higher average commodity costs compared to the average prices paid for commodities in fiscal 2010, which hampered our gross margin rate in fiscal 2011 as compared to fiscal 2010. We anticipate the rising commodity prices we experienced during fiscal 2011 will continue into fiscal 2012. Historically, we have offset, and we currently expect to continue to mitigate, commodity cost increases in part by continuing efforts to engage in proactive vendor negotiations, reviewing alternative sourcing options, substituting materials, engaging in internal cost reduction efforts, and increasing prices on some of our products, all as appropriate.</w:t>
      </w:r>
    </w:p>
    <w:p>
      <w:pPr>
        <w:spacing w:after="0" w:line="211" w:lineRule="exact"/>
        <w:rPr>
          <w:sz w:val="20"/>
          <w:szCs w:val="20"/>
          <w:color w:val="auto"/>
        </w:rPr>
      </w:pPr>
    </w:p>
    <w:p>
      <w:pPr>
        <w:ind w:right="180" w:firstLine="146"/>
        <w:spacing w:after="0" w:line="237" w:lineRule="auto"/>
        <w:rPr>
          <w:sz w:val="20"/>
          <w:szCs w:val="20"/>
          <w:color w:val="auto"/>
        </w:rPr>
      </w:pPr>
      <w:r>
        <w:rPr>
          <w:rFonts w:ascii="Arial" w:cs="Arial" w:eastAsia="Arial" w:hAnsi="Arial"/>
          <w:sz w:val="18"/>
          <w:szCs w:val="18"/>
          <w:color w:val="auto"/>
        </w:rPr>
        <w:t>Most of the components of our products are also affected by commodity cost pressures and are commercially available from a number of sources. In fiscal 2011, we experienced no significant work stoppages because of shortages of raw materials or commodities. The highest raw material and component costs are generally for steel, engines, hydraulic components, transmissions, plastic resin, and electric motors, which we purchase from several suppliers around the world.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3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w:t>
      </w:r>
    </w:p>
    <w:p>
      <w:pPr>
        <w:sectPr>
          <w:pgSz w:w="11900" w:h="16838" w:orient="portrait"/>
          <w:cols w:equalWidth="0" w:num="1">
            <w:col w:w="11380"/>
          </w:cols>
          <w:pgMar w:left="240" w:top="143" w:right="27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6" w:name="page7"/>
    <w:bookmarkEnd w:id="6"/>
    <w:p>
      <w:pPr>
        <w:ind w:right="160"/>
        <w:spacing w:after="0" w:line="236" w:lineRule="auto"/>
        <w:rPr>
          <w:sz w:val="20"/>
          <w:szCs w:val="20"/>
          <w:color w:val="auto"/>
        </w:rPr>
      </w:pPr>
      <w:r>
        <w:rPr>
          <w:rFonts w:ascii="Arial" w:cs="Arial" w:eastAsia="Arial" w:hAnsi="Arial"/>
          <w:sz w:val="18"/>
          <w:szCs w:val="18"/>
          <w:color w:val="auto"/>
        </w:rPr>
        <w:t>expense is accrued at the time of sale based on the type and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also sell extended warranty coverage on select products for a prescribed period after the factory warranty period expires.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 estimates with respect to claims based on internal evaluations of the merits of individual claims. We purchase excess insurance coverage for catastrophic product liability claims for incidents that exceed our self-insured retention levels.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We hold patents in the United States and foreign countries and apply for patents as applicable. Although we believe our patents are valuable and patent protection is beneficial, our patent protection will not necessarily deter or prevent competitors from attempting to develop similar products. We are not materially dependent on any one or more of our patents.</w:t>
      </w:r>
    </w:p>
    <w:p>
      <w:pPr>
        <w:spacing w:after="0" w:line="208" w:lineRule="exact"/>
        <w:rPr>
          <w:sz w:val="20"/>
          <w:szCs w:val="20"/>
          <w:color w:val="auto"/>
        </w:rPr>
      </w:pPr>
    </w:p>
    <w:p>
      <w:pPr>
        <w:ind w:right="60" w:firstLine="143"/>
        <w:spacing w:after="0" w:line="275" w:lineRule="auto"/>
        <w:rPr>
          <w:sz w:val="20"/>
          <w:szCs w:val="20"/>
          <w:color w:val="auto"/>
        </w:rPr>
      </w:pPr>
      <w:r>
        <w:rPr>
          <w:rFonts w:ascii="Arial" w:cs="Arial" w:eastAsia="Arial" w:hAnsi="Arial"/>
          <w:sz w:val="16"/>
          <w:szCs w:val="16"/>
          <w:color w:val="auto"/>
        </w:rPr>
        <w:t>To prevent possible infringement of our patents by others, we periodically review competitors' products. To help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Sales of our residential products, which accounted for 33 percent of total consolidated net sales in fiscal 2011, are seasonal, with sales of lawn and garden products occurring primarily between February and May, depending upon seasonal weather conditions and demand for our products. Sales of snow removal products occur primarily between July and January, depending upon seasonal snow falls, product availability, and demand for our snow removal products. Opposite seasons in global markets in which we sell our products somewhat moderate this seasonality of residential product sales. Seasonality of professional product sales also exists but is tempered because the selling season in the Southern U.S. and in our markets in the Southern hemisphere continues for a longer portion of the year than in Northern regions of the world.</w:t>
      </w:r>
    </w:p>
    <w:p>
      <w:pPr>
        <w:spacing w:after="0" w:line="210"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Overall, worldwide sales levels are historically highest in our fiscal second quarter and retail demand is generally highest in our fiscal third quarter. Typically, accounts receivable balances increase between January and April because of higher sales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then decrease in the second half of our fiscal year. Seasonal cash requirements of our business are financed from a combination of cash balances, cash flows from operations, and our bank credit lines.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149860</wp:posOffset>
            </wp:positionV>
            <wp:extent cx="6346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70"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Fiscal 2011</w:t>
            </w: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560" w:type="dxa"/>
            <w:vAlign w:val="bottom"/>
          </w:tcPr>
          <w:p>
            <w:pPr>
              <w:ind w:left="180"/>
              <w:spacing w:after="0" w:line="149" w:lineRule="exact"/>
              <w:rPr>
                <w:sz w:val="20"/>
                <w:szCs w:val="20"/>
                <w:color w:val="auto"/>
              </w:rPr>
            </w:pPr>
            <w:r>
              <w:rPr>
                <w:rFonts w:ascii="Arial" w:cs="Arial" w:eastAsia="Arial" w:hAnsi="Arial"/>
                <w:sz w:val="14"/>
                <w:szCs w:val="14"/>
                <w:color w:val="auto"/>
              </w:rPr>
              <w:t>Net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96"/>
        </w:trPr>
        <w:tc>
          <w:tcPr>
            <w:tcW w:w="686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rPr>
              <w:t>Sales</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560" w:type="dxa"/>
            <w:vAlign w:val="bottom"/>
          </w:tcPr>
          <w:p>
            <w:pPr>
              <w:ind w:left="60"/>
              <w:spacing w:after="0"/>
              <w:rPr>
                <w:sz w:val="20"/>
                <w:szCs w:val="20"/>
                <w:color w:val="auto"/>
              </w:rPr>
            </w:pPr>
            <w:r>
              <w:rPr>
                <w:rFonts w:ascii="Arial" w:cs="Arial" w:eastAsia="Arial" w:hAnsi="Arial"/>
                <w:sz w:val="14"/>
                <w:szCs w:val="14"/>
                <w:color w:val="auto"/>
              </w:rPr>
              <w:t>Sales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w:t>
            </w:r>
          </w:p>
        </w:tc>
        <w:tc>
          <w:tcPr>
            <w:tcW w:w="58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20%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15%</w:t>
            </w:r>
          </w:p>
        </w:tc>
        <w:tc>
          <w:tcPr>
            <w:tcW w:w="56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9"/>
              </w:rPr>
              <w:t>20%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580" w:type="dxa"/>
            <w:vAlign w:val="bottom"/>
          </w:tcPr>
          <w:p>
            <w:pPr>
              <w:ind w:left="260"/>
              <w:spacing w:after="0"/>
              <w:rPr>
                <w:sz w:val="20"/>
                <w:szCs w:val="20"/>
                <w:color w:val="auto"/>
              </w:rPr>
            </w:pPr>
            <w:r>
              <w:rPr>
                <w:rFonts w:ascii="Arial" w:cs="Arial" w:eastAsia="Arial" w:hAnsi="Arial"/>
                <w:sz w:val="14"/>
                <w:szCs w:val="14"/>
                <w:b w:val="1"/>
                <w:bCs w:val="1"/>
                <w:color w:val="auto"/>
              </w:rPr>
              <w:t>33</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32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4"/>
                <w:szCs w:val="14"/>
                <w:color w:val="auto"/>
              </w:rPr>
              <w:t>33</w:t>
            </w: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58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27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Weather</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From time to time, weather conditions in a particular geographic region or market may adversely or positively affect sales of some of our products and field inventory levels and result in a negative or positive impact on our future net sales. If the percentage of our net sales from outside the United States increases, our dependency on weather in any one part of the world decreases. Nonetheless, weather conditions could materially affect our future net sales.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fund our operations through a combination of cash and cash equivalents, cash flows from operations, short-term borrowings under our credit facilities, and long-term debt. Wherever possible, cash management is centralized and intercompany financing is used to provide working capital to subsidiaries as needed. In addition, our credit facilities are available for additional working capital needs, acquisitions, or other investment opportunities.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market the majority of our products through approximately 40 domestic and 120 foreign distributors, as well as a large number of outdoor power equipment dealers, hardware retailers, home centers, and mass retailers in more than 90 countries worldwide.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Residential products, such as walk power mowers, riding products, and snow throwers, are mainly sold directly to home centers,</w:t>
      </w:r>
    </w:p>
    <w:p>
      <w:pPr>
        <w:sectPr>
          <w:pgSz w:w="11900" w:h="16838" w:orient="portrait"/>
          <w:cols w:equalWidth="0" w:num="1">
            <w:col w:w="11400"/>
          </w:cols>
          <w:pgMar w:left="240" w:top="143" w:right="259" w:bottom="416"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416" w:gutter="0" w:footer="0" w:header="0"/>
          <w:type w:val="continuous"/>
        </w:sectPr>
      </w:pPr>
    </w:p>
    <w:bookmarkStart w:id="7" w:name="page8"/>
    <w:bookmarkEnd w:id="7"/>
    <w:p>
      <w:pPr>
        <w:ind w:right="40"/>
        <w:spacing w:after="0" w:line="236" w:lineRule="auto"/>
        <w:rPr>
          <w:sz w:val="20"/>
          <w:szCs w:val="20"/>
          <w:color w:val="auto"/>
        </w:rPr>
      </w:pPr>
      <w:r>
        <w:rPr>
          <w:rFonts w:ascii="Arial" w:cs="Arial" w:eastAsia="Arial" w:hAnsi="Arial"/>
          <w:sz w:val="18"/>
          <w:szCs w:val="18"/>
          <w:color w:val="auto"/>
        </w:rPr>
        <w:t>dealers, hardware retailers, and mass retailers. In certain markets, these same products are sold to distributors for resale to hardware retailers and dealers. Home solutions products are primarily sold directly to home centers, mass retailers, hardware retailers, and dealers. We also sell selected residential products over the Internet. Internationally, residential products are sold directly to dealers and mass merchandisers in Australia, Canada, and select countries in Europe. In most other countries, residential products are mainly sold to distributors for resale to dealers and mass retailers.</w:t>
      </w:r>
    </w:p>
    <w:p>
      <w:pPr>
        <w:spacing w:after="0" w:line="211" w:lineRule="exact"/>
        <w:rPr>
          <w:sz w:val="20"/>
          <w:szCs w:val="20"/>
          <w:color w:val="auto"/>
        </w:rPr>
      </w:pPr>
    </w:p>
    <w:p>
      <w:pPr>
        <w:ind w:right="240" w:firstLine="146"/>
        <w:spacing w:after="0" w:line="236" w:lineRule="auto"/>
        <w:rPr>
          <w:sz w:val="20"/>
          <w:szCs w:val="20"/>
          <w:color w:val="auto"/>
        </w:rPr>
      </w:pPr>
      <w:r>
        <w:rPr>
          <w:rFonts w:ascii="Arial" w:cs="Arial" w:eastAsia="Arial" w:hAnsi="Arial"/>
          <w:sz w:val="18"/>
          <w:szCs w:val="18"/>
          <w:color w:val="auto"/>
        </w:rPr>
        <w:t>Professional products are sold to distributors for resale to dealers, sports fields, industrial facilities, contractors, government customers, rental stores, and golf courses. We also sell some professional segment products directly to government customers and rental companies, as well as directly to end-users in certain international markets. Select residential/commercial irrigation and lighting products are also sold directly to professional irrigation and lighting distributors, and certain retail irrigation products are sold directly to home centers. Compact utility loaders and attachments are sold to dealers and directly to large rental companies. Toro and Exmark landscape contractor products are also sold directly to dealers in certain regions of the United States.</w:t>
      </w:r>
    </w:p>
    <w:p>
      <w:pPr>
        <w:spacing w:after="0" w:line="210" w:lineRule="exact"/>
        <w:rPr>
          <w:sz w:val="20"/>
          <w:szCs w:val="20"/>
          <w:color w:val="auto"/>
        </w:rPr>
      </w:pPr>
    </w:p>
    <w:p>
      <w:pPr>
        <w:ind w:right="340" w:firstLine="146"/>
        <w:spacing w:after="0" w:line="238" w:lineRule="auto"/>
        <w:rPr>
          <w:sz w:val="20"/>
          <w:szCs w:val="20"/>
          <w:color w:val="auto"/>
        </w:rPr>
      </w:pPr>
      <w:r>
        <w:rPr>
          <w:rFonts w:ascii="Arial" w:cs="Arial" w:eastAsia="Arial" w:hAnsi="Arial"/>
          <w:sz w:val="18"/>
          <w:szCs w:val="18"/>
          <w:color w:val="auto"/>
        </w:rPr>
        <w:t>During fiscal 2011, we owned two domestic distribution companies. Our primary purposes in owning domestic distributorships are to facilitate ownership transfers while improving operations and to test and deploy new strategies and business practices that could be replicated by our independent distributors.</w:t>
      </w:r>
    </w:p>
    <w:p>
      <w:pPr>
        <w:spacing w:after="0" w:line="208" w:lineRule="exact"/>
        <w:rPr>
          <w:sz w:val="20"/>
          <w:szCs w:val="20"/>
          <w:color w:val="auto"/>
        </w:rPr>
      </w:pPr>
    </w:p>
    <w:p>
      <w:pPr>
        <w:ind w:right="40" w:firstLine="146"/>
        <w:spacing w:after="0" w:line="237" w:lineRule="auto"/>
        <w:rPr>
          <w:sz w:val="20"/>
          <w:szCs w:val="20"/>
          <w:color w:val="auto"/>
        </w:rPr>
      </w:pPr>
      <w:r>
        <w:rPr>
          <w:rFonts w:ascii="Arial" w:cs="Arial" w:eastAsia="Arial" w:hAnsi="Arial"/>
          <w:sz w:val="18"/>
          <w:szCs w:val="18"/>
          <w:color w:val="auto"/>
        </w:rPr>
        <w:t>Our distribution systems are intended to assure quality of sales and market presence as well as effective after-purchase service and support. We believe our distribution network provides a competitive advantage in marketing and selling our products, in part, because our primary distribution network is focused on selling and marketing our products and because of the long-term relationships they have established and experienced personnel they utilize to deliver high levels of customer satisfaction.</w:t>
      </w:r>
    </w:p>
    <w:p>
      <w:pPr>
        <w:spacing w:after="0" w:line="209" w:lineRule="exact"/>
        <w:rPr>
          <w:sz w:val="20"/>
          <w:szCs w:val="20"/>
          <w:color w:val="auto"/>
        </w:rPr>
      </w:pPr>
    </w:p>
    <w:p>
      <w:pPr>
        <w:ind w:right="40" w:firstLine="146"/>
        <w:spacing w:after="0" w:line="239"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Irritrol®, Hayter®, Pope®, Lawn-Boy®, and Lawn Genie® products.</w:t>
      </w:r>
    </w:p>
    <w:p>
      <w:pPr>
        <w:spacing w:after="0" w:line="209" w:lineRule="exact"/>
        <w:rPr>
          <w:sz w:val="20"/>
          <w:szCs w:val="20"/>
          <w:color w:val="auto"/>
        </w:rPr>
      </w:pPr>
    </w:p>
    <w:p>
      <w:pPr>
        <w:ind w:right="200" w:firstLine="146"/>
        <w:spacing w:after="0" w:line="237" w:lineRule="auto"/>
        <w:rPr>
          <w:sz w:val="20"/>
          <w:szCs w:val="20"/>
          <w:color w:val="auto"/>
        </w:rPr>
      </w:pPr>
      <w:r>
        <w:rPr>
          <w:rFonts w:ascii="Arial" w:cs="Arial" w:eastAsia="Arial" w:hAnsi="Arial"/>
          <w:sz w:val="18"/>
          <w:szCs w:val="18"/>
          <w:color w:val="auto"/>
        </w:rPr>
        <w:t>We advertise our residential products during appropriate seasons throughout the year mainly on television, on the radio, in print, and via the Internet. Professional products are advertised mainly in print and through direct mail programs, as well as on the Internet. Most of our advertising emphasizes our brand names. Advertising is purchased by us as well as through cooperative programs with distributors, dealers, hardware retailers, home centers, and mass retailers.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Overall, we believe that in the long-term we are not dependent on any single customer. However, The Home Depot accounted for approximately 11 percent and 13 percent of our total consolidated gross sales in fiscal 2011 and 2010, respectively. The North America residential segment of our business is dependent on The Home Depot as a customer. While the loss of any substantial customer, including The Home Depot, could have a material adverse short-term impact on our business, we believe that our diverse distribution channels and customer base should reduce the long-term impact of any such loss.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orders is dependent upon when customers place orders, and is not necessarily an indicator of our expected results for the first</w:t>
      </w:r>
    </w:p>
    <w:p>
      <w:pPr>
        <w:spacing w:after="0" w:line="234" w:lineRule="auto"/>
        <w:rPr>
          <w:sz w:val="20"/>
          <w:szCs w:val="20"/>
          <w:color w:val="auto"/>
        </w:rPr>
      </w:pPr>
      <w:r>
        <w:rPr>
          <w:rFonts w:ascii="Arial" w:cs="Arial" w:eastAsia="Arial" w:hAnsi="Arial"/>
          <w:sz w:val="18"/>
          <w:szCs w:val="18"/>
          <w:color w:val="auto"/>
        </w:rPr>
        <w:t>quarter of fiscal 2012 or our fiscal 2012 net sales. The approximate backlog of orders as of October 31, 2011 and 2010 was $85.2 million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$96.3 million, respectively, a decrease of 11.5 percent. This decrease was primarily the result of the timing of professional segment stocking orders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that were placed in early fiscal 2012 instead of late in fiscal 2011, as well as backlog of orders for international golf projects in fiscal 2011. We</w:t>
      </w:r>
    </w:p>
    <w:p>
      <w:pPr>
        <w:spacing w:after="0"/>
        <w:rPr>
          <w:sz w:val="20"/>
          <w:szCs w:val="20"/>
          <w:color w:val="auto"/>
        </w:rPr>
      </w:pPr>
      <w:r>
        <w:rPr>
          <w:rFonts w:ascii="Arial" w:cs="Arial" w:eastAsia="Arial" w:hAnsi="Arial"/>
          <w:sz w:val="18"/>
          <w:szCs w:val="18"/>
          <w:color w:val="auto"/>
        </w:rPr>
        <w:t>expect the existing backlog of orders will be filled in early fiscal 2012.</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hardware retailers, home centers, and mass retailers, we offer comprehensive service support during and after the warranty period. We compete in many product lines with numerous manufacturers, many of which have larger operations and financial resources than us. We believe that we have a competitive advantage because we manufacture a broad range of product lines, we are committed to product innovation and customer service, we have a strong focus in maintaining landscapes, and our distribution channels position us well to compete in various markets.</w:t>
      </w:r>
    </w:p>
    <w:p>
      <w:pPr>
        <w:spacing w:after="0" w:line="208" w:lineRule="exact"/>
        <w:rPr>
          <w:sz w:val="20"/>
          <w:szCs w:val="20"/>
          <w:color w:val="auto"/>
        </w:rPr>
      </w:pPr>
    </w:p>
    <w:p>
      <w:pPr>
        <w:jc w:val="both"/>
        <w:ind w:right="20" w:firstLine="146"/>
        <w:spacing w:after="0" w:line="237" w:lineRule="auto"/>
        <w:rPr>
          <w:sz w:val="20"/>
          <w:szCs w:val="20"/>
          <w:color w:val="auto"/>
        </w:rPr>
      </w:pPr>
      <w:r>
        <w:rPr>
          <w:rFonts w:ascii="Arial" w:cs="Arial" w:eastAsia="Arial" w:hAnsi="Arial"/>
          <w:sz w:val="18"/>
          <w:szCs w:val="18"/>
          <w:color w:val="auto"/>
        </w:rPr>
        <w:t>Internationally, residential segment products face more competition where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provide pricing support, as needed, to foreign customers to remain competitive in international markets.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Governmental Regulation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numerous federal, international, states, and other governmental laws, rules, and regulations relating to, among</w:t>
      </w:r>
    </w:p>
    <w:p>
      <w:pPr>
        <w:sectPr>
          <w:pgSz w:w="11900" w:h="16838" w:orient="portrait"/>
          <w:cols w:equalWidth="0" w:num="1">
            <w:col w:w="11420"/>
          </w:cols>
          <w:pgMar w:left="240" w:top="143"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8" w:name="page9"/>
    <w:bookmarkEnd w:id="8"/>
    <w:p>
      <w:pPr>
        <w:ind w:right="220"/>
        <w:spacing w:after="0" w:line="237" w:lineRule="auto"/>
        <w:rPr>
          <w:sz w:val="20"/>
          <w:szCs w:val="20"/>
          <w:color w:val="auto"/>
        </w:rPr>
      </w:pPr>
      <w:r>
        <w:rPr>
          <w:rFonts w:ascii="Arial" w:cs="Arial" w:eastAsia="Arial" w:hAnsi="Arial"/>
          <w:sz w:val="18"/>
          <w:szCs w:val="18"/>
          <w:color w:val="auto"/>
        </w:rPr>
        <w:t>others, climate change; emissions to air and discharges to water; product and associated packaging; import and export compliance, including country of origin certification requirements; worker and product user health and safety; energy efficiency; product life-cycles; and the generation, use, handling, labeling, collection, management, storage, transportation, treatment, and disposal of hazardous substances, wastes, and other regulated materials. For example:</w:t>
      </w:r>
    </w:p>
    <w:p>
      <w:pPr>
        <w:spacing w:after="0" w:line="209" w:lineRule="exact"/>
        <w:rPr>
          <w:sz w:val="20"/>
          <w:szCs w:val="20"/>
          <w:color w:val="auto"/>
        </w:rPr>
      </w:pPr>
    </w:p>
    <w:p>
      <w:pPr>
        <w:ind w:left="540" w:hanging="532"/>
        <w:spacing w:after="0" w:line="23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United States Environmental Protection Agency ("EPA"), the California Air Resources Board, and similar regulators in other U.S. states and foreign jurisdictions in which we sell our products have phased in, or are phasing in, emission regulations setting maximum emission standards for certain equipment. Specifically, the EPA has adopted increasingly stringent engine emission regulations, including Tier 4 emission requirements that beginning in 2012 are applicable to diesel engines in a specified horsepower range that are used in some of our professional segment products.</w:t>
      </w:r>
    </w:p>
    <w:p>
      <w:pPr>
        <w:spacing w:after="0" w:line="8"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United States federal government, several U.S. states and certain foreign jurisdictions in which we sell our products, including the European Union ("EU") and each of its member states, have implemented one or more of the following: (i) the Waste Electrical and Electronic Equipment ("WEEE") directive or similar product life-cycle management laws, rules, or regulations, which mandate the labeling, collection, and disposal of specified waste electrical and electronic equipment, including some of our products; (ii) the Restriction on the use of Hazardous Substances ("RoHS") directive or similar substance level laws, rules, or regulations, which restrict the use of several specified hazardous materials in the manufacture of specific types of electrical and electronic equipment, including some of our products; (iii) country of origin laws, rules, or regulations, which require certification of the geographic origin of our finished goods products and/or components used in our products through documentation and/or physical markings, as applicable; (iv) energy efficiency laws, rules, or regulations, which are intended to reduce the use and inefficiencies associated with energy and natural resource consumption and require specified efficiency ratings and capabilities for certain products, including some of our products; and (v) product life-cycle laws, rules, or regulations, which are intended to reduce waste and environmental and human health impact and require manufacturers to collect, dispose, and recycle certain products, including some of our products, at the end of their useful life.</w:t>
      </w:r>
    </w:p>
    <w:p>
      <w:pPr>
        <w:spacing w:after="0" w:line="9" w:lineRule="exact"/>
        <w:rPr>
          <w:rFonts w:ascii="Arial" w:cs="Arial" w:eastAsia="Arial" w:hAnsi="Arial"/>
          <w:sz w:val="18"/>
          <w:szCs w:val="18"/>
          <w:color w:val="auto"/>
        </w:rPr>
      </w:pPr>
    </w:p>
    <w:p>
      <w:pPr>
        <w:ind w:left="540" w:right="420" w:hanging="532"/>
        <w:spacing w:after="0" w:line="23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residential products are subject to various federal, state, and international laws, rules, and regulations that are designed to protect consumers and we are subject to the rules and regulations of the Consumer Product Safety Commission.</w:t>
      </w:r>
    </w:p>
    <w:p>
      <w:pPr>
        <w:spacing w:after="0" w:line="209" w:lineRule="exact"/>
        <w:rPr>
          <w:sz w:val="20"/>
          <w:szCs w:val="20"/>
          <w:color w:val="auto"/>
        </w:rPr>
      </w:pPr>
    </w:p>
    <w:p>
      <w:pPr>
        <w:ind w:right="20" w:firstLine="137"/>
        <w:spacing w:after="0" w:line="236" w:lineRule="auto"/>
        <w:rPr>
          <w:sz w:val="20"/>
          <w:szCs w:val="20"/>
          <w:color w:val="auto"/>
        </w:rPr>
      </w:pPr>
      <w:r>
        <w:rPr>
          <w:rFonts w:ascii="Arial" w:cs="Arial" w:eastAsia="Arial" w:hAnsi="Arial"/>
          <w:sz w:val="18"/>
          <w:szCs w:val="18"/>
          <w:color w:val="auto"/>
        </w:rPr>
        <w:t>Although we believe that we are in substantial compliance with currently applicable laws, rules, and regulations, we are unable to predict the ultimate impact of adopted or future laws, rules, and regulations on our business. Such laws, rules, or regulations may 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regulations could lead to fines and other penalties, including restrictions on the importation of our products into, or the sale of our products in, one or more jurisdictions until compliance is achieved.</w:t>
      </w:r>
    </w:p>
    <w:p>
      <w:pPr>
        <w:spacing w:after="0" w:line="210" w:lineRule="exact"/>
        <w:rPr>
          <w:sz w:val="20"/>
          <w:szCs w:val="20"/>
          <w:color w:val="auto"/>
        </w:rPr>
      </w:pPr>
    </w:p>
    <w:p>
      <w:pPr>
        <w:ind w:right="380" w:firstLine="146"/>
        <w:spacing w:after="0" w:line="239" w:lineRule="auto"/>
        <w:rPr>
          <w:sz w:val="20"/>
          <w:szCs w:val="20"/>
          <w:color w:val="auto"/>
        </w:rPr>
      </w:pPr>
      <w:r>
        <w:rPr>
          <w:rFonts w:ascii="Arial" w:cs="Arial" w:eastAsia="Arial" w:hAnsi="Arial"/>
          <w:sz w:val="18"/>
          <w:szCs w:val="18"/>
          <w:color w:val="auto"/>
        </w:rPr>
        <w:t>We are also involved in the evaluation and clean up of a limited number of properties currently and previously owned. We do not expect that these matters will have a material adverse effect on our consolidated financial position or results of operations.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In fiscal 2009, we established Red Iron Acceptance, LLC ("Red Iron"), as a joint venture with TCF Inventory Finance,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("TCFIF"), a subsidiary of TCF National Bank. The purpose of Red Iron is to provide inventory financing, including floor plan and open account receivable financing, to distributors and dealers of our products in the U.S. and to select distributors of our products in Canada. Under a separate arrangement, TCF Commercial Finance Canada, Inc.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209" w:lineRule="exact"/>
        <w:rPr>
          <w:sz w:val="20"/>
          <w:szCs w:val="20"/>
          <w:color w:val="auto"/>
        </w:rPr>
      </w:pPr>
    </w:p>
    <w:p>
      <w:pPr>
        <w:ind w:right="60" w:firstLine="143"/>
        <w:spacing w:after="0" w:line="281" w:lineRule="auto"/>
        <w:rPr>
          <w:sz w:val="20"/>
          <w:szCs w:val="20"/>
          <w:color w:val="auto"/>
        </w:rPr>
      </w:pPr>
      <w:r>
        <w:rPr>
          <w:rFonts w:ascii="Arial" w:cs="Arial" w:eastAsia="Arial" w:hAnsi="Arial"/>
          <w:sz w:val="16"/>
          <w:szCs w:val="16"/>
          <w:color w:val="auto"/>
        </w:rPr>
        <w:t>Toro continues to provide financing in the form of open account terms directly to home centers and mass retailers; general line irrigation dealers; international distributors and dealers, other than the Canadian distributors and dealers to whom Red Iron provides financing arrangements; government customers; and rental companies. Some independent international dealers continue to finance their products with third party sources.</w:t>
      </w:r>
    </w:p>
    <w:p>
      <w:pPr>
        <w:spacing w:after="0" w:line="158"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fields and grounds equipment customers in the U.S. The purpose of these agreements is to increase sales by giving buyers of our products alternative financing options when purchasing our products.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also have agreements with third party financing companies to provide financing programs under both generic and private label</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 w:name="page10"/>
    <w:bookmarkEnd w:id="9"/>
    <w:p>
      <w:pPr>
        <w:ind w:right="500"/>
        <w:spacing w:after="0" w:line="239" w:lineRule="auto"/>
        <w:rPr>
          <w:sz w:val="20"/>
          <w:szCs w:val="20"/>
          <w:color w:val="auto"/>
        </w:rPr>
      </w:pPr>
      <w:r>
        <w:rPr>
          <w:rFonts w:ascii="Arial" w:cs="Arial" w:eastAsia="Arial" w:hAnsi="Arial"/>
          <w:sz w:val="18"/>
          <w:szCs w:val="18"/>
          <w:color w:val="auto"/>
        </w:rPr>
        <w:t>programs in the U.S. and Canada. These programs, offered primarily to Toro and Exmark dealers, provide end-user customers revolving and installment lines of credit for Toro and Exmark products, parts, and services.</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Occasionally, we enter into long-term loan agreements with some distributors. These transactions are used for expansion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distributors' businesses, acquisitions, refinancing working capital agreements, or ownership transitions. As of October 31, 2011, we had outstanding notes receivable from two distribution companies in the aggregate amount of $2.4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fiscal 2011, we employed an average of 4,797 employees. The total number of employees as of October 31, 2011 was 4,618. We consider our employee relations to be good. Three collective bargaining agreements cover approximately 20 percent of these employees. These three agreements expire in October 2013, May 2014, and October 2014. From time to time, we also retain temporary and part-time workers, independent contractors, and consultants.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We are a U.S. public reporting company under the Securities Exchange Act of 1934, as amended ("Exchange Act"), and file reports, proxy statements, 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211"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We make available, free of charge on our web site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"Financials"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"anticipate," "continue," "plan," "estimate," "believe," "should," "could," "will," "would," "possible," "may," "likely," "intend,"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215" w:lineRule="exact"/>
        <w:rPr>
          <w:sz w:val="20"/>
          <w:szCs w:val="20"/>
          <w:color w:val="auto"/>
        </w:rPr>
      </w:pPr>
    </w:p>
    <w:p>
      <w:pPr>
        <w:ind w:firstLine="146"/>
        <w:spacing w:after="0" w:line="268" w:lineRule="auto"/>
        <w:rPr>
          <w:sz w:val="20"/>
          <w:szCs w:val="20"/>
          <w:color w:val="auto"/>
        </w:rPr>
      </w:pPr>
      <w:r>
        <w:rPr>
          <w:rFonts w:ascii="Arial" w:cs="Arial" w:eastAsia="Arial" w:hAnsi="Arial"/>
          <w:sz w:val="16"/>
          <w:szCs w:val="16"/>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below in Part I, Item 1A,"Risk Factors."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190" w:lineRule="exact"/>
        <w:rPr>
          <w:sz w:val="20"/>
          <w:szCs w:val="20"/>
          <w:color w:val="auto"/>
        </w:rPr>
      </w:pPr>
    </w:p>
    <w:p>
      <w:pPr>
        <w:ind w:right="500" w:firstLine="146"/>
        <w:spacing w:after="0" w:line="238"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ITEM 1A. RISK FACTORS</w:t>
      </w:r>
    </w:p>
    <w:p>
      <w:pPr>
        <w:spacing w:after="0" w:line="24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operating results, financial condition, or future financial performance.</w:t>
      </w:r>
    </w:p>
    <w:p>
      <w:pPr>
        <w:spacing w:after="0" w:line="18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If economic conditions and outlook in the United States and in the other countries in which we conduct business do not improve or if they worsen, our net sales and earnings could be adversely affected.</w:t>
      </w:r>
    </w:p>
    <w:p>
      <w:pPr>
        <w:spacing w:after="0" w:line="189"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Demand for our products depends upon economic conditions and outlook in the U.S. and in the other countries in which we conduct business, which include but are not limited to recessionary conditions; slow or negative economic growth rates; the impact of state debt and sovereign debt defaults by certain European countries; slow down or reductions in levels of golf course development, renovation, and improvement; golf course closures; continuation of reduced levels of home ownership, construction, and sales; home foreclosures; negative consumer confidence; reduced consumer spending levels; prolonged high unemployment rates; higher commodity and components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has had an adverse effect on our net sales and earnings. If economic conditions and outlook in the U.S., Europe, and in the other countries in which we conduct business do not improve, or if they worsen, our net sales and earnings could be adversely affected in the future.</w:t>
      </w:r>
    </w:p>
    <w:p>
      <w:pPr>
        <w:spacing w:after="0" w:line="37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Weather conditions may reduce demand for some of our products and adversely affect our net sales or otherwise adversely affect our operating results.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From time to time, weather conditions in a particular geographic region may adversely affect sales and field inventory levels of some of our products.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in key markets have had an adverse effect on sales of our snow thrower products. Similarly, adverse weather conditions in one season may adversely affect customer purchasing patterns and our net sales for some of our products in another season. For example, lower snow fall accumulations may result in lower winter season revenues for landscape contractor professionals, causing such customers to forego or postpone spring purchases of our mowing products. To the extent that unfavorable weather conditions are exacerbated by global climate change or otherwise, our sales and other operating results may be affected to a greater degree than we have previously experienced.</w:t>
      </w:r>
    </w:p>
    <w:p>
      <w:pPr>
        <w:spacing w:after="0" w:line="16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Increases in the cost, or disruption in the availability, of raw materials and components that we purchase and/or increases in our other costs of doing business, such as transportation costs, may adversely affect our profit margins and businesses.</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purchase raw materials such as steel, aluminum, fuel, petroleum-based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Historically, we have engaged in proactive vendor negotiations, used alternate sourcing options, substituted materials, engaged in internal cost reduction efforts, and introduced moderate price increases on some of our products to offset a portion of increased raw material, component, and other costs. However, we may not be able to fully offset such increased costs in the future. Further, if our price increases are not accepted by our customers and the market, our net sales, profit margins, earnings, and market share could be adversely affected. Increases in our other costs of doing business may also adversely affect our profit margins and business. For example, an increase in fuel costs may result in an increase in our transportation costs, which also could adversely affect our operating results and business. Although most of the raw materials and components used in our products are generally commercially available from a number of sources and in adequate supply, certain components are sourced from single suppliers. Any disruption in the availability of such raw materials and components from our suppliers, our inability to timely or otherwise obtain substitutes for such items, or any deterioration in our relationships with or the financial viability of our suppliers could adversely affect our business.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1" w:name="page12"/>
    <w:bookmarkEnd w:id="11"/>
    <w:p>
      <w:pPr>
        <w:ind w:right="80"/>
        <w:spacing w:after="0" w:line="241" w:lineRule="auto"/>
        <w:rPr>
          <w:sz w:val="20"/>
          <w:szCs w:val="20"/>
          <w:color w:val="auto"/>
        </w:rPr>
      </w:pPr>
      <w:r>
        <w:rPr>
          <w:rFonts w:ascii="Arial" w:cs="Arial" w:eastAsia="Arial" w:hAnsi="Arial"/>
          <w:sz w:val="18"/>
          <w:szCs w:val="18"/>
          <w:b w:val="1"/>
          <w:bCs w:val="1"/>
          <w:i w:val="1"/>
          <w:iCs w:val="1"/>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the availability of credit to professional segment customers on acceptable terms to finance new product purchases; and amount of government revenues, budget, and spending levels for grounds maintenance equipment.</w:t>
      </w:r>
    </w:p>
    <w:p>
      <w:pPr>
        <w:spacing w:after="0" w:line="21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Our professional segment products are sold by distributors or dealers, or directly to government customers, rental companies, and professional users engaged in maintaining and creating landscapes, such as golf courses, sports fields, residential and commercial landscapes, and governmental and municipal properties. Accordingly, our professional segment net sales are impacted by golf course revenues and the amount of investment in golf course renovations and improvements; the level of new golf course development and golf course closures; the level of homeowners' who outsource their lawn care; the level of residential and commercial construction; availability of cash or credit on acceptable terms to finance new product purchases; and the amount of government spending for new grounds maintenance equipment. Among other things, any one or a combination of the following factors could have an adverse effect on our professional segment net sales:</w:t>
      </w:r>
    </w:p>
    <w:p>
      <w:pPr>
        <w:spacing w:after="0" w:line="185" w:lineRule="exact"/>
        <w:rPr>
          <w:sz w:val="20"/>
          <w:szCs w:val="20"/>
          <w:color w:val="auto"/>
        </w:rPr>
      </w:pPr>
    </w:p>
    <w:p>
      <w:pPr>
        <w:ind w:left="540" w:right="140" w:hanging="532"/>
        <w:spacing w:after="0" w:line="266"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reduced levels of investment in golf course renovations and improvements and new golf course development; reduced number of golf rounds played at public and private golf courses resulting in reduced revenue for such golf courses; decreased membership at private golf courses resulting in reduced revenue and, in certain cases, financial difficulties for such golf courses; and increased number of golf course closures, any one of which or any combination of which could result in a decrease in spending and demand for our products;</w:t>
      </w:r>
    </w:p>
    <w:p>
      <w:pPr>
        <w:spacing w:after="0" w:line="8" w:lineRule="exact"/>
        <w:rPr>
          <w:rFonts w:ascii="Arial" w:cs="Arial" w:eastAsia="Arial" w:hAnsi="Arial"/>
          <w:sz w:val="16"/>
          <w:szCs w:val="16"/>
          <w:color w:val="auto"/>
        </w:rPr>
      </w:pPr>
    </w:p>
    <w:p>
      <w:pPr>
        <w:ind w:left="540" w:right="120" w:hanging="532"/>
        <w:spacing w:after="0" w:line="23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consumer and business spending, causing homeowners and landscape contractor professionals to forego or postpone purchases of our products;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 or reduced levels of commercial and residential construction, resulting in a decrease in demand for our products;</w:t>
      </w:r>
    </w:p>
    <w:p>
      <w:pPr>
        <w:ind w:left="540" w:right="400" w:hanging="532"/>
        <w:spacing w:after="0" w:line="23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tax revenue, increased governmental expenses in other areas, tighter government budgets and government deficits, generally resulting in reduced government spending for grounds maintenance equipment; and</w:t>
      </w:r>
    </w:p>
    <w:p>
      <w:pPr>
        <w:spacing w:after="0" w:line="6"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availability issues if we underestimate or overestimate demand, which could negatively impact our net sales and hinder our ability to meet customer demand.</w:t>
      </w:r>
    </w:p>
    <w:p>
      <w:pPr>
        <w:spacing w:after="0" w:line="209" w:lineRule="exact"/>
        <w:rPr>
          <w:sz w:val="20"/>
          <w:szCs w:val="20"/>
          <w:color w:val="auto"/>
        </w:rPr>
      </w:pPr>
    </w:p>
    <w:p>
      <w:pPr>
        <w:ind w:right="40" w:firstLine="137"/>
        <w:spacing w:after="0" w:line="239" w:lineRule="auto"/>
        <w:rPr>
          <w:sz w:val="20"/>
          <w:szCs w:val="20"/>
          <w:color w:val="auto"/>
        </w:rPr>
      </w:pPr>
      <w:r>
        <w:rPr>
          <w:rFonts w:ascii="Arial" w:cs="Arial" w:eastAsia="Arial" w:hAnsi="Arial"/>
          <w:sz w:val="18"/>
          <w:szCs w:val="18"/>
          <w:color w:val="auto"/>
        </w:rPr>
        <w:t>Additionally, lower sales of professional segment products that carry higher profit margins than our residential segment products could negatively impact our profit margins and net earnings.</w:t>
      </w:r>
    </w:p>
    <w:p>
      <w:pPr>
        <w:spacing w:after="0" w:line="189"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spacing w:after="0" w:line="20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elimination or reduction of shelf space assigned to our residential products by retailers could adversely affect our residential segment net sales. Our residential segment net sales are also dependent upon buying patterns of customers. For example, as consumers purchase products at home centers and mass retailers that offer broader and lower price points, this has resulted in increased demand and sales of our residential segment products purchased at retailers, such as The Home Depot, which accounted for approximately 11 to 14 percent of our total consolidated net sales in each of fiscal 2011, 2010, and 2009.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respond to future changes in buying patterns of customers or new distribution channels could have a material adverse impact on our business and operating results. Changing buying patterns of customers also could result in reduced sales of one or more of our residential segment products, resulting in increased inventory levels. Our residential lawn and garden products are generally manufactured throughout the year and our residential snow removal products are generally manufactured in the summer and fall months but may be extended into the winter months depending upon demand. However, our production levels and inventory management goals for all residential segment products are based on estimates of retail demand for our products, taking into account production capacity, timing of shipments, and field inventory levels. If we overestimate or underestimate demand during a given season, we may not maintain the appropriate inventory levels, which could negatively impact our net sales or working capital, and hinder our ability to meet customer demand.</w:t>
      </w:r>
    </w:p>
    <w:p>
      <w:pPr>
        <w:spacing w:after="0" w:line="37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0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currently manufacture our products in the United States, Mexico, Australia, the United Kingdom, and Italy for sale throughout the world and, in late fiscal 2011, we completed the construction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2" w:name="page13"/>
    <w:bookmarkEnd w:id="12"/>
    <w:p>
      <w:pPr>
        <w:ind w:right="20"/>
        <w:spacing w:after="0" w:line="235" w:lineRule="auto"/>
        <w:rPr>
          <w:sz w:val="20"/>
          <w:szCs w:val="20"/>
          <w:color w:val="auto"/>
        </w:rPr>
      </w:pPr>
      <w:r>
        <w:rPr>
          <w:rFonts w:ascii="Arial" w:cs="Arial" w:eastAsia="Arial" w:hAnsi="Arial"/>
          <w:sz w:val="18"/>
          <w:szCs w:val="18"/>
          <w:color w:val="auto"/>
        </w:rPr>
        <w:t>our new manufacturing facility in Romania. We maintain sales offices in the United States, Belgium, the United Kingdom, France, Australia, Singapore, Japan, China, Italy, Korea, and Germany. Our net sales outside the United States were 32.3 percent, 31.8 percent, and 32.0 percent of our total consolidated net sales for fiscal 2011, 2010, and 2009, respectively. International markets have, and will continue to be, a focus for us for revenue growth. We believe many opportunities exist in the international markets, and over time, we intend for international net sales to comprise a larger percentage of our total consolidated net sales. Several factors, including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sell our products, or otherwise have an international presence are, to some degree, subject to political, economic, and/or social instability, including drug cartel-related violence, which may disrupt our production activities and maquiladora operations based in Juarez, Mexico. Our international operations expose us and our representatives, agents, and distributors to risks inherent in operating in foreign jurisdictions. These risks include:</w:t>
      </w:r>
    </w:p>
    <w:p>
      <w:pPr>
        <w:spacing w:after="0" w:line="215"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9" w:lineRule="exact"/>
        <w:rPr>
          <w:rFonts w:ascii="Arial" w:cs="Arial" w:eastAsia="Arial" w:hAnsi="Arial"/>
          <w:sz w:val="18"/>
          <w:szCs w:val="18"/>
          <w:color w:val="auto"/>
        </w:rPr>
      </w:pPr>
    </w:p>
    <w:p>
      <w:pPr>
        <w:ind w:left="540" w:right="58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or enhanced trade restrictions and restrictions on the activities of foreign agents, representatives, and distributors; and the imposition of our increases in, costly and lengthy import and export licensing and other compliance requirements, customs duties and tariffs, import and export quotas and other trade restrictions, license obligations, and other non-tariff barriers to trade;</w:t>
      </w:r>
    </w:p>
    <w:p>
      <w:pPr>
        <w:spacing w:after="0" w:line="3" w:lineRule="exact"/>
        <w:rPr>
          <w:rFonts w:ascii="Arial" w:cs="Arial" w:eastAsia="Arial" w:hAnsi="Arial"/>
          <w:sz w:val="18"/>
          <w:szCs w:val="18"/>
          <w:color w:val="auto"/>
        </w:rPr>
      </w:pPr>
    </w:p>
    <w:p>
      <w:pPr>
        <w:ind w:left="540" w:right="340" w:hanging="532"/>
        <w:spacing w:after="0" w:line="23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continued business with the sanctioned country, company, person, or entity;</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pricing pressures;</w:t>
      </w:r>
    </w:p>
    <w:p>
      <w:pPr>
        <w:ind w:left="54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ind w:left="54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ind w:left="540" w:right="100" w:hanging="532"/>
        <w:spacing w:after="0" w:line="23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rules relating to environmental, health, and safety matters.</w:t>
      </w:r>
    </w:p>
    <w:p>
      <w:pPr>
        <w:spacing w:after="0" w:line="209" w:lineRule="exact"/>
        <w:rPr>
          <w:sz w:val="20"/>
          <w:szCs w:val="20"/>
          <w:color w:val="auto"/>
        </w:rPr>
      </w:pPr>
    </w:p>
    <w:p>
      <w:pPr>
        <w:ind w:right="200" w:firstLine="146"/>
        <w:spacing w:after="0" w:line="239" w:lineRule="auto"/>
        <w:rPr>
          <w:sz w:val="20"/>
          <w:szCs w:val="20"/>
          <w:color w:val="auto"/>
        </w:rPr>
      </w:pPr>
      <w:r>
        <w:rPr>
          <w:rFonts w:ascii="Arial" w:cs="Arial" w:eastAsia="Arial" w:hAnsi="Arial"/>
          <w:sz w:val="18"/>
          <w:szCs w:val="18"/>
          <w:color w:val="auto"/>
        </w:rPr>
        <w:t>Our international operations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209"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net sales and net earnings.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Because the functional currency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Because our products are manufactured or sourced primarily from the United States and Mexico, a stronger U.S. dollar and Mexican peso generally have a negative impact on our operating results, while a weaker dollar and peso generally have a positive effect. Our primary foreign currency exchange rate exposure is with the EU Euro, the Australian dollar, the Canadian dollar, the British pound, the Mexican peso, the Japanese yen, and the Chinese Yuan against the U.S. dollar. We also have exposure with the Romanian New Lei against the Euro and the U.S. dollar as a result of our new manufacturing facility in Romania. While we actively manage the exposure of our foreign currency market risk in the normal course of business by entering into various foreign exchange contracts, these instruments involve risks and may not effectively limit our underlying exposure from currency exchange rate fluctuations or minimize our net earnings and cash volatility associated with foreign currency exchange rate changes. Further, a number of financial institutions similar to those that serve as counterparties to our foreign exchange contracts have been adversely affected by the unprecedented distress in the worldwide credit markets. The failure of one or more counterparties to our foreign currency exchange rate contracts to fulfill their obligations to us could adversely affect our operating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ind w:right="20"/>
        <w:spacing w:after="0" w:line="248" w:lineRule="auto"/>
        <w:rPr>
          <w:sz w:val="20"/>
          <w:szCs w:val="20"/>
          <w:color w:val="auto"/>
        </w:rPr>
      </w:pPr>
      <w:r>
        <w:rPr>
          <w:rFonts w:ascii="Arial" w:cs="Arial" w:eastAsia="Arial" w:hAnsi="Arial"/>
          <w:sz w:val="18"/>
          <w:szCs w:val="18"/>
          <w:b w:val="1"/>
          <w:bCs w:val="1"/>
          <w:i w:val="1"/>
          <w:iCs w:val="1"/>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spacing w:after="0" w:line="20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business, properties, and products are subject to numerous federal, international, states, and other governmental laws, rules, and regulations relating to, among other things; climate change; emissions to air and discharges to water; product and associated packaging; import and export compliance, including country of origin certification requirements; worker and product user health and safety; energy efficiency; product life-cycles; and the generation, use, handling, labeling, collection, management, storage, transportation, treatment, and disposal of hazardous substances, wastes, and other regulated materials. Although we believe that we are in substantial compliance with currently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or regulations could lead to fines and other penalties, including restrictions on the importation of our products into, and the sale of our products in, one or more jurisdictions until compliance is achieved. In addition, our competitors may adopt strategies with respect to regulatory compliance that differ significantly from our strategies. This may have the effect of changing customer preferences and our markets in ways that we did not anticipate, which may adversely affect market demand for our products and, ultimately, our net sales and financial results.</w:t>
      </w:r>
    </w:p>
    <w:p>
      <w:pPr>
        <w:spacing w:after="0" w:line="215" w:lineRule="exact"/>
        <w:rPr>
          <w:sz w:val="20"/>
          <w:szCs w:val="20"/>
          <w:color w:val="auto"/>
        </w:rPr>
      </w:pPr>
    </w:p>
    <w:p>
      <w:pPr>
        <w:ind w:right="20" w:firstLine="143"/>
        <w:spacing w:after="0" w:line="266" w:lineRule="auto"/>
        <w:rPr>
          <w:sz w:val="20"/>
          <w:szCs w:val="20"/>
          <w:color w:val="auto"/>
        </w:rPr>
      </w:pPr>
      <w:r>
        <w:rPr>
          <w:rFonts w:ascii="Arial" w:cs="Arial" w:eastAsia="Arial" w:hAnsi="Arial"/>
          <w:sz w:val="16"/>
          <w:szCs w:val="16"/>
          <w:color w:val="auto"/>
        </w:rPr>
        <w:t>The EPA has adopted increasingly stringent engine emission regulations, including Tier 4 emission requirements, that beginning in 2012, are applicable to diesel engines in a specified horsepower range that are used in some of our products. Although we have developed plans to achieve substantial compliance with Tier 4 requirements, these plans are subject to many variables including, among others, the inability of our suppliers to provide compliant engines on a timely basis or our inability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Additionally, we have incurred and expect to continue to incur research, development, engineering, and other costs to design Tier 4 compliant products, which we currently expect will result in the implementation of price increases, some of which may be significant, on products subject to these regulations. The extent to which we are able to pass along to our customers these costs in the form of price increases may adversely affect market demand for our products and/or our profit margins, which may adversely affect our financial results. If our customers' buying patterns change to purchasing our products in advance of price increases on compliant products, we may experience abnormal fluctuation in sales and our financial results of any one period may not be representative of expected financial results in subsequent periods.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change customer preferences and buying patterns in ways that we do not currently anticipate, we may experience lower market demand for our products that may, ultimately, adversely affect our profit margins, net sales, and overall financial results.</w:t>
      </w:r>
    </w:p>
    <w:p>
      <w:pPr>
        <w:spacing w:after="0" w:line="400"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209" w:lineRule="exact"/>
        <w:rPr>
          <w:sz w:val="20"/>
          <w:szCs w:val="20"/>
          <w:color w:val="auto"/>
        </w:rPr>
      </w:pPr>
    </w:p>
    <w:p>
      <w:pPr>
        <w:ind w:right="20" w:firstLine="146"/>
        <w:spacing w:after="0" w:line="281" w:lineRule="auto"/>
        <w:rPr>
          <w:sz w:val="20"/>
          <w:szCs w:val="20"/>
          <w:color w:val="auto"/>
        </w:rPr>
      </w:pPr>
      <w:r>
        <w:rPr>
          <w:rFonts w:ascii="Arial" w:cs="Arial" w:eastAsia="Arial" w:hAnsi="Arial"/>
          <w:sz w:val="16"/>
          <w:szCs w:val="16"/>
          <w:color w:val="auto"/>
        </w:rPr>
        <w:t>In addition, governmental restrictions placed on water usage as well as water availability may adversely affect demand for our irrigation products. Changes in laws and regulations, including changes in accounting standards, taxation changes, including tax rate changes, new tax laws, revised tax law interpretations, and reenactment or extension of the domestic research tax credit, also may adversely affect our operating results.</w:t>
      </w:r>
    </w:p>
    <w:p>
      <w:pPr>
        <w:spacing w:after="0" w:line="15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If we are unable to continue to enhance existing products and develop and market new products that respond to customer needs and preferences and achieve market acceptance, we may experience a decrease in demand for our products, and our net sales, which have historically benefited from sales of new products, may be adversely affected.</w:t>
      </w:r>
    </w:p>
    <w:p>
      <w:pPr>
        <w:spacing w:after="0" w:line="20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One of our growth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4" w:name="page15"/>
    <w:bookmarkEnd w:id="14"/>
    <w:p>
      <w:pPr>
        <w:ind w:right="20"/>
        <w:spacing w:after="0" w:line="268" w:lineRule="auto"/>
        <w:rPr>
          <w:sz w:val="20"/>
          <w:szCs w:val="20"/>
          <w:color w:val="auto"/>
        </w:rPr>
      </w:pPr>
      <w:r>
        <w:rPr>
          <w:rFonts w:ascii="Arial" w:cs="Arial" w:eastAsia="Arial" w:hAnsi="Arial"/>
          <w:sz w:val="16"/>
          <w:szCs w:val="16"/>
          <w:color w:val="auto"/>
        </w:rPr>
        <w:t>represent a significant component of our future net sales. We may not be able to compete as effectively with our competitors, and ultimately satisfy the needs and preferences of our customers, unless we can continue to enhance existing products and develop new innovative products in the markets in which we compete. Product development requires significant financial, technological, and other resources. Although we have implemented Lean manufacturing and other productivity improvement initiatives to provide investment funding for product enhancements and new products, we cannot be certain that we will be able to continue to do so in the future.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370"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b w:val="1"/>
          <w:bCs w:val="1"/>
          <w:i w:val="1"/>
          <w:iCs w:val="1"/>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or allege that we infringe their patents, or they may use their resources to design comparable products that do not infringe our patents. We may incur substantial costs if our competitors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215" w:lineRule="exact"/>
        <w:rPr>
          <w:sz w:val="20"/>
          <w:szCs w:val="20"/>
          <w:color w:val="auto"/>
        </w:rPr>
      </w:pPr>
    </w:p>
    <w:p>
      <w:pPr>
        <w:ind w:right="240" w:firstLine="146"/>
        <w:spacing w:after="0" w:line="281" w:lineRule="auto"/>
        <w:rPr>
          <w:sz w:val="20"/>
          <w:szCs w:val="20"/>
          <w:color w:val="auto"/>
        </w:rPr>
      </w:pPr>
      <w:r>
        <w:rPr>
          <w:rFonts w:ascii="Arial" w:cs="Arial" w:eastAsia="Arial" w:hAnsi="Arial"/>
          <w:sz w:val="16"/>
          <w:szCs w:val="16"/>
          <w:color w:val="auto"/>
        </w:rPr>
        <w:t>We also rely on trade secrets and proprietary know-how that we seek to protect, in part, by confidentiality agreements with our employees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We manufacture our products at and distribute our products from several locations in the United States and internationally. Any disruption at any of these facilities or in our inability to cost-effectively expand existing, open and manage new, and/or move production between manufacturing facilities could adversely affect our business and operating results.</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currently manufacture most of our products at seven locations in the United States, two locations in Mexico, and one location in each of Australia, Italy, the United Kingdom, and Romania. We also have several locations that serve as distribution centers, warehouses, test facilities, and corporate offices. In addition, we have agreements to manufacture products at several third-party manufacturers. These facilities may be affected by natural or man-made disasters and other external events, including drug cartel-related violence that may disrupt our production activities and maquiladora operations based in Juarez, Mexico. In the event that one of our manufacturing facilities was affected by a disaster or other event, we could be forced to shift production to one of our other manufacturing facilities.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three facilities operating under a collective bargaining agreement or the failure to renew or enter into new collective bargaining agreements, could impair our ability to meet the demands of our customers, and our customers may cancel orders or purchase products from our competitors, which could adversely affect our business and operating results.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 w:name="page16"/>
    <w:bookmarkEnd w:id="15"/>
    <w:p>
      <w:pPr>
        <w:ind w:right="240" w:firstLine="146"/>
        <w:spacing w:after="0" w:line="236" w:lineRule="auto"/>
        <w:rPr>
          <w:sz w:val="20"/>
          <w:szCs w:val="20"/>
          <w:color w:val="auto"/>
        </w:rPr>
      </w:pPr>
      <w:r>
        <w:rPr>
          <w:rFonts w:ascii="Arial" w:cs="Arial" w:eastAsia="Arial" w:hAnsi="Arial"/>
          <w:sz w:val="18"/>
          <w:szCs w:val="18"/>
          <w:color w:val="auto"/>
        </w:rPr>
        <w:t>Our operating results may also be adversely affected if we are unable to cost-effectively open and manage new manufacturing and distribution facilities, and move production between such facilities as needed from time to time. In late fiscal 2011, we completed the construction of a new manufacturing facility in Romania for micro-irrigation products. If the facility does not produce the anticipated manufacturing and operational efficiencies, or if the micro-irrigation products produced at this facility are not accepted into new geographic markets at expected levels, we may not recover the costs of the new facility and our operating results may be adversely affected.</w:t>
      </w:r>
    </w:p>
    <w:p>
      <w:pPr>
        <w:spacing w:after="0" w:line="191"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b w:val="1"/>
          <w:bCs w:val="1"/>
          <w:i w:val="1"/>
          <w:iCs w:val="1"/>
          <w:color w:val="auto"/>
        </w:rPr>
        <w:t>We intend to grow our business through acquisitions and alliances, stronger customer relations, and new joint ventures and partnerships, which could be risky and may harm our business.</w:t>
      </w:r>
    </w:p>
    <w:p>
      <w:pPr>
        <w:spacing w:after="0" w:line="1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One of our growth strategies is to drive growth in our businesses and accelerate opportunities to expand our global presence through targeted acquisitions and alliances, stronger customer relations, and new joint ventures and partnerships that add value while considering our existing brands and product portfolio.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In addition, acquisitions, alliances, joint ventures, and partnerships may involve a number of risks, including:</w:t>
      </w:r>
    </w:p>
    <w:p>
      <w:pPr>
        <w:spacing w:after="0" w:line="21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9" w:lineRule="exact"/>
        <w:rPr>
          <w:rFonts w:ascii="Arial" w:cs="Arial" w:eastAsia="Arial" w:hAnsi="Arial"/>
          <w:sz w:val="18"/>
          <w:szCs w:val="18"/>
          <w:color w:val="auto"/>
        </w:rPr>
      </w:pPr>
    </w:p>
    <w:p>
      <w:pPr>
        <w:ind w:left="540" w:right="42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integrating and assimilating the operations and products of an acquired business or in realizing projected efficiencies, cost savings, and synergies;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ind w:left="540" w:right="20" w:hanging="532"/>
        <w:spacing w:after="0" w:line="23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ind w:left="540" w:right="6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 acquisition purchase prices, which could in turn restrict our ability to access additional capital when needed or to pursue other important elements of our business strategy;</w:t>
      </w:r>
    </w:p>
    <w:p>
      <w:pPr>
        <w:spacing w:after="0" w:line="2" w:lineRule="exact"/>
        <w:rPr>
          <w:rFonts w:ascii="Arial" w:cs="Arial" w:eastAsia="Arial" w:hAnsi="Arial"/>
          <w:sz w:val="18"/>
          <w:szCs w:val="18"/>
          <w:color w:val="auto"/>
        </w:rPr>
      </w:pPr>
    </w:p>
    <w:p>
      <w:pPr>
        <w:ind w:left="540" w:right="420" w:hanging="532"/>
        <w:spacing w:after="0" w:line="23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investments, undisclosed, contingent or other liabilities or problems, unanticipated costs associated with an acquisition, and an inability to recover or manage such liabilities and costs; and</w:t>
      </w:r>
    </w:p>
    <w:p>
      <w:pPr>
        <w:spacing w:after="0" w:line="6" w:lineRule="exact"/>
        <w:rPr>
          <w:rFonts w:ascii="Arial" w:cs="Arial" w:eastAsia="Arial" w:hAnsi="Arial"/>
          <w:sz w:val="18"/>
          <w:szCs w:val="18"/>
          <w:color w:val="auto"/>
        </w:rPr>
      </w:pPr>
    </w:p>
    <w:p>
      <w:pPr>
        <w:ind w:left="540" w:right="440" w:hanging="532"/>
        <w:spacing w:after="0" w:line="23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pacing w:after="0" w:line="209" w:lineRule="exact"/>
        <w:rPr>
          <w:sz w:val="20"/>
          <w:szCs w:val="20"/>
          <w:color w:val="auto"/>
        </w:rPr>
      </w:pPr>
    </w:p>
    <w:p>
      <w:pPr>
        <w:ind w:firstLine="146"/>
        <w:spacing w:after="0" w:line="271" w:lineRule="auto"/>
        <w:rPr>
          <w:sz w:val="20"/>
          <w:szCs w:val="20"/>
          <w:color w:val="auto"/>
        </w:rPr>
      </w:pPr>
      <w:r>
        <w:rPr>
          <w:rFonts w:ascii="Arial" w:cs="Arial" w:eastAsia="Arial" w:hAnsi="Arial"/>
          <w:sz w:val="16"/>
          <w:szCs w:val="16"/>
          <w:color w:val="auto"/>
        </w:rPr>
        <w:t>Our ability to grow through acquisitions will depend, in part, on the availability of suitable candidates at acceptable prices, terms, and conditions, our ability to compete effectively for these acquisition candidates, and the availability of capital and personnel to complete such acquisitions and run the acquired business effectively. These risks could be heightened if we complete a large acquisition or multiple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 and any large acquisition could, among other things, impair our financial condition.</w:t>
      </w:r>
    </w:p>
    <w:p>
      <w:pPr>
        <w:spacing w:after="0" w:line="165"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b w:val="1"/>
          <w:bCs w:val="1"/>
          <w:i w:val="1"/>
          <w:iCs w:val="1"/>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efficient operation of our business is dependent on our management information systems. We rely on our management information systems to, among other things, effectively manage our accounting and financial functions, including maintaining our internal controls; to manage our manufacturing and supply chain processes; and to maintain our research and development data. The failure of our management information systems to perform properly could disrupt our business and product development, which may result in decreased sales, increased overhead costs, excess or obsolete inventory, and product shortages, causing our business and operating results to suffer. Although we take steps to secure our management information systems, including our computer systems, intranet and internet sites, email and other telecommunications and data networks,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power loss, or other disruptive events. Our reputation, brand, and financial condition could be adversely affected if, as a result of a significant cyber event or otherwise, our operations are disrupted or shutdown; our confidential, proprietary information is stolen or disclosed;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line="248" w:lineRule="auto"/>
        <w:rPr>
          <w:sz w:val="20"/>
          <w:szCs w:val="20"/>
          <w:color w:val="auto"/>
        </w:rPr>
      </w:pPr>
      <w:r>
        <w:rPr>
          <w:rFonts w:ascii="Arial" w:cs="Arial" w:eastAsia="Arial" w:hAnsi="Arial"/>
          <w:sz w:val="18"/>
          <w:szCs w:val="18"/>
          <w:b w:val="1"/>
          <w:bCs w:val="1"/>
          <w:i w:val="1"/>
          <w:iCs w:val="1"/>
          <w:color w:val="auto"/>
        </w:rPr>
        <w:t>We face intense competition in all of our product lines with numerous manufacturers, including some that have larger operations and financial resources than us. We may not be able to compete effectively against competitors' actions, which could harm our business and operating results.</w:t>
      </w:r>
    </w:p>
    <w:p>
      <w:pPr>
        <w:spacing w:after="0" w:line="20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Our products are sold in highly competitive markets throughout the world. Principal competitive factors in our markets include product innovation, quality and reliability, pricing, product support and customer service, warranty, brand awareness, reputation, distribution, product placement and shelf space, and financing options. We compete in all of our product lines with numerous manufacturers, some that have substantially larger operations and financial resources than us. As a result, they may be able to adapt more quickly to new or emerging technologies and changes in customer preferences, or devote greater resources to the development, promotion, and sale of their products than we can. In addition, competition could increase if new companies enter the market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where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could harm our business and operating results.</w:t>
      </w:r>
    </w:p>
    <w:p>
      <w:pPr>
        <w:spacing w:after="0" w:line="37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We are subject to product liability claims, product quality issues, and other litigation from time to time that could adversely affect our operating results or financial condition.</w:t>
      </w:r>
    </w:p>
    <w:p>
      <w:pPr>
        <w:spacing w:after="0" w:line="18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manufacture, sale, and usage of our products expose us to significant risks associated with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or adversely affect our brand image or reputation. Any losses that we may suffer from any liability claims, and the effect that any product liability litigation may have upon the reputation and marketability of our products,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rework costs, and higher warranty expense.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are also subject to other litigation from time to time that could adversely affect our operating results or financial condition.</w:t>
      </w:r>
    </w:p>
    <w:p>
      <w:pPr>
        <w:spacing w:after="0" w:line="19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If we are unable to retain our key employees, and attract and retain other qualified personnel, we may not be able to meet strategic objectives and our business could suffer.</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 retaining qualified personnel. The loss or interruption of services of any of our key personnel, the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76"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In 2009, we established a financing joint venture with TCFIF for the purpose of providing reliable, competitive financing to our distributors and dealers in the U.S. and to select distributors of our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7" w:name="page18"/>
    <w:bookmarkEnd w:id="17"/>
    <w:p>
      <w:pPr>
        <w:jc w:val="both"/>
        <w:ind w:right="640"/>
        <w:spacing w:after="0" w:line="281" w:lineRule="auto"/>
        <w:rPr>
          <w:sz w:val="20"/>
          <w:szCs w:val="20"/>
          <w:color w:val="auto"/>
        </w:rPr>
      </w:pPr>
      <w:r>
        <w:rPr>
          <w:rFonts w:ascii="Arial" w:cs="Arial" w:eastAsia="Arial" w:hAnsi="Arial"/>
          <w:sz w:val="16"/>
          <w:szCs w:val="16"/>
          <w:color w:val="auto"/>
        </w:rPr>
        <w:t>products in Canada to support their businesses and increase our net sales, as well as to free up our working capital for our other strategic purposes. As a result, we are dependent upon the joint venture for our inventory financing programs, including floor plan and open account receivable financing. Additionally, we are dependent upon TCFCFC to provide inventory financing to dealers of our products in Canada.</w:t>
      </w:r>
    </w:p>
    <w:p>
      <w:pPr>
        <w:spacing w:after="0" w:line="178" w:lineRule="exact"/>
        <w:rPr>
          <w:sz w:val="20"/>
          <w:szCs w:val="20"/>
          <w:color w:val="auto"/>
        </w:rPr>
      </w:pPr>
    </w:p>
    <w:p>
      <w:pPr>
        <w:ind w:right="60" w:firstLine="143"/>
        <w:spacing w:after="0" w:line="236" w:lineRule="auto"/>
        <w:rPr>
          <w:sz w:val="20"/>
          <w:szCs w:val="20"/>
          <w:color w:val="auto"/>
        </w:rPr>
      </w:pPr>
      <w:r>
        <w:rPr>
          <w:rFonts w:ascii="Arial" w:cs="Arial" w:eastAsia="Arial" w:hAnsi="Arial"/>
          <w:sz w:val="18"/>
          <w:szCs w:val="18"/>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material change in the availability or terms of credit offered to our customers by the joint venture, any termination or disruption of our joint venture relationship or any delay in securing replacement credit sources could adversely affect our sales and operating results.</w:t>
      </w:r>
    </w:p>
    <w:p>
      <w:pPr>
        <w:spacing w:after="0" w:line="19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20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earnings ratios. Our credit arrangements and/or indentures also contain provisions that restrict our ability, subject to specified exceptions, to, among other things:</w:t>
      </w:r>
    </w:p>
    <w:p>
      <w:pPr>
        <w:spacing w:after="0" w:line="209"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loans and investments, including acquisitions and transactions with affiliates;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ind w:left="54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disposition of assets;</w:t>
      </w: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9"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209" w:lineRule="exact"/>
        <w:rPr>
          <w:sz w:val="20"/>
          <w:szCs w:val="20"/>
          <w:color w:val="auto"/>
        </w:rPr>
      </w:pPr>
    </w:p>
    <w:p>
      <w:pPr>
        <w:ind w:right="120" w:firstLine="143"/>
        <w:spacing w:after="0" w:line="236"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211" w:lineRule="exact"/>
        <w:rPr>
          <w:sz w:val="20"/>
          <w:szCs w:val="20"/>
          <w:color w:val="auto"/>
        </w:rPr>
      </w:pPr>
    </w:p>
    <w:p>
      <w:pPr>
        <w:ind w:firstLine="143"/>
        <w:spacing w:after="0" w:line="237" w:lineRule="auto"/>
        <w:rPr>
          <w:sz w:val="20"/>
          <w:szCs w:val="20"/>
          <w:color w:val="auto"/>
        </w:rPr>
      </w:pPr>
      <w:r>
        <w:rPr>
          <w:rFonts w:ascii="Arial" w:cs="Arial" w:eastAsia="Arial" w:hAnsi="Arial"/>
          <w:sz w:val="18"/>
          <w:szCs w:val="18"/>
          <w:color w:val="auto"/>
        </w:rPr>
        <w:t>The overall availability of credit continues to be limited. Although in fiscal 2011 we negotiated a new $150 million revolving credit facility that does not expire until July 2015, market deterioration or other factors could jeopardize the counterparty obligations of one or more of the banks participating in our facility, which could have an adverse effect on our business if we are not able to replace such credit facility or find other sources of liquidity on acceptable terms.</w:t>
      </w:r>
    </w:p>
    <w:p>
      <w:pPr>
        <w:spacing w:after="0" w:line="18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If we are unable to comply with the terms of our credit arrangements and indentures, especially the financial covenants, our credit arrangements could be terminated and our senior notes and debentures could become due and payable.</w:t>
      </w:r>
    </w:p>
    <w:p>
      <w:pPr>
        <w:spacing w:after="0" w:line="18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and 7.800% debentures could become due and payable if we were unable to obtain a covenant waiver or refinance our medium-term debt under our credit arrangements. If our credit rating falls below investment grade and/or our average debt to earnings before interest, tax, depreciation, and amortization ("EBITDA") ratio rises above 2.00, the interest rate we currently pay on outstanding debt under our credit arrangements would increase, which could adversely affect our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enactments could impact the competitive landscape within our markets and affect demand for our products.</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or irrigation equipment or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line="236" w:lineRule="auto"/>
        <w:rPr>
          <w:sz w:val="20"/>
          <w:szCs w:val="20"/>
          <w:color w:val="auto"/>
        </w:rPr>
      </w:pPr>
      <w:r>
        <w:rPr>
          <w:rFonts w:ascii="Arial" w:cs="Arial" w:eastAsia="Arial" w:hAnsi="Arial"/>
          <w:sz w:val="18"/>
          <w:szCs w:val="18"/>
          <w:color w:val="auto"/>
        </w:rPr>
        <w:t>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business is subject to a number of other miscellaneous risks that may adversely affect our operating results, financial condition, or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12" w:lineRule="exact"/>
        <w:rPr>
          <w:sz w:val="20"/>
          <w:szCs w:val="20"/>
          <w:color w:val="auto"/>
        </w:rPr>
      </w:pPr>
    </w:p>
    <w:p>
      <w:pPr>
        <w:ind w:left="540" w:right="24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the revenue growth, operating earnings, and employee engagement goals of our new, multi-year employee initiative called "Destination 2014";</w:t>
      </w:r>
    </w:p>
    <w:p>
      <w:pPr>
        <w:spacing w:after="0" w:line="6" w:lineRule="exact"/>
        <w:rPr>
          <w:rFonts w:ascii="Arial" w:cs="Arial" w:eastAsia="Arial" w:hAnsi="Arial"/>
          <w:sz w:val="18"/>
          <w:szCs w:val="18"/>
          <w:color w:val="auto"/>
        </w:rPr>
      </w:pPr>
    </w:p>
    <w:p>
      <w:pPr>
        <w:ind w:left="540" w:right="540" w:hanging="532"/>
        <w:spacing w:after="0" w:line="23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or man-made disasters or global pandemics, which may result in shortages of raw materials and components, higher fuel and commodity costs, and increase in insurance premiums;</w:t>
      </w:r>
    </w:p>
    <w:p>
      <w:pPr>
        <w:spacing w:after="0" w:line="1" w:lineRule="exact"/>
        <w:rPr>
          <w:rFonts w:ascii="Arial" w:cs="Arial" w:eastAsia="Arial" w:hAnsi="Arial"/>
          <w:sz w:val="18"/>
          <w:szCs w:val="18"/>
          <w:color w:val="auto"/>
        </w:rPr>
      </w:pPr>
    </w:p>
    <w:p>
      <w:pPr>
        <w:ind w:left="540" w:right="80" w:hanging="532"/>
        <w:spacing w:after="0" w:line="264"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viability of distributors and dealers, changes in distributor ownership, changes in channel distribution of our products, relationships with our distribution channel partners, our success in partnering with new dealers, and our customers' ability to pay amounts owed to us;</w:t>
      </w: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retail sales or financial difficulties of our distributors or dealers, which could cause us to repurchase financed product; and</w:t>
      </w:r>
    </w:p>
    <w:p>
      <w:pPr>
        <w:spacing w:after="0" w:line="9" w:lineRule="exact"/>
        <w:rPr>
          <w:rFonts w:ascii="Arial" w:cs="Arial" w:eastAsia="Arial" w:hAnsi="Arial"/>
          <w:sz w:val="18"/>
          <w:szCs w:val="18"/>
          <w:color w:val="auto"/>
        </w:rPr>
      </w:pPr>
    </w:p>
    <w:p>
      <w:pPr>
        <w:ind w:left="540" w:right="50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reduced leisure travel, and contraction of the U.S. and worldwide economies.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ITEM 2.  PROPERTIES</w:t>
      </w:r>
    </w:p>
    <w:p>
      <w:pPr>
        <w:spacing w:after="0" w:line="2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October 31, 2011, we utilized manufacturing, distribution, warehouse, and office facilities totaling approximately 5.5 million square feet of space worldwide. We also had approximately 72 acres of excess land in Wisconsin adjacent to a distribution center, 36 acres of land in Minnesota utilized as a testing and storage facility, 15 acres of land in Minnesota held for future expansion, and 21 acres of land in California used as a testing site. Plant utilization varies during the year depending on the production cycle. We consider each of our current facilities in use to be in good operating condition. Management believes we have sufficient manufacturing capacity for fiscal 2012. Our significant facilities are listed below by location, ownership, and function as of October 31,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6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rPr>
              <w:t>Ownership</w:t>
            </w:r>
          </w:p>
        </w:tc>
        <w:tc>
          <w:tcPr>
            <w:tcW w:w="61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Products Manufactured / Use</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Bloomington,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Corporate headquarters, warehouse, and test facility</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Paso, TX</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Plymouth,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Juarez, Mexico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Tomah,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Windom,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products, and warehouse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Beatrice, NE</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test facility,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Riverside,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test facility,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Lakeville, MN</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Hertfordshire, United Kingdom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Ploiesti, Romania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Shakopee,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Braeside,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and service area</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Cajon,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Brooklyn Center, MN</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St. Louis, MO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Sanford, FL</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Fiano Romano,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Beverley,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Capena,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Oevel, Belgium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Kent, WA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78"/>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Abilene, TX</w:t>
            </w:r>
          </w:p>
        </w:tc>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Office, professional products, and service center</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215" w:lineRule="exact"/>
        <w:rPr>
          <w:sz w:val="20"/>
          <w:szCs w:val="20"/>
          <w:color w:val="auto"/>
        </w:rPr>
      </w:pPr>
    </w:p>
    <w:p>
      <w:pPr>
        <w:ind w:right="140" w:firstLine="146"/>
        <w:spacing w:after="0" w:line="238" w:lineRule="auto"/>
        <w:rPr>
          <w:sz w:val="20"/>
          <w:szCs w:val="20"/>
          <w:color w:val="auto"/>
        </w:rPr>
      </w:pPr>
      <w:r>
        <w:rPr>
          <w:rFonts w:ascii="Arial" w:cs="Arial" w:eastAsia="Arial" w:hAnsi="Arial"/>
          <w:sz w:val="18"/>
          <w:szCs w:val="18"/>
          <w:color w:val="auto"/>
        </w:rPr>
        <w:t>For a description of our material legal proceedings, see Note 13 of the Notes to Consolidated Financial Statements under the heading "Commitments and Contingent Liabilities — Litigation" included in Item 8, Financial Statements and Supplementary Data of this Annual Report on Form 10-K, which is incorporated into this Item 3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(REMOVED AND RESERVED)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list below identifies those persons designated by our Board of Directors as executive officers of the company. The list sets forth each such person's age and position with the company as of December 14, 2011, as well as positions held by them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Name, Age,</w:t>
            </w:r>
          </w:p>
        </w:tc>
        <w:tc>
          <w:tcPr>
            <w:tcW w:w="10480" w:type="dxa"/>
            <w:vAlign w:val="bottom"/>
            <w:tcBorders>
              <w:top w:val="single" w:sz="8" w:color="auto"/>
            </w:tcBorders>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b w:val="1"/>
                <w:bCs w:val="1"/>
                <w:color w:val="auto"/>
              </w:rPr>
              <w:t>and</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b w:val="1"/>
                <w:bCs w:val="1"/>
                <w:color w:val="auto"/>
              </w:rPr>
              <w:t>with the</w:t>
            </w:r>
          </w:p>
        </w:tc>
        <w:tc>
          <w:tcPr>
            <w:tcW w:w="10480" w:type="dxa"/>
            <w:vAlign w:val="bottom"/>
          </w:tcPr>
          <w:p>
            <w:pPr>
              <w:spacing w:after="0"/>
              <w:rPr>
                <w:sz w:val="14"/>
                <w:szCs w:val="14"/>
                <w:color w:val="auto"/>
              </w:rPr>
            </w:pPr>
          </w:p>
        </w:tc>
      </w:tr>
      <w:tr>
        <w:trPr>
          <w:trHeight w:val="196"/>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0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Michael J.</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Chairman of the Board since March 2006, Chief Executive Officer since March 2005 and President since October 2004.</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Hoffman</w:t>
            </w:r>
          </w:p>
        </w:tc>
        <w:tc>
          <w:tcPr>
            <w:tcW w:w="10480" w:type="dxa"/>
            <w:vAlign w:val="bottom"/>
          </w:tcPr>
          <w:p>
            <w:pPr>
              <w:spacing w:after="0"/>
              <w:rPr>
                <w:sz w:val="15"/>
                <w:szCs w:val="15"/>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56,</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Chairman of</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the Board,</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and</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Chief</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Executive</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Officer</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Judy L.</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Operations since October 2009. In October 2011, she also assumed responsibility for quality management. From January 2009 to October 2009,</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Altmaier</w:t>
            </w:r>
          </w:p>
        </w:tc>
        <w:tc>
          <w:tcPr>
            <w:tcW w:w="10480" w:type="dxa"/>
            <w:vAlign w:val="bottom"/>
          </w:tcPr>
          <w:p>
            <w:pPr>
              <w:ind w:left="80"/>
              <w:spacing w:after="0"/>
              <w:rPr>
                <w:sz w:val="20"/>
                <w:szCs w:val="20"/>
                <w:color w:val="auto"/>
              </w:rPr>
            </w:pPr>
            <w:r>
              <w:rPr>
                <w:rFonts w:ascii="Arial" w:cs="Arial" w:eastAsia="Arial" w:hAnsi="Arial"/>
                <w:sz w:val="14"/>
                <w:szCs w:val="14"/>
                <w:color w:val="auto"/>
              </w:rPr>
              <w:t>she served as Vice President/General Manager of Operations, Auto Group Americas for Eaton Corporation, a diversified industrial manufacturer. From July 2007 to</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50, Vice</w:t>
            </w:r>
          </w:p>
        </w:tc>
        <w:tc>
          <w:tcPr>
            <w:tcW w:w="10480" w:type="dxa"/>
            <w:vAlign w:val="bottom"/>
          </w:tcPr>
          <w:p>
            <w:pPr>
              <w:ind w:left="80"/>
              <w:spacing w:after="0"/>
              <w:rPr>
                <w:sz w:val="20"/>
                <w:szCs w:val="20"/>
                <w:color w:val="auto"/>
              </w:rPr>
            </w:pPr>
            <w:r>
              <w:rPr>
                <w:rFonts w:ascii="Arial" w:cs="Arial" w:eastAsia="Arial" w:hAnsi="Arial"/>
                <w:sz w:val="14"/>
                <w:szCs w:val="14"/>
                <w:color w:val="auto"/>
              </w:rPr>
              <w:t>January 2009, she served as Vice President/General Manager of Global Engine Valve Division in Turin, Italy for Eaton Corporation. From October 2003 to July</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ind w:left="80"/>
              <w:spacing w:after="0"/>
              <w:rPr>
                <w:sz w:val="20"/>
                <w:szCs w:val="20"/>
                <w:color w:val="auto"/>
              </w:rPr>
            </w:pPr>
            <w:r>
              <w:rPr>
                <w:rFonts w:ascii="Arial" w:cs="Arial" w:eastAsia="Arial" w:hAnsi="Arial"/>
                <w:sz w:val="14"/>
                <w:szCs w:val="14"/>
                <w:color w:val="auto"/>
              </w:rPr>
              <w:t>2007, she served as Manufacturing Operations Manager for the Engine Air Management Operations for Eaton Corporation.</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Operations</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and</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Quality</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Management</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William E.</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International Business since August 2010. From February 2009 to July 2010, he served as Vice President, Residential and Landscape Contractor</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Brown, Jr.</w:t>
            </w:r>
          </w:p>
        </w:tc>
        <w:tc>
          <w:tcPr>
            <w:tcW w:w="10480" w:type="dxa"/>
            <w:vAlign w:val="bottom"/>
          </w:tcPr>
          <w:p>
            <w:pPr>
              <w:ind w:left="80"/>
              <w:spacing w:after="0"/>
              <w:rPr>
                <w:sz w:val="20"/>
                <w:szCs w:val="20"/>
                <w:color w:val="auto"/>
              </w:rPr>
            </w:pPr>
            <w:r>
              <w:rPr>
                <w:rFonts w:ascii="Arial" w:cs="Arial" w:eastAsia="Arial" w:hAnsi="Arial"/>
                <w:sz w:val="14"/>
                <w:szCs w:val="14"/>
                <w:color w:val="auto"/>
              </w:rPr>
              <w:t>Businesses. From November 2006 to February 2009, he served as Vice President, Consumer and Landscape Contractor Business — Toro.</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50, Vice</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International</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Philip A.</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Irrigation Business since September 2010, which includes responsibility for our Western-based distributor. From November 2006 to September</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Burkart</w:t>
            </w:r>
          </w:p>
        </w:tc>
        <w:tc>
          <w:tcPr>
            <w:tcW w:w="10480" w:type="dxa"/>
            <w:vAlign w:val="bottom"/>
          </w:tcPr>
          <w:p>
            <w:pPr>
              <w:ind w:left="80"/>
              <w:spacing w:after="0"/>
              <w:rPr>
                <w:sz w:val="20"/>
                <w:szCs w:val="20"/>
                <w:color w:val="auto"/>
              </w:rPr>
            </w:pPr>
            <w:r>
              <w:rPr>
                <w:rFonts w:ascii="Arial" w:cs="Arial" w:eastAsia="Arial" w:hAnsi="Arial"/>
                <w:sz w:val="14"/>
                <w:szCs w:val="14"/>
                <w:color w:val="auto"/>
              </w:rPr>
              <w:t>2010, he served as Vice President, Irrigation Businesses.</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49, Vice</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Irrigation</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Timothy P.</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Secretary and General Counsel since May 2007. From November 2006 to May 2007, he served as Vice President, Deputy General Counsel.</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Dordell</w:t>
            </w:r>
          </w:p>
        </w:tc>
        <w:tc>
          <w:tcPr>
            <w:tcW w:w="10480" w:type="dxa"/>
            <w:vAlign w:val="bottom"/>
          </w:tcPr>
          <w:p>
            <w:pPr>
              <w:spacing w:after="0"/>
              <w:rPr>
                <w:sz w:val="15"/>
                <w:szCs w:val="15"/>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49, Vice</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Secretary</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and</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General</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Counsel</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Michael D.</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Contractor Business and Chief Information Officer since February 2009, which includes responsibility for our Exmark and Sitework Systems</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Drazan</w:t>
            </w:r>
          </w:p>
        </w:tc>
        <w:tc>
          <w:tcPr>
            <w:tcW w:w="10480" w:type="dxa"/>
            <w:vAlign w:val="bottom"/>
          </w:tcPr>
          <w:p>
            <w:pPr>
              <w:ind w:left="80"/>
              <w:spacing w:after="0"/>
              <w:rPr>
                <w:sz w:val="20"/>
                <w:szCs w:val="20"/>
                <w:color w:val="auto"/>
              </w:rPr>
            </w:pPr>
            <w:r>
              <w:rPr>
                <w:rFonts w:ascii="Arial" w:cs="Arial" w:eastAsia="Arial" w:hAnsi="Arial"/>
                <w:sz w:val="14"/>
                <w:szCs w:val="14"/>
                <w:color w:val="auto"/>
              </w:rPr>
              <w:t>businesses and our information services function. In September 2010, he also assumed responsibility for our Micro-Irrigation Business and Corporate Accounts.</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54, Vice</w:t>
            </w:r>
          </w:p>
        </w:tc>
        <w:tc>
          <w:tcPr>
            <w:tcW w:w="10480" w:type="dxa"/>
            <w:vAlign w:val="bottom"/>
          </w:tcPr>
          <w:p>
            <w:pPr>
              <w:ind w:left="80"/>
              <w:spacing w:after="0"/>
              <w:rPr>
                <w:sz w:val="20"/>
                <w:szCs w:val="20"/>
                <w:color w:val="auto"/>
              </w:rPr>
            </w:pPr>
            <w:r>
              <w:rPr>
                <w:rFonts w:ascii="Arial" w:cs="Arial" w:eastAsia="Arial" w:hAnsi="Arial"/>
                <w:sz w:val="14"/>
                <w:szCs w:val="14"/>
                <w:color w:val="auto"/>
              </w:rPr>
              <w:t>From November 2007 to February 2009, he served as Chief Information Officer and Vice President, Corporate Services. From November 2006 to October 2007, he</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ind w:left="80"/>
              <w:spacing w:after="0"/>
              <w:rPr>
                <w:sz w:val="20"/>
                <w:szCs w:val="20"/>
                <w:color w:val="auto"/>
              </w:rPr>
            </w:pPr>
            <w:r>
              <w:rPr>
                <w:rFonts w:ascii="Arial" w:cs="Arial" w:eastAsia="Arial" w:hAnsi="Arial"/>
                <w:sz w:val="14"/>
                <w:szCs w:val="14"/>
                <w:color w:val="auto"/>
              </w:rPr>
              <w:t>served as Vice President, Chief Information Officer.</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Contractor</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Business</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and</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Chief</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Information</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Officer</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Blake M.</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Corporate Controller since December 2008. From February 2006 to December 2008, he served as Managing Director, Corporate Controller.</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Grams</w:t>
            </w:r>
          </w:p>
        </w:tc>
        <w:tc>
          <w:tcPr>
            <w:tcW w:w="10480" w:type="dxa"/>
            <w:vAlign w:val="bottom"/>
          </w:tcPr>
          <w:p>
            <w:pPr>
              <w:spacing w:after="0"/>
              <w:rPr>
                <w:sz w:val="15"/>
                <w:szCs w:val="15"/>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44, Vice</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Corporate</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Controller</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Michael J.</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Residential and Landscape Contractor Businesses since August 2010. From December 2008 to July 2010, he served as Vice President,</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Happe</w:t>
            </w:r>
          </w:p>
        </w:tc>
        <w:tc>
          <w:tcPr>
            <w:tcW w:w="10480" w:type="dxa"/>
            <w:vAlign w:val="bottom"/>
          </w:tcPr>
          <w:p>
            <w:pPr>
              <w:ind w:left="80"/>
              <w:spacing w:after="0"/>
              <w:rPr>
                <w:sz w:val="20"/>
                <w:szCs w:val="20"/>
                <w:color w:val="auto"/>
              </w:rPr>
            </w:pPr>
            <w:r>
              <w:rPr>
                <w:rFonts w:ascii="Arial" w:cs="Arial" w:eastAsia="Arial" w:hAnsi="Arial"/>
                <w:sz w:val="14"/>
                <w:szCs w:val="14"/>
                <w:color w:val="auto"/>
              </w:rPr>
              <w:t>Commercial Business. From November 2007 to December 2008, he served as General Manager, Commercial Business. From November 2006 to October 2007,</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40, Vice</w:t>
            </w:r>
          </w:p>
        </w:tc>
        <w:tc>
          <w:tcPr>
            <w:tcW w:w="10480" w:type="dxa"/>
            <w:vAlign w:val="bottom"/>
          </w:tcPr>
          <w:p>
            <w:pPr>
              <w:ind w:left="80"/>
              <w:spacing w:after="0"/>
              <w:rPr>
                <w:sz w:val="20"/>
                <w:szCs w:val="20"/>
                <w:color w:val="auto"/>
              </w:rPr>
            </w:pPr>
            <w:r>
              <w:rPr>
                <w:rFonts w:ascii="Arial" w:cs="Arial" w:eastAsia="Arial" w:hAnsi="Arial"/>
                <w:sz w:val="14"/>
                <w:szCs w:val="14"/>
                <w:color w:val="auto"/>
              </w:rPr>
              <w:t>he served as Managing Director, Commercial Business.</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Residential</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and</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Landscape</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Contractor</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Businesses</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Thomas J.</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Treasurer since December 2008. From February 2006 to December 2008, he served as Treasurer.</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Larson</w:t>
            </w:r>
          </w:p>
        </w:tc>
        <w:tc>
          <w:tcPr>
            <w:tcW w:w="10480" w:type="dxa"/>
            <w:vAlign w:val="bottom"/>
          </w:tcPr>
          <w:p>
            <w:pPr>
              <w:spacing w:after="0"/>
              <w:rPr>
                <w:sz w:val="15"/>
                <w:szCs w:val="15"/>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54, Vice</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Treasurer</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Renee J.</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Finance and Chief Financial Officer since August 2011. From July 2009 to August 2011, she served as Vice President — Finance and Planning of</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Peterson</w:t>
            </w:r>
          </w:p>
        </w:tc>
        <w:tc>
          <w:tcPr>
            <w:tcW w:w="10480" w:type="dxa"/>
            <w:vAlign w:val="bottom"/>
          </w:tcPr>
          <w:p>
            <w:pPr>
              <w:ind w:left="80"/>
              <w:spacing w:after="0"/>
              <w:rPr>
                <w:sz w:val="20"/>
                <w:szCs w:val="20"/>
                <w:color w:val="auto"/>
              </w:rPr>
            </w:pPr>
            <w:r>
              <w:rPr>
                <w:rFonts w:ascii="Arial" w:cs="Arial" w:eastAsia="Arial" w:hAnsi="Arial"/>
                <w:sz w:val="14"/>
                <w:szCs w:val="14"/>
                <w:color w:val="auto"/>
              </w:rPr>
              <w:t>the Truck and Automotive Segments of Eaton Corporation, a diversified industrial manufacturer. From September 2008 to July 2009, she served as Vice</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50, Vice</w:t>
            </w:r>
          </w:p>
        </w:tc>
        <w:tc>
          <w:tcPr>
            <w:tcW w:w="10480" w:type="dxa"/>
            <w:vAlign w:val="bottom"/>
          </w:tcPr>
          <w:p>
            <w:pPr>
              <w:ind w:left="80"/>
              <w:spacing w:after="0"/>
              <w:rPr>
                <w:sz w:val="20"/>
                <w:szCs w:val="20"/>
                <w:color w:val="auto"/>
              </w:rPr>
            </w:pPr>
            <w:r>
              <w:rPr>
                <w:rFonts w:ascii="Arial" w:cs="Arial" w:eastAsia="Arial" w:hAnsi="Arial"/>
                <w:sz w:val="14"/>
                <w:szCs w:val="14"/>
                <w:color w:val="auto"/>
              </w:rPr>
              <w:t>President — Finance, Information Technology and Business Development of the Automotive Segment for Eaton Corporation. Prior to joining Eaton Corporation,</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ind w:left="80"/>
              <w:spacing w:after="0"/>
              <w:rPr>
                <w:sz w:val="20"/>
                <w:szCs w:val="20"/>
                <w:color w:val="auto"/>
              </w:rPr>
            </w:pPr>
            <w:r>
              <w:rPr>
                <w:rFonts w:ascii="Arial" w:cs="Arial" w:eastAsia="Arial" w:hAnsi="Arial"/>
                <w:sz w:val="14"/>
                <w:szCs w:val="14"/>
                <w:color w:val="auto"/>
              </w:rPr>
              <w:t>from 1983 to September 2008, she served in various financial leadership positions at Honeywell International Inc., including as Vice President — Finance of</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Finance and</w:t>
            </w:r>
          </w:p>
        </w:tc>
        <w:tc>
          <w:tcPr>
            <w:tcW w:w="10480" w:type="dxa"/>
            <w:vAlign w:val="bottom"/>
          </w:tcPr>
          <w:p>
            <w:pPr>
              <w:ind w:left="80"/>
              <w:spacing w:after="0"/>
              <w:rPr>
                <w:sz w:val="20"/>
                <w:szCs w:val="20"/>
                <w:color w:val="auto"/>
              </w:rPr>
            </w:pPr>
            <w:r>
              <w:rPr>
                <w:rFonts w:ascii="Arial" w:cs="Arial" w:eastAsia="Arial" w:hAnsi="Arial"/>
                <w:sz w:val="14"/>
                <w:szCs w:val="14"/>
                <w:color w:val="auto"/>
              </w:rPr>
              <w:t>Defense and Space Operations in the Aerospace Business from July 2005 to September 2008.</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Chief</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Financial</w:t>
            </w:r>
          </w:p>
        </w:tc>
        <w:tc>
          <w:tcPr>
            <w:tcW w:w="10480" w:type="dxa"/>
            <w:vAlign w:val="bottom"/>
          </w:tcPr>
          <w:p>
            <w:pPr>
              <w:spacing w:after="0"/>
              <w:rPr>
                <w:sz w:val="14"/>
                <w:szCs w:val="14"/>
                <w:color w:val="auto"/>
              </w:rPr>
            </w:pPr>
          </w:p>
        </w:tc>
      </w:tr>
      <w:tr>
        <w:trPr>
          <w:trHeight w:val="178"/>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Officer</w:t>
            </w:r>
          </w:p>
        </w:tc>
        <w:tc>
          <w:tcPr>
            <w:tcW w:w="10480" w:type="dxa"/>
            <w:vAlign w:val="bottom"/>
            <w:tcBorders>
              <w:bottom w:val="single" w:sz="8" w:color="auto"/>
            </w:tcBorders>
          </w:tcPr>
          <w:p>
            <w:pPr>
              <w:spacing w:after="0"/>
              <w:rPr>
                <w:sz w:val="15"/>
                <w:szCs w:val="15"/>
                <w:color w:val="auto"/>
              </w:rPr>
            </w:pPr>
          </w:p>
        </w:tc>
      </w:tr>
      <w:tr>
        <w:trPr>
          <w:trHeight w:val="148"/>
        </w:trPr>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rPr>
              <w:t>Peter M.</w:t>
            </w:r>
          </w:p>
        </w:tc>
        <w:tc>
          <w:tcPr>
            <w:tcW w:w="10480" w:type="dxa"/>
            <w:vAlign w:val="bottom"/>
          </w:tcPr>
          <w:p>
            <w:pPr>
              <w:ind w:left="80"/>
              <w:spacing w:after="0" w:line="149" w:lineRule="exact"/>
              <w:rPr>
                <w:sz w:val="20"/>
                <w:szCs w:val="20"/>
                <w:color w:val="auto"/>
              </w:rPr>
            </w:pPr>
            <w:r>
              <w:rPr>
                <w:rFonts w:ascii="Arial" w:cs="Arial" w:eastAsia="Arial" w:hAnsi="Arial"/>
                <w:sz w:val="14"/>
                <w:szCs w:val="14"/>
                <w:color w:val="auto"/>
              </w:rPr>
              <w:t>Vice President, Human Resources and Business Development since November 2007. From November 2006 to November 2007, he served as Vice President,</w:t>
            </w:r>
          </w:p>
        </w:tc>
      </w:tr>
      <w:tr>
        <w:trPr>
          <w:trHeight w:val="180"/>
        </w:trPr>
        <w:tc>
          <w:tcPr>
            <w:tcW w:w="940" w:type="dxa"/>
            <w:vAlign w:val="bottom"/>
          </w:tcPr>
          <w:p>
            <w:pPr>
              <w:spacing w:after="0"/>
              <w:rPr>
                <w:sz w:val="20"/>
                <w:szCs w:val="20"/>
                <w:color w:val="auto"/>
              </w:rPr>
            </w:pPr>
            <w:r>
              <w:rPr>
                <w:rFonts w:ascii="Arial" w:cs="Arial" w:eastAsia="Arial" w:hAnsi="Arial"/>
                <w:sz w:val="14"/>
                <w:szCs w:val="14"/>
                <w:b w:val="1"/>
                <w:bCs w:val="1"/>
                <w:color w:val="auto"/>
              </w:rPr>
              <w:t>Ramstad</w:t>
            </w:r>
          </w:p>
        </w:tc>
        <w:tc>
          <w:tcPr>
            <w:tcW w:w="10480" w:type="dxa"/>
            <w:vAlign w:val="bottom"/>
          </w:tcPr>
          <w:p>
            <w:pPr>
              <w:ind w:left="80"/>
              <w:spacing w:after="0"/>
              <w:rPr>
                <w:sz w:val="20"/>
                <w:szCs w:val="20"/>
                <w:color w:val="auto"/>
              </w:rPr>
            </w:pPr>
            <w:r>
              <w:rPr>
                <w:rFonts w:ascii="Arial" w:cs="Arial" w:eastAsia="Arial" w:hAnsi="Arial"/>
                <w:sz w:val="14"/>
                <w:szCs w:val="14"/>
                <w:color w:val="auto"/>
              </w:rPr>
              <w:t>Business and Strategic Development.</w:t>
            </w: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54, Vice</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President,</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Human</w:t>
            </w:r>
          </w:p>
        </w:tc>
        <w:tc>
          <w:tcPr>
            <w:tcW w:w="10480" w:type="dxa"/>
            <w:vAlign w:val="bottom"/>
          </w:tcPr>
          <w:p>
            <w:pPr>
              <w:spacing w:after="0"/>
              <w:rPr>
                <w:sz w:val="14"/>
                <w:szCs w:val="14"/>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Resources</w:t>
            </w:r>
          </w:p>
        </w:tc>
        <w:tc>
          <w:tcPr>
            <w:tcW w:w="10480" w:type="dxa"/>
            <w:vAlign w:val="bottom"/>
          </w:tcPr>
          <w:p>
            <w:pPr>
              <w:spacing w:after="0"/>
              <w:rPr>
                <w:sz w:val="14"/>
                <w:szCs w:val="14"/>
                <w:color w:val="auto"/>
              </w:rPr>
            </w:pPr>
          </w:p>
        </w:tc>
      </w:tr>
      <w:tr>
        <w:trPr>
          <w:trHeight w:val="172"/>
        </w:trPr>
        <w:tc>
          <w:tcPr>
            <w:tcW w:w="940" w:type="dxa"/>
            <w:vAlign w:val="bottom"/>
          </w:tcPr>
          <w:p>
            <w:pPr>
              <w:spacing w:after="0"/>
              <w:rPr>
                <w:sz w:val="20"/>
                <w:szCs w:val="20"/>
                <w:color w:val="auto"/>
              </w:rPr>
            </w:pPr>
            <w:r>
              <w:rPr>
                <w:rFonts w:ascii="Arial" w:cs="Arial" w:eastAsia="Arial" w:hAnsi="Arial"/>
                <w:sz w:val="14"/>
                <w:szCs w:val="14"/>
                <w:color w:val="auto"/>
              </w:rPr>
              <w:t>and</w:t>
            </w:r>
          </w:p>
        </w:tc>
        <w:tc>
          <w:tcPr>
            <w:tcW w:w="10480" w:type="dxa"/>
            <w:vAlign w:val="bottom"/>
          </w:tcPr>
          <w:p>
            <w:pPr>
              <w:spacing w:after="0"/>
              <w:rPr>
                <w:sz w:val="14"/>
                <w:szCs w:val="14"/>
                <w:color w:val="auto"/>
              </w:rPr>
            </w:pPr>
          </w:p>
        </w:tc>
      </w:tr>
    </w:tbl>
    <w:p>
      <w:pPr>
        <w:sectPr>
          <w:pgSz w:w="11900" w:h="16838" w:orient="portrait"/>
          <w:cols w:equalWidth="0" w:num="1">
            <w:col w:w="11420"/>
          </w:cols>
          <w:pgMar w:left="240" w:top="121" w:right="239" w:bottom="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Business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Development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Darren L.</w:t>
            </w:r>
          </w:p>
        </w:tc>
        <w:tc>
          <w:tcPr>
            <w:tcW w:w="1052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rPr>
              <w:t>Vice President, Commercial Business since August 2010. From December 2008 to July 2010, he served as Vice President, International Business. From</w:t>
            </w:r>
          </w:p>
        </w:tc>
      </w:tr>
      <w:tr>
        <w:trPr>
          <w:trHeight w:val="180"/>
        </w:trPr>
        <w:tc>
          <w:tcPr>
            <w:tcW w:w="900" w:type="dxa"/>
            <w:vAlign w:val="bottom"/>
          </w:tcPr>
          <w:p>
            <w:pPr>
              <w:spacing w:after="0"/>
              <w:rPr>
                <w:sz w:val="20"/>
                <w:szCs w:val="20"/>
                <w:color w:val="auto"/>
              </w:rPr>
            </w:pPr>
            <w:r>
              <w:rPr>
                <w:rFonts w:ascii="Arial" w:cs="Arial" w:eastAsia="Arial" w:hAnsi="Arial"/>
                <w:sz w:val="14"/>
                <w:szCs w:val="14"/>
                <w:b w:val="1"/>
                <w:bCs w:val="1"/>
                <w:color w:val="auto"/>
              </w:rPr>
              <w:t>Redetzke</w:t>
            </w:r>
          </w:p>
        </w:tc>
        <w:tc>
          <w:tcPr>
            <w:tcW w:w="10520" w:type="dxa"/>
            <w:vAlign w:val="bottom"/>
          </w:tcPr>
          <w:p>
            <w:pPr>
              <w:ind w:left="120"/>
              <w:spacing w:after="0"/>
              <w:rPr>
                <w:sz w:val="20"/>
                <w:szCs w:val="20"/>
                <w:color w:val="auto"/>
              </w:rPr>
            </w:pPr>
            <w:r>
              <w:rPr>
                <w:rFonts w:ascii="Arial" w:cs="Arial" w:eastAsia="Arial" w:hAnsi="Arial"/>
                <w:sz w:val="14"/>
                <w:szCs w:val="14"/>
                <w:color w:val="auto"/>
              </w:rPr>
              <w:t>November 2007 to December 2008, he served as General Manager, International Business. From October 2006 to November 2007, he served as Managing</w:t>
            </w:r>
          </w:p>
        </w:tc>
      </w:t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47, Vice</w:t>
            </w:r>
          </w:p>
        </w:tc>
        <w:tc>
          <w:tcPr>
            <w:tcW w:w="10520" w:type="dxa"/>
            <w:vAlign w:val="bottom"/>
          </w:tcPr>
          <w:p>
            <w:pPr>
              <w:ind w:left="120"/>
              <w:spacing w:after="0"/>
              <w:rPr>
                <w:sz w:val="20"/>
                <w:szCs w:val="20"/>
                <w:color w:val="auto"/>
              </w:rPr>
            </w:pPr>
            <w:r>
              <w:rPr>
                <w:rFonts w:ascii="Arial" w:cs="Arial" w:eastAsia="Arial" w:hAnsi="Arial"/>
                <w:sz w:val="14"/>
                <w:szCs w:val="14"/>
                <w:color w:val="auto"/>
              </w:rPr>
              <w:t>Director, International Business.</w:t>
            </w:r>
          </w:p>
        </w:tc>
      </w:t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President,</w:t>
            </w:r>
          </w:p>
        </w:tc>
        <w:tc>
          <w:tcPr>
            <w:tcW w:w="10520" w:type="dxa"/>
            <w:vAlign w:val="bottom"/>
          </w:tcPr>
          <w:p>
            <w:pPr>
              <w:spacing w:after="0"/>
              <w:rPr>
                <w:sz w:val="14"/>
                <w:szCs w:val="14"/>
                <w:color w:val="auto"/>
              </w:rPr>
            </w:pPr>
          </w:p>
        </w:tc>
      </w:t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Commercial</w:t>
            </w:r>
          </w:p>
        </w:tc>
        <w:tc>
          <w:tcPr>
            <w:tcW w:w="10520" w:type="dxa"/>
            <w:vAlign w:val="bottom"/>
          </w:tcPr>
          <w:p>
            <w:pPr>
              <w:spacing w:after="0"/>
              <w:rPr>
                <w:sz w:val="14"/>
                <w:szCs w:val="14"/>
                <w:color w:val="auto"/>
              </w:rPr>
            </w:pPr>
          </w:p>
        </w:tc>
      </w:tr>
      <w:tr>
        <w:trPr>
          <w:trHeight w:val="178"/>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w:t>
            </w:r>
          </w:p>
        </w:tc>
        <w:tc>
          <w:tcPr>
            <w:tcW w:w="10520" w:type="dxa"/>
            <w:vAlign w:val="bottom"/>
            <w:tcBorders>
              <w:bottom w:val="single" w:sz="8" w:color="auto"/>
            </w:tcBorders>
          </w:tcPr>
          <w:p>
            <w:pPr>
              <w:spacing w:after="0"/>
              <w:rPr>
                <w:sz w:val="15"/>
                <w:szCs w:val="15"/>
                <w:color w:val="auto"/>
              </w:rPr>
            </w:pPr>
          </w:p>
        </w:tc>
      </w:tr>
      <w:tr>
        <w:trPr>
          <w:trHeight w:val="430"/>
        </w:trPr>
        <w:tc>
          <w:tcPr>
            <w:tcW w:w="900" w:type="dxa"/>
            <w:vAlign w:val="bottom"/>
          </w:tcPr>
          <w:p>
            <w:pPr>
              <w:spacing w:after="0"/>
              <w:rPr>
                <w:sz w:val="24"/>
                <w:szCs w:val="24"/>
                <w:color w:val="auto"/>
              </w:rPr>
            </w:pPr>
          </w:p>
        </w:tc>
        <w:tc>
          <w:tcPr>
            <w:tcW w:w="10520" w:type="dxa"/>
            <w:vAlign w:val="bottom"/>
          </w:tcPr>
          <w:p>
            <w:pPr>
              <w:jc w:val="right"/>
              <w:ind w:right="5524"/>
              <w:spacing w:after="0"/>
              <w:rPr>
                <w:sz w:val="20"/>
                <w:szCs w:val="20"/>
                <w:color w:val="auto"/>
              </w:rPr>
            </w:pPr>
            <w:r>
              <w:rPr>
                <w:rFonts w:ascii="Arial" w:cs="Arial" w:eastAsia="Arial" w:hAnsi="Arial"/>
                <w:sz w:val="18"/>
                <w:szCs w:val="18"/>
                <w:color w:val="auto"/>
              </w:rPr>
              <w:t>21</w:t>
            </w:r>
          </w:p>
        </w:tc>
      </w:tr>
      <w:tr>
        <w:trPr>
          <w:trHeight w:val="215"/>
        </w:trPr>
        <w:tc>
          <w:tcPr>
            <w:tcW w:w="900" w:type="dxa"/>
            <w:vAlign w:val="bottom"/>
            <w:tcBorders>
              <w:bottom w:val="single" w:sz="8" w:color="808080"/>
            </w:tcBorders>
          </w:tcPr>
          <w:p>
            <w:pPr>
              <w:spacing w:after="0"/>
              <w:rPr>
                <w:sz w:val="18"/>
                <w:szCs w:val="18"/>
                <w:color w:val="auto"/>
              </w:rPr>
            </w:pPr>
          </w:p>
        </w:tc>
        <w:tc>
          <w:tcPr>
            <w:tcW w:w="105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2" w:name="page23"/>
    <w:bookmarkEnd w:id="22"/>
    <w:p>
      <w:pPr>
        <w:jc w:val="center"/>
        <w:ind w:right="60"/>
        <w:spacing w:after="0"/>
        <w:rPr>
          <w:sz w:val="20"/>
          <w:szCs w:val="20"/>
          <w:color w:val="auto"/>
        </w:rPr>
      </w:pPr>
      <w:r>
        <w:rPr>
          <w:rFonts w:ascii="Arial" w:cs="Arial" w:eastAsia="Arial" w:hAnsi="Arial"/>
          <w:sz w:val="24"/>
          <w:szCs w:val="24"/>
          <w:b w:val="1"/>
          <w:bCs w:val="1"/>
          <w:color w:val="auto"/>
        </w:rPr>
        <w:t>PART II</w:t>
      </w:r>
    </w:p>
    <w:p>
      <w:pPr>
        <w:spacing w:after="0" w:line="220" w:lineRule="exact"/>
        <w:rPr>
          <w:sz w:val="20"/>
          <w:szCs w:val="20"/>
          <w:color w:val="auto"/>
        </w:rPr>
      </w:pPr>
    </w:p>
    <w:p>
      <w:pPr>
        <w:ind w:right="80"/>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8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common stock is listed for trading on the New York Stock Exchange and trades under the symbol "TTC." The high, low, and last sales prices for our common stock and cash dividends paid for each of the quarterly periods for fiscal 2011 and 2010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33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October 31, 2011</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Second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800" w:type="dxa"/>
            <w:vAlign w:val="bottom"/>
            <w:gridSpan w:val="4"/>
          </w:tcPr>
          <w:p>
            <w:pPr>
              <w:ind w:left="180"/>
              <w:spacing w:after="0"/>
              <w:rPr>
                <w:sz w:val="20"/>
                <w:szCs w:val="20"/>
                <w:color w:val="auto"/>
              </w:rPr>
            </w:pPr>
            <w:r>
              <w:rPr>
                <w:rFonts w:ascii="Arial" w:cs="Arial" w:eastAsia="Arial" w:hAnsi="Arial"/>
                <w:sz w:val="14"/>
                <w:szCs w:val="14"/>
                <w:b w:val="1"/>
                <w:bCs w:val="1"/>
                <w:color w:val="auto"/>
              </w:rPr>
              <w:t>Fourth</w:t>
            </w:r>
          </w:p>
        </w:tc>
      </w:tr>
      <w:tr>
        <w:trPr>
          <w:trHeight w:val="162"/>
        </w:trPr>
        <w:tc>
          <w:tcPr>
            <w:tcW w:w="20" w:type="dxa"/>
            <w:vAlign w:val="bottom"/>
          </w:tcPr>
          <w:p>
            <w:pPr>
              <w:spacing w:after="0"/>
              <w:rPr>
                <w:sz w:val="14"/>
                <w:szCs w:val="14"/>
                <w:color w:val="auto"/>
              </w:rPr>
            </w:pPr>
          </w:p>
        </w:tc>
        <w:tc>
          <w:tcPr>
            <w:tcW w:w="5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Market price per share of common stock –</w:t>
            </w:r>
          </w:p>
        </w:tc>
        <w:tc>
          <w:tcPr>
            <w:tcW w:w="33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b w:val="1"/>
                <w:bCs w:val="1"/>
                <w:color w:val="auto"/>
              </w:rPr>
              <w:t>High sales price</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$ 64.79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67.95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$ 68.43</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$ 56.56</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Low sales price</w:t>
            </w:r>
          </w:p>
        </w:tc>
        <w:tc>
          <w:tcPr>
            <w:tcW w:w="3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55.96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51.86</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45.05</w:t>
            </w:r>
          </w:p>
        </w:tc>
        <w:tc>
          <w:tcPr>
            <w:tcW w:w="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Arial" w:cs="Arial" w:eastAsia="Arial" w:hAnsi="Arial"/>
                <w:sz w:val="14"/>
                <w:szCs w:val="14"/>
                <w:b w:val="1"/>
                <w:bCs w:val="1"/>
                <w:color w:val="auto"/>
              </w:rPr>
              <w:t>Last sales price</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60.71</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67.91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53.83</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54.04</w:t>
            </w:r>
          </w:p>
        </w:tc>
        <w:tc>
          <w:tcPr>
            <w:tcW w:w="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21"/>
                <w:szCs w:val="21"/>
                <w:b w:val="1"/>
                <w:bCs w:val="1"/>
                <w:color w:val="auto"/>
                <w:vertAlign w:val="superscript"/>
              </w:rPr>
              <w:t>1</w:t>
            </w:r>
          </w:p>
        </w:tc>
        <w:tc>
          <w:tcPr>
            <w:tcW w:w="3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0.20</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0.20</w:t>
            </w:r>
          </w:p>
        </w:tc>
        <w:tc>
          <w:tcPr>
            <w:tcW w:w="80" w:type="dxa"/>
            <w:vAlign w:val="bottom"/>
            <w:shd w:val="clear" w:color="auto" w:fill="CCEEFF"/>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61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840" w:type="dxa"/>
            <w:vAlign w:val="bottom"/>
            <w:gridSpan w:val="2"/>
          </w:tcPr>
          <w:p>
            <w:pPr>
              <w:ind w:left="80"/>
              <w:spacing w:after="0"/>
              <w:rPr>
                <w:sz w:val="20"/>
                <w:szCs w:val="20"/>
                <w:color w:val="auto"/>
              </w:rPr>
            </w:pPr>
            <w:r>
              <w:rPr>
                <w:rFonts w:ascii="Arial" w:cs="Arial" w:eastAsia="Arial" w:hAnsi="Arial"/>
                <w:sz w:val="14"/>
                <w:szCs w:val="14"/>
                <w:color w:val="auto"/>
              </w:rPr>
              <w:t>Fiscal year ended</w:t>
            </w: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5840" w:type="dxa"/>
            <w:vAlign w:val="bottom"/>
            <w:gridSpan w:val="2"/>
          </w:tcPr>
          <w:p>
            <w:pPr>
              <w:ind w:left="80"/>
              <w:spacing w:after="0"/>
              <w:rPr>
                <w:sz w:val="20"/>
                <w:szCs w:val="20"/>
                <w:color w:val="auto"/>
              </w:rPr>
            </w:pPr>
            <w:r>
              <w:rPr>
                <w:rFonts w:ascii="Arial" w:cs="Arial" w:eastAsia="Arial" w:hAnsi="Arial"/>
                <w:sz w:val="14"/>
                <w:szCs w:val="14"/>
                <w:color w:val="auto"/>
              </w:rPr>
              <w:t>October 31, 2010</w:t>
            </w:r>
          </w:p>
        </w:tc>
        <w:tc>
          <w:tcPr>
            <w:tcW w:w="3380" w:type="dxa"/>
            <w:vAlign w:val="bottom"/>
          </w:tcPr>
          <w:p>
            <w:pPr>
              <w:jc w:val="right"/>
              <w:ind w:right="28"/>
              <w:spacing w:after="0"/>
              <w:rPr>
                <w:sz w:val="20"/>
                <w:szCs w:val="20"/>
                <w:color w:val="auto"/>
              </w:rPr>
            </w:pPr>
            <w:r>
              <w:rPr>
                <w:rFonts w:ascii="Arial" w:cs="Arial" w:eastAsia="Arial" w:hAnsi="Arial"/>
                <w:sz w:val="14"/>
                <w:szCs w:val="14"/>
                <w:color w:val="auto"/>
              </w:rPr>
              <w:t>First</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Second</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Third</w:t>
            </w:r>
          </w:p>
        </w:tc>
        <w:tc>
          <w:tcPr>
            <w:tcW w:w="800" w:type="dxa"/>
            <w:vAlign w:val="bottom"/>
            <w:gridSpan w:val="4"/>
          </w:tcPr>
          <w:p>
            <w:pPr>
              <w:ind w:left="140"/>
              <w:spacing w:after="0"/>
              <w:rPr>
                <w:sz w:val="20"/>
                <w:szCs w:val="20"/>
                <w:color w:val="auto"/>
              </w:rPr>
            </w:pPr>
            <w:r>
              <w:rPr>
                <w:rFonts w:ascii="Arial" w:cs="Arial" w:eastAsia="Arial" w:hAnsi="Arial"/>
                <w:sz w:val="14"/>
                <w:szCs w:val="14"/>
                <w:color w:val="auto"/>
              </w:rPr>
              <w:t>Fourth</w:t>
            </w: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Market price per share of common stock –</w:t>
            </w:r>
          </w:p>
        </w:tc>
        <w:tc>
          <w:tcPr>
            <w:tcW w:w="33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Arial" w:cs="Arial" w:eastAsia="Arial" w:hAnsi="Arial"/>
                <w:sz w:val="14"/>
                <w:szCs w:val="14"/>
                <w:color w:val="auto"/>
              </w:rPr>
              <w:t>High sales price</w:t>
            </w:r>
          </w:p>
        </w:tc>
        <w:tc>
          <w:tcPr>
            <w:tcW w:w="3380" w:type="dxa"/>
            <w:vAlign w:val="bottom"/>
          </w:tcPr>
          <w:p>
            <w:pPr>
              <w:jc w:val="right"/>
              <w:ind w:right="28"/>
              <w:spacing w:after="0"/>
              <w:rPr>
                <w:sz w:val="20"/>
                <w:szCs w:val="20"/>
                <w:color w:val="auto"/>
              </w:rPr>
            </w:pPr>
            <w:r>
              <w:rPr>
                <w:rFonts w:ascii="Arial" w:cs="Arial" w:eastAsia="Arial" w:hAnsi="Arial"/>
                <w:sz w:val="14"/>
                <w:szCs w:val="14"/>
                <w:color w:val="auto"/>
              </w:rPr>
              <w:t>$ 43.91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57.50</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$ 58.50</w:t>
            </w:r>
          </w:p>
        </w:tc>
        <w:tc>
          <w:tcPr>
            <w:tcW w:w="560" w:type="dxa"/>
            <w:vAlign w:val="bottom"/>
          </w:tcPr>
          <w:p>
            <w:pPr>
              <w:jc w:val="right"/>
              <w:spacing w:after="0"/>
              <w:rPr>
                <w:sz w:val="20"/>
                <w:szCs w:val="20"/>
                <w:color w:val="auto"/>
              </w:rPr>
            </w:pPr>
            <w:r>
              <w:rPr>
                <w:rFonts w:ascii="Arial" w:cs="Arial" w:eastAsia="Arial" w:hAnsi="Arial"/>
                <w:sz w:val="14"/>
                <w:szCs w:val="14"/>
                <w:color w:val="auto"/>
              </w:rPr>
              <w:t>$ 58.00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Low sales price</w:t>
            </w:r>
          </w:p>
        </w:tc>
        <w:tc>
          <w:tcPr>
            <w:tcW w:w="3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36.47</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Arial" w:cs="Arial" w:eastAsia="Arial" w:hAnsi="Arial"/>
                <w:sz w:val="14"/>
                <w:szCs w:val="14"/>
                <w:color w:val="auto"/>
              </w:rPr>
              <w:t>Last sales price</w:t>
            </w:r>
          </w:p>
        </w:tc>
        <w:tc>
          <w:tcPr>
            <w:tcW w:w="3380" w:type="dxa"/>
            <w:vAlign w:val="bottom"/>
          </w:tcPr>
          <w:p>
            <w:pPr>
              <w:jc w:val="right"/>
              <w:ind w:right="28"/>
              <w:spacing w:after="0"/>
              <w:rPr>
                <w:sz w:val="20"/>
                <w:szCs w:val="20"/>
                <w:color w:val="auto"/>
              </w:rPr>
            </w:pPr>
            <w:r>
              <w:rPr>
                <w:rFonts w:ascii="Arial" w:cs="Arial" w:eastAsia="Arial" w:hAnsi="Arial"/>
                <w:sz w:val="14"/>
                <w:szCs w:val="14"/>
                <w:color w:val="auto"/>
              </w:rPr>
              <w:t>38.95</w:t>
            </w:r>
          </w:p>
        </w:tc>
        <w:tc>
          <w:tcPr>
            <w:tcW w:w="1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56.94</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52.05</w:t>
            </w:r>
          </w:p>
        </w:tc>
        <w:tc>
          <w:tcPr>
            <w:tcW w:w="560" w:type="dxa"/>
            <w:vAlign w:val="bottom"/>
          </w:tcPr>
          <w:p>
            <w:pPr>
              <w:jc w:val="right"/>
              <w:spacing w:after="0"/>
              <w:rPr>
                <w:sz w:val="20"/>
                <w:szCs w:val="20"/>
                <w:color w:val="auto"/>
              </w:rPr>
            </w:pPr>
            <w:r>
              <w:rPr>
                <w:rFonts w:ascii="Arial" w:cs="Arial" w:eastAsia="Arial" w:hAnsi="Arial"/>
                <w:sz w:val="14"/>
                <w:szCs w:val="14"/>
                <w:color w:val="auto"/>
              </w:rPr>
              <w:t>56.76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Cash dividends per share of common stock</w:t>
            </w:r>
            <w:r>
              <w:rPr>
                <w:rFonts w:ascii="Arial" w:cs="Arial" w:eastAsia="Arial" w:hAnsi="Arial"/>
                <w:sz w:val="21"/>
                <w:szCs w:val="21"/>
                <w:color w:val="auto"/>
                <w:vertAlign w:val="superscript"/>
              </w:rPr>
              <w:t>1</w:t>
            </w:r>
          </w:p>
        </w:tc>
        <w:tc>
          <w:tcPr>
            <w:tcW w:w="3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0.18</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0.18</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0.18</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40" w:lineRule="exact"/>
        <w:rPr>
          <w:sz w:val="20"/>
          <w:szCs w:val="20"/>
          <w:color w:val="auto"/>
        </w:rPr>
      </w:pPr>
    </w:p>
    <w:p>
      <w:pPr>
        <w:ind w:left="540" w:hanging="532"/>
        <w:spacing w:after="0"/>
        <w:tabs>
          <w:tab w:leader="none" w:pos="5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Future cash dividends will depend upon our financial condition, capital requirements, results of operations, and other factors deemed relevant by the Board of Directors.</w:t>
      </w:r>
    </w:p>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 100,000,000 shares authorized, $1.00 par value, 29,603,095 and 31,394,942 shares outstanding as of October 31, 2011 and</w:t>
      </w:r>
      <w:r>
        <w:rPr>
          <w:rFonts w:ascii="Arial" w:cs="Arial" w:eastAsia="Arial" w:hAnsi="Arial"/>
          <w:sz w:val="18"/>
          <w:szCs w:val="18"/>
          <w:b w:val="1"/>
          <w:bCs w:val="1"/>
          <w:color w:val="auto"/>
        </w:rPr>
        <w:t xml:space="preserve"> </w:t>
      </w:r>
      <w:r>
        <w:rPr>
          <w:rFonts w:ascii="Arial" w:cs="Arial" w:eastAsia="Arial" w:hAnsi="Arial"/>
          <w:sz w:val="18"/>
          <w:szCs w:val="18"/>
          <w:color w:val="auto"/>
        </w:rPr>
        <w:t>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1,000,000 voting shares and 850,000 non-voting shares authorized, $1.00 par value, no shares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w:t>
      </w:r>
      <w:r>
        <w:rPr>
          <w:rFonts w:ascii="Arial" w:cs="Arial" w:eastAsia="Arial" w:hAnsi="Arial"/>
          <w:sz w:val="18"/>
          <w:szCs w:val="18"/>
          <w:color w:val="auto"/>
        </w:rPr>
        <w:t>– As of December 14, 2011, we had approximately 4,035 shareholders of record.</w:t>
      </w:r>
    </w:p>
    <w:p>
      <w:pPr>
        <w:spacing w:after="0" w:line="21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sets forth information with respect to shares of our common stock purchased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during each of the three fiscal months in our fourth quarter ended October 31, 2011.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60" w:type="dxa"/>
            <w:vAlign w:val="bottom"/>
            <w:tcBorders>
              <w:top w:val="single" w:sz="8" w:color="auto"/>
            </w:tcBorders>
          </w:tcPr>
          <w:p>
            <w:pPr>
              <w:spacing w:after="0"/>
              <w:rPr>
                <w:sz w:val="15"/>
                <w:szCs w:val="15"/>
                <w:color w:val="auto"/>
              </w:rPr>
            </w:pPr>
          </w:p>
        </w:tc>
        <w:tc>
          <w:tcPr>
            <w:tcW w:w="3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Total</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Maximum</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Number of</w:t>
            </w:r>
          </w:p>
        </w:tc>
        <w:tc>
          <w:tcPr>
            <w:tcW w:w="8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Shares</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Purchased</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Shares that</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Average</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as Part of</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460" w:type="dxa"/>
            <w:vAlign w:val="bottom"/>
          </w:tcPr>
          <w:p>
            <w:pPr>
              <w:jc w:val="right"/>
              <w:ind w:right="1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Price</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Publicly</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Purchased</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460" w:type="dxa"/>
            <w:vAlign w:val="bottom"/>
          </w:tcPr>
          <w:p>
            <w:pPr>
              <w:jc w:val="right"/>
              <w:ind w:right="10"/>
              <w:spacing w:after="0"/>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Paid</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Announced</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34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Per</w:t>
            </w:r>
          </w:p>
        </w:tc>
        <w:tc>
          <w:tcPr>
            <w:tcW w:w="8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Plans or</w:t>
            </w:r>
          </w:p>
        </w:tc>
        <w:tc>
          <w:tcPr>
            <w:tcW w:w="9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Plans or</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3460" w:type="dxa"/>
            <w:vAlign w:val="bottom"/>
            <w:tcBorders>
              <w:bottom w:val="single" w:sz="8" w:color="auto"/>
            </w:tcBorders>
          </w:tcPr>
          <w:p>
            <w:pPr>
              <w:jc w:val="right"/>
              <w:ind w:right="10"/>
              <w:spacing w:after="0" w:line="216" w:lineRule="exact"/>
              <w:rPr>
                <w:sz w:val="20"/>
                <w:szCs w:val="20"/>
                <w:color w:val="auto"/>
              </w:rPr>
            </w:pPr>
            <w:r>
              <w:rPr>
                <w:rFonts w:ascii="Arial" w:cs="Arial" w:eastAsia="Arial" w:hAnsi="Arial"/>
                <w:sz w:val="14"/>
                <w:szCs w:val="14"/>
                <w:color w:val="auto"/>
              </w:rPr>
              <w:t>Purchased</w:t>
            </w:r>
            <w:r>
              <w:rPr>
                <w:rFonts w:ascii="Arial" w:cs="Arial" w:eastAsia="Arial" w:hAnsi="Arial"/>
                <w:sz w:val="21"/>
                <w:szCs w:val="21"/>
                <w:color w:val="auto"/>
                <w:vertAlign w:val="superscript"/>
              </w:rPr>
              <w:t>1,2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Programs</w:t>
            </w:r>
          </w:p>
        </w:tc>
        <w:tc>
          <w:tcPr>
            <w:tcW w:w="8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4"/>
                <w:szCs w:val="14"/>
                <w:color w:val="auto"/>
              </w:rPr>
              <w:t>Programs</w:t>
            </w:r>
            <w:r>
              <w:rPr>
                <w:rFonts w:ascii="Arial" w:cs="Arial" w:eastAsia="Arial" w:hAnsi="Arial"/>
                <w:sz w:val="21"/>
                <w:szCs w:val="21"/>
                <w:color w:val="auto"/>
                <w:vertAlign w:val="superscript"/>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July 30, 2011 through August 26, 2011</w:t>
            </w:r>
          </w:p>
        </w:tc>
        <w:tc>
          <w:tcPr>
            <w:tcW w:w="3460" w:type="dxa"/>
            <w:vAlign w:val="bottom"/>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14,059</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47.02</w:t>
            </w:r>
          </w:p>
        </w:tc>
        <w:tc>
          <w:tcPr>
            <w:tcW w:w="8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14,059</w:t>
            </w:r>
          </w:p>
        </w:tc>
        <w:tc>
          <w:tcPr>
            <w:tcW w:w="9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3,167,731</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August 27, 2011 through September 30, 2011</w:t>
            </w:r>
          </w:p>
        </w:tc>
        <w:tc>
          <w:tcPr>
            <w:tcW w:w="3460" w:type="dxa"/>
            <w:vAlign w:val="bottom"/>
          </w:tcPr>
          <w:p>
            <w:pPr>
              <w:jc w:val="right"/>
              <w:spacing w:after="0" w:line="162" w:lineRule="exact"/>
              <w:rPr>
                <w:sz w:val="20"/>
                <w:szCs w:val="20"/>
                <w:color w:val="auto"/>
              </w:rPr>
            </w:pPr>
            <w:r>
              <w:rPr>
                <w:rFonts w:ascii="Arial" w:cs="Arial" w:eastAsia="Arial" w:hAnsi="Arial"/>
                <w:sz w:val="13"/>
                <w:szCs w:val="13"/>
                <w:color w:val="auto"/>
              </w:rPr>
              <w:t>689,574</w:t>
            </w:r>
            <w:r>
              <w:rPr>
                <w:rFonts w:ascii="Arial" w:cs="Arial" w:eastAsia="Arial" w:hAnsi="Arial"/>
                <w:sz w:val="18"/>
                <w:szCs w:val="18"/>
                <w:color w:val="auto"/>
                <w:vertAlign w:val="superscript"/>
              </w:rPr>
              <w:t>3</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51.58</w:t>
            </w:r>
          </w:p>
        </w:tc>
        <w:tc>
          <w:tcPr>
            <w:tcW w:w="800" w:type="dxa"/>
            <w:vAlign w:val="bottom"/>
          </w:tcPr>
          <w:p>
            <w:pPr>
              <w:jc w:val="right"/>
              <w:spacing w:after="0"/>
              <w:rPr>
                <w:sz w:val="20"/>
                <w:szCs w:val="20"/>
                <w:color w:val="auto"/>
              </w:rPr>
            </w:pPr>
            <w:r>
              <w:rPr>
                <w:rFonts w:ascii="Arial" w:cs="Arial" w:eastAsia="Arial" w:hAnsi="Arial"/>
                <w:sz w:val="14"/>
                <w:szCs w:val="14"/>
                <w:color w:val="auto"/>
              </w:rPr>
              <w:t>689,347</w:t>
            </w: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2,478,384</w:t>
            </w: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October 1, 2011 through October 31, 2011</w:t>
            </w:r>
          </w:p>
        </w:tc>
        <w:tc>
          <w:tcPr>
            <w:tcW w:w="346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rPr>
              <w:t>447,110</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445,526</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2,032,858</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3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1,150,743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1,148,932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On July 21, 2009, the Board of Directors authorized the repurchase of 5,000,000 shares of our common stock in open-market or in privately negotiated transactions. This</w:t>
      </w: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1000" w:type="dxa"/>
            <w:vAlign w:val="bottom"/>
          </w:tcPr>
          <w:p>
            <w:pPr>
              <w:ind w:left="240"/>
              <w:spacing w:after="0"/>
              <w:rPr>
                <w:sz w:val="20"/>
                <w:szCs w:val="20"/>
                <w:color w:val="auto"/>
              </w:rPr>
            </w:pPr>
            <w:r>
              <w:rPr>
                <w:rFonts w:ascii="Arial" w:cs="Arial" w:eastAsia="Arial" w:hAnsi="Arial"/>
                <w:sz w:val="14"/>
                <w:szCs w:val="14"/>
                <w:color w:val="auto"/>
              </w:rPr>
              <w:t>program has no expiration date but may be terminated by the Board at any time. We purchased an aggregate of 181,790 shares during the period indicated above under</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000" w:type="dxa"/>
            <w:vAlign w:val="bottom"/>
          </w:tcPr>
          <w:p>
            <w:pPr>
              <w:ind w:left="240"/>
              <w:spacing w:after="0"/>
              <w:rPr>
                <w:sz w:val="20"/>
                <w:szCs w:val="20"/>
                <w:color w:val="auto"/>
              </w:rPr>
            </w:pPr>
            <w:r>
              <w:rPr>
                <w:rFonts w:ascii="Arial" w:cs="Arial" w:eastAsia="Arial" w:hAnsi="Arial"/>
                <w:sz w:val="14"/>
                <w:szCs w:val="14"/>
                <w:color w:val="auto"/>
              </w:rPr>
              <w:t>this program. There are no shares remaining for repurchase under this program.</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00" w:type="dxa"/>
            <w:vAlign w:val="bottom"/>
            <w:vMerge w:val="restart"/>
          </w:tcPr>
          <w:p>
            <w:pPr>
              <w:ind w:left="240"/>
              <w:spacing w:after="0"/>
              <w:rPr>
                <w:sz w:val="20"/>
                <w:szCs w:val="20"/>
                <w:color w:val="auto"/>
              </w:rPr>
            </w:pPr>
            <w:r>
              <w:rPr>
                <w:rFonts w:ascii="Arial" w:cs="Arial" w:eastAsia="Arial" w:hAnsi="Arial"/>
                <w:sz w:val="14"/>
                <w:szCs w:val="14"/>
                <w:color w:val="auto"/>
              </w:rPr>
              <w:t>On December 1, 2010, the Board of Directors authorized the repurchase of 3,000,000 shares of our common stock in open-market or in privately negotiated transactions.</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00" w:type="dxa"/>
            <w:vAlign w:val="bottom"/>
          </w:tcPr>
          <w:p>
            <w:pPr>
              <w:ind w:left="240"/>
              <w:spacing w:after="0"/>
              <w:rPr>
                <w:sz w:val="20"/>
                <w:szCs w:val="20"/>
                <w:color w:val="auto"/>
              </w:rPr>
            </w:pPr>
            <w:r>
              <w:rPr>
                <w:rFonts w:ascii="Arial" w:cs="Arial" w:eastAsia="Arial" w:hAnsi="Arial"/>
                <w:sz w:val="14"/>
                <w:szCs w:val="14"/>
                <w:color w:val="auto"/>
              </w:rPr>
              <w:t>This program has no expiration date but may be terminated by the Board at any time. We purchased an aggregate of 967,142 shares during the period indicated above</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1000" w:type="dxa"/>
            <w:vAlign w:val="bottom"/>
          </w:tcPr>
          <w:p>
            <w:pPr>
              <w:ind w:left="240"/>
              <w:spacing w:after="0" w:line="131" w:lineRule="exact"/>
              <w:rPr>
                <w:sz w:val="20"/>
                <w:szCs w:val="20"/>
                <w:color w:val="auto"/>
              </w:rPr>
            </w:pPr>
            <w:r>
              <w:rPr>
                <w:rFonts w:ascii="Arial" w:cs="Arial" w:eastAsia="Arial" w:hAnsi="Arial"/>
                <w:sz w:val="14"/>
                <w:szCs w:val="14"/>
                <w:color w:val="auto"/>
              </w:rPr>
              <w:t>under this program.</w:t>
            </w:r>
          </w:p>
        </w:tc>
        <w:tc>
          <w:tcPr>
            <w:tcW w:w="0" w:type="dxa"/>
            <w:vAlign w:val="bottom"/>
          </w:tcPr>
          <w:p>
            <w:pPr>
              <w:spacing w:after="0"/>
              <w:rPr>
                <w:sz w:val="1"/>
                <w:szCs w:val="1"/>
                <w:color w:val="auto"/>
              </w:rPr>
            </w:pPr>
          </w:p>
        </w:tc>
      </w:tr>
      <w:tr>
        <w:trPr>
          <w:trHeight w:val="153"/>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3</w:t>
            </w:r>
          </w:p>
        </w:tc>
        <w:tc>
          <w:tcPr>
            <w:tcW w:w="11000" w:type="dxa"/>
            <w:vAlign w:val="bottom"/>
          </w:tcPr>
          <w:p>
            <w:pPr>
              <w:ind w:left="240"/>
              <w:spacing w:after="0" w:line="153" w:lineRule="exact"/>
              <w:rPr>
                <w:sz w:val="20"/>
                <w:szCs w:val="20"/>
                <w:color w:val="auto"/>
              </w:rPr>
            </w:pPr>
            <w:r>
              <w:rPr>
                <w:rFonts w:ascii="Arial" w:cs="Arial" w:eastAsia="Arial" w:hAnsi="Arial"/>
                <w:sz w:val="14"/>
                <w:szCs w:val="14"/>
                <w:color w:val="auto"/>
              </w:rPr>
              <w:t>Includes 227 shares of our common stock surrendered by employees to satisfy minimum tax withholding obligations upon vesting of restricted stock granted under our</w:t>
            </w:r>
          </w:p>
        </w:tc>
        <w:tc>
          <w:tcPr>
            <w:tcW w:w="0" w:type="dxa"/>
            <w:vAlign w:val="bottom"/>
          </w:tcPr>
          <w:p>
            <w:pPr>
              <w:spacing w:after="0"/>
              <w:rPr>
                <w:sz w:val="1"/>
                <w:szCs w:val="1"/>
                <w:color w:val="auto"/>
              </w:rPr>
            </w:pPr>
          </w:p>
        </w:tc>
      </w:tr>
    </w:tbl>
    <w:p>
      <w:pPr>
        <w:ind w:left="540"/>
        <w:spacing w:after="0" w:line="209" w:lineRule="auto"/>
        <w:rPr>
          <w:sz w:val="20"/>
          <w:szCs w:val="20"/>
          <w:color w:val="auto"/>
        </w:rPr>
      </w:pPr>
      <w:r>
        <w:rPr>
          <w:rFonts w:ascii="Arial" w:cs="Arial" w:eastAsia="Arial" w:hAnsi="Arial"/>
          <w:sz w:val="14"/>
          <w:szCs w:val="14"/>
          <w:color w:val="auto"/>
        </w:rPr>
        <w:t>stock-based compensation plans. These 227 shares were not repurchased under our repurchase programs, as described in footnotes 1 and 2 above.</w:t>
      </w:r>
    </w:p>
    <w:p>
      <w:pPr>
        <w:spacing w:after="0" w:line="22" w:lineRule="exact"/>
        <w:rPr>
          <w:sz w:val="20"/>
          <w:szCs w:val="20"/>
          <w:color w:val="auto"/>
        </w:rPr>
      </w:pPr>
    </w:p>
    <w:p>
      <w:pPr>
        <w:jc w:val="both"/>
        <w:ind w:left="540" w:right="40" w:hanging="532"/>
        <w:spacing w:after="0" w:line="207" w:lineRule="auto"/>
        <w:tabs>
          <w:tab w:leader="none" w:pos="54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Includes 1,584 units (shares) of our common stock purchased in open-market transactions at an average price of $51.83 per share on behalf of a rabbi trust formed to pay benefit obligations to participants in deferred compensation plans. These 1,584 shares were not repurchased under our repurchase programs, as described in footnotes 1 and 2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21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five-year period from October 31, 2006 through October 31, 2011.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The Toro Company, the S&amp;P 500 Index</w:t>
      </w:r>
    </w:p>
    <w:p>
      <w:pPr>
        <w:jc w:val="center"/>
        <w:spacing w:after="0"/>
        <w:rPr>
          <w:sz w:val="20"/>
          <w:szCs w:val="20"/>
          <w:color w:val="auto"/>
        </w:rPr>
      </w:pPr>
      <w:r>
        <w:rPr>
          <w:rFonts w:ascii="Arial" w:cs="Arial" w:eastAsia="Arial" w:hAnsi="Arial"/>
          <w:sz w:val="18"/>
          <w:szCs w:val="18"/>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132715</wp:posOffset>
            </wp:positionV>
            <wp:extent cx="5694045" cy="26327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404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*$100 invested on 10/31/06 in stock or index, including reinvestment of dividends.</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Fiscal year ending October 31.</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ending October 31</w:t>
            </w:r>
          </w:p>
        </w:tc>
        <w:tc>
          <w:tcPr>
            <w:tcW w:w="14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10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2007</w:t>
            </w:r>
          </w:p>
        </w:tc>
        <w:tc>
          <w:tcPr>
            <w:tcW w:w="9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2008</w:t>
            </w:r>
          </w:p>
        </w:tc>
        <w:tc>
          <w:tcPr>
            <w:tcW w:w="9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10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26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The Toro Company</w:t>
            </w:r>
          </w:p>
        </w:tc>
        <w:tc>
          <w:tcPr>
            <w:tcW w:w="140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$ 100.00</w:t>
            </w:r>
          </w:p>
        </w:tc>
        <w:tc>
          <w:tcPr>
            <w:tcW w:w="106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$ 130.12</w:t>
            </w:r>
          </w:p>
        </w:tc>
        <w:tc>
          <w:tcPr>
            <w:tcW w:w="98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$ 79.74</w:t>
            </w:r>
          </w:p>
        </w:tc>
        <w:tc>
          <w:tcPr>
            <w:tcW w:w="96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$ 89.46</w:t>
            </w:r>
          </w:p>
        </w:tc>
        <w:tc>
          <w:tcPr>
            <w:tcW w:w="104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$ 139.15</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$ 134.33</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100.00</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114.56</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73.21</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80.38</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93.66</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101.24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Peer Group</w:t>
            </w:r>
          </w:p>
        </w:tc>
        <w:tc>
          <w:tcPr>
            <w:tcW w:w="1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100.00</w:t>
            </w:r>
          </w:p>
        </w:tc>
        <w:tc>
          <w:tcPr>
            <w:tcW w:w="1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135.78</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71.56</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96.40</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131.35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142.77</w:t>
            </w:r>
          </w:p>
        </w:tc>
        <w:tc>
          <w:tcPr>
            <w:tcW w:w="16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industry peer group is based on the companies previously included in the Fortune 500 Industrial and Farm Equipment Index, which was discontinued after 2002 and includes: AGCO Corporation, The Alpine Group,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Tecumseh Products Company, Teleflex, Terex Corporation, The Timken Company, and Walter Industries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4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following table presents our selected financial data for each of the fiscal years in the five-year period ended October 31, 2011. The table should be read in conjunction with Item 7, "Management's Discussion and Analysis of Financial Condition and Results of Operations," and Item 8, "Financial Statements and Supplementary Data," of this Annual Report on Form 10-K.</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2010</w:t>
            </w:r>
          </w:p>
        </w:tc>
        <w:tc>
          <w:tcPr>
            <w:tcW w:w="20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2008</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RESULTS:</w:t>
            </w: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1,883,953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1,690,378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w w:val="99"/>
              </w:rPr>
              <w:t>1,523,447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1,878,184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1,876,904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Net sales growth (decline) from prior year</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Gross profit as a percentage of net sales</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33.8%</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2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Selling, general, and administrative expense as a</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percentage of net sales</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Operating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184,487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151,266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115,197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198,409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223,649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117,658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93,237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62,837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119,651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142,436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Basic net earnings per share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3.76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2.83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1.76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Diluted net earnings per share</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3.70</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2.79</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Return on average stockholders' equity</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43.4%</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2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FINANCIAL POSITION:</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870,663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885,622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872,682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932,260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950,837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Average net working capital as a percentage of net</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5" w:lineRule="exact"/>
              <w:rPr>
                <w:sz w:val="20"/>
                <w:szCs w:val="20"/>
                <w:color w:val="auto"/>
              </w:rPr>
            </w:pPr>
            <w:r>
              <w:rPr>
                <w:rFonts w:ascii="Arial" w:cs="Arial" w:eastAsia="Arial" w:hAnsi="Arial"/>
                <w:sz w:val="14"/>
                <w:szCs w:val="14"/>
                <w:b w:val="1"/>
                <w:bCs w:val="1"/>
                <w:color w:val="auto"/>
              </w:rPr>
              <w:t>sales</w:t>
            </w:r>
            <w:r>
              <w:rPr>
                <w:rFonts w:ascii="Arial" w:cs="Arial" w:eastAsia="Arial" w:hAnsi="Arial"/>
                <w:sz w:val="21"/>
                <w:szCs w:val="21"/>
                <w:b w:val="1"/>
                <w:bCs w:val="1"/>
                <w:color w:val="auto"/>
                <w:vertAlign w:val="superscript"/>
              </w:rPr>
              <w:t>1</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Long-term debt, including current portion</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227,156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225,548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228,811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230,791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229,209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266,767</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275,810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315,212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364,675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370,438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Debt-to-capitalization ratio</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46.0%</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45.1%</w:t>
            </w:r>
          </w:p>
        </w:tc>
        <w:tc>
          <w:tcPr>
            <w:tcW w:w="2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Cash provided by operating activities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113,877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193,507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251,470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215,722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183,574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Repurchases of Toro common stock</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129,955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135,777</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115,283</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110,355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182,843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Cash dividends per share of Toro common stock</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0.80</w:t>
            </w:r>
          </w:p>
        </w:tc>
        <w:tc>
          <w:tcPr>
            <w:tcW w:w="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0.72</w:t>
            </w:r>
          </w:p>
        </w:tc>
        <w:tc>
          <w:tcPr>
            <w:tcW w:w="20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0.60</w:t>
            </w:r>
          </w:p>
        </w:tc>
        <w:tc>
          <w:tcPr>
            <w:tcW w:w="1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0.60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STATISTICAL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Market price range –</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High sales price</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68.43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58.50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59.16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200"/>
              <w:spacing w:after="0"/>
              <w:rPr>
                <w:sz w:val="20"/>
                <w:szCs w:val="20"/>
                <w:color w:val="auto"/>
              </w:rPr>
            </w:pPr>
            <w:r>
              <w:rPr>
                <w:rFonts w:ascii="Arial" w:cs="Arial" w:eastAsia="Arial" w:hAnsi="Arial"/>
                <w:sz w:val="14"/>
                <w:szCs w:val="14"/>
                <w:b w:val="1"/>
                <w:bCs w:val="1"/>
                <w:color w:val="auto"/>
              </w:rPr>
              <w:t>Low sales price</w:t>
            </w:r>
          </w:p>
        </w:tc>
        <w:tc>
          <w:tcPr>
            <w:tcW w:w="3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45.05</w:t>
            </w:r>
          </w:p>
        </w:tc>
        <w:tc>
          <w:tcPr>
            <w:tcW w:w="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36.47</w:t>
            </w:r>
          </w:p>
        </w:tc>
        <w:tc>
          <w:tcPr>
            <w:tcW w:w="20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27.16</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Average number of employees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4,797</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4,607</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4,612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5,133</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Average net working capital is defined as monthly average accounts receivable plus inventory less trade payables.</w:t>
      </w:r>
    </w:p>
    <w:p>
      <w:pPr>
        <w:spacing w:after="0" w:line="169" w:lineRule="exact"/>
        <w:rPr>
          <w:sz w:val="20"/>
          <w:szCs w:val="20"/>
          <w:color w:val="auto"/>
        </w:rPr>
      </w:pPr>
    </w:p>
    <w:p>
      <w:pPr>
        <w:ind w:right="760"/>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8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readers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design, manufacture, and market professional turf maintenance equipment and services, turf irrigation systems, agricultural micro-irrigation systems, landscaping equipment and lighting, and residential yard and snow removal products worldwide.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have historically been, and we expect they will continue to be, attributable to new and enhanced products. We define new products as those introduced in the current and previous two fiscal years.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5"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Summary of Fiscal 2011 Results</w:t>
      </w:r>
    </w:p>
    <w:p>
      <w:pPr>
        <w:spacing w:after="0" w:line="234"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Fiscal 2011 was a strong year with both double digit net sales and earnings growth. Our fiscal 2011 results included the following items of significance:</w:t>
      </w:r>
    </w:p>
    <w:p>
      <w:pPr>
        <w:spacing w:after="0" w:line="209" w:lineRule="exact"/>
        <w:rPr>
          <w:sz w:val="20"/>
          <w:szCs w:val="20"/>
          <w:color w:val="auto"/>
        </w:rPr>
      </w:pPr>
    </w:p>
    <w:p>
      <w:pPr>
        <w:ind w:left="540" w:right="40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for fiscal 2011 increased by 11.5 percent compared to fiscal 2010 to a record of $1,884.0 million. This increase was primarily attributable to increased demand for our products across all of our businesses largely resulting from the successful introduction of new products that were well received by customers, improved market conditions in our professional segment, and incremental sales of $19 million from acquisitions.</w:t>
      </w:r>
    </w:p>
    <w:p>
      <w:pPr>
        <w:spacing w:after="0" w:line="6" w:lineRule="exact"/>
        <w:rPr>
          <w:rFonts w:ascii="Arial" w:cs="Arial" w:eastAsia="Arial" w:hAnsi="Arial"/>
          <w:sz w:val="18"/>
          <w:szCs w:val="18"/>
          <w:color w:val="auto"/>
        </w:rPr>
      </w:pPr>
    </w:p>
    <w:p>
      <w:pPr>
        <w:ind w:left="540" w:right="10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segment net sales, which represented 66 percent of our total consolidated net sales in fiscal 2011, grew 14.2 percent in fiscal 2011 compared to fiscal 2010. Shipments increased due to higher demand for most of our professional segment products largely resulting from the successful introduction of new products, strong demand in the worldwide golf market, continued growth in the micro-irrigation market, particularly in Eastern Europe, and a rebound in the rental market.</w:t>
      </w:r>
    </w:p>
    <w:p>
      <w:pPr>
        <w:spacing w:after="0" w:line="3" w:lineRule="exact"/>
        <w:rPr>
          <w:rFonts w:ascii="Arial" w:cs="Arial" w:eastAsia="Arial" w:hAnsi="Arial"/>
          <w:sz w:val="18"/>
          <w:szCs w:val="18"/>
          <w:color w:val="auto"/>
        </w:rPr>
      </w:pPr>
    </w:p>
    <w:p>
      <w:pPr>
        <w:ind w:left="540" w:right="14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residential segment net sales were up by 5.8 percent in fiscal 2011 compared to fiscal 2010 primarily from strong demand for our new line of zero-turn radius riding mowers. Shipments of snow thrower products also increased as our channel partners purchased products to fill depleted field inventory levels for the 2011-2012 snow season following strong sales from heavy snow falls during the 2010-2011 snow season, as well as additional product placement. However, sales of walk power mowers and electric blowers were down due mainly to unfavorable weather conditions.</w:t>
      </w:r>
    </w:p>
    <w:p>
      <w:pPr>
        <w:spacing w:after="0" w:line="3" w:lineRule="exact"/>
        <w:rPr>
          <w:rFonts w:ascii="Arial" w:cs="Arial" w:eastAsia="Arial" w:hAnsi="Arial"/>
          <w:sz w:val="18"/>
          <w:szCs w:val="18"/>
          <w:color w:val="auto"/>
        </w:rPr>
      </w:pPr>
    </w:p>
    <w:p>
      <w:pPr>
        <w:ind w:left="540" w:right="20" w:hanging="532"/>
        <w:spacing w:after="0" w:line="236"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net sales for fiscal 2011 were up 13.1 percent compared to fiscal 2010, due also to increased demand for our products largely resulting from the successful introduction of new products, new golf development projects in Asia, and additional manufacturing capacity that increased production and enabled higher sales of our micro-irrigation products for agricultural markets to meet growing worldwide demand. To meet increasing worldwide demand for micro-irrigation products for the agricultural market, particularly in Eastern Europe, we completed the construction of our new manufacturing facility in Romania in the fourth quarter of fiscal 2011. Additionally, approximately $21 million of our net sales growth was the result of the weakening of the U.S. dollar compared to other currencies in which we transact business. International net sales comprised 32.3 percent of our total consolidated net sales in fiscal 2011 compared to 31.8 percent in fiscal 2010 and 32.0 percent in fiscal 2009.</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Fiscal 2011 net earnings of $117.7 million rose 26.2 percent compared to fiscal 2010, and diluted net earnings per share increased</w:t>
      </w:r>
    </w:p>
    <w:p>
      <w:pPr>
        <w:ind w:left="540" w:right="140"/>
        <w:spacing w:after="0" w:line="234" w:lineRule="auto"/>
        <w:rPr>
          <w:rFonts w:ascii="Arial" w:cs="Arial" w:eastAsia="Arial" w:hAnsi="Arial"/>
          <w:sz w:val="18"/>
          <w:szCs w:val="18"/>
          <w:color w:val="auto"/>
        </w:rPr>
      </w:pPr>
      <w:r>
        <w:rPr>
          <w:rFonts w:ascii="Arial" w:cs="Arial" w:eastAsia="Arial" w:hAnsi="Arial"/>
          <w:sz w:val="18"/>
          <w:szCs w:val="18"/>
          <w:color w:val="auto"/>
        </w:rPr>
        <w:t>32.6 percent in fiscal 2011 to $3.70 compared to $2.79 in fiscal 2010. Our net earnings were hampered by a pre-tax charge of $4.7 million due to costs associated with a rework for a non-safety quality issue that affected a large number of our residential segment walk power mowers.</w:t>
      </w:r>
    </w:p>
    <w:p>
      <w:pPr>
        <w:spacing w:after="0" w:line="2"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Gross margin was 33.8 percent in fiscal 2011, a decline of 30 basis points from 34.1 percent in fiscal 2010. Higher average commodity prices and increased freight expense from higher fuel prices hindered our gross margin rate in fiscal 2011 as compared to fiscal 2010.</w:t>
      </w:r>
    </w:p>
    <w:p>
      <w:pPr>
        <w:ind w:left="540" w:right="80" w:hanging="532"/>
        <w:spacing w:after="0" w:line="266"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Although selling, general, and administrative ("SG&amp;A") expense was up 6.4 percent in fiscal 2011 compared to fiscal 2010, SG&amp;A expense as a percentage of net sales in fiscal 2011 was down to 24.0 percent compared to 25.1 percent in fiscal 2010, reflecting further leveraging of our SG&amp;A costs over higher sales volumes plus lower product liability expense. However, marketing expenses increased in fiscal 2011 compared to fiscal 2010 due to higher sales volumes and incentive programs designed to promote sales growth.</w:t>
      </w:r>
    </w:p>
    <w:p>
      <w:pPr>
        <w:spacing w:after="0" w:line="8" w:lineRule="exact"/>
        <w:rPr>
          <w:rFonts w:ascii="Arial" w:cs="Arial" w:eastAsia="Arial" w:hAnsi="Arial"/>
          <w:sz w:val="16"/>
          <w:szCs w:val="16"/>
          <w:color w:val="auto"/>
        </w:rPr>
      </w:pPr>
    </w:p>
    <w:p>
      <w:pPr>
        <w:ind w:left="540" w:right="60" w:hanging="532"/>
        <w:spacing w:after="0" w:line="26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Receivables increased 3.7 percent as of the end of fiscal 2011 due to higher sales volumes compared to fiscal 2010. Our inventory levels were also up by 14.7 percent as of the end of fiscal 2011 compared to fiscal 2010 as we pre-bought engines for production planning and pricing efficiencies. Average net working capital (accounts receivable plus inventory less trade payables) as a percent of net sales as of the end of fiscal 2011 was 15.0 percent compared to 13.9 percent as of the end of fiscal 2010. This increase was due mainly to higher average inventory levels in fiscal 2011 compared to fiscal 2010 as we prebuilt inventory, mainly for residential turf products, in anticipation of higher demand, which did not occur as expected due primarily to unfavorable weather conditions. Our domestic field inventory levels were also slightly higher as of the end of fiscal 2011 compared to the end of fiscal 2010 due in part to anticipated increase in retail demand.</w:t>
      </w:r>
    </w:p>
    <w:p>
      <w:pPr>
        <w:spacing w:after="0" w:line="1" w:lineRule="exact"/>
        <w:rPr>
          <w:rFonts w:ascii="Arial" w:cs="Arial" w:eastAsia="Arial" w:hAnsi="Arial"/>
          <w:sz w:val="16"/>
          <w:szCs w:val="16"/>
          <w:color w:val="auto"/>
        </w:rPr>
      </w:pPr>
    </w:p>
    <w:p>
      <w:pPr>
        <w:ind w:left="540" w:right="20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and increased our fiscal 2011 quarterly cash dividend by 11 percent to $0.20 per share compared to our quarterly cash dividend in fiscal 2010 of $0.18 per share.</w:t>
      </w:r>
    </w:p>
    <w:p>
      <w:pPr>
        <w:spacing w:after="0" w:line="1" w:lineRule="exact"/>
        <w:rPr>
          <w:rFonts w:ascii="Arial" w:cs="Arial" w:eastAsia="Arial" w:hAnsi="Arial"/>
          <w:sz w:val="18"/>
          <w:szCs w:val="18"/>
          <w:color w:val="auto"/>
        </w:rPr>
      </w:pPr>
    </w:p>
    <w:p>
      <w:pPr>
        <w:ind w:left="540" w:right="20" w:hanging="532"/>
        <w:spacing w:after="0" w:line="23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stock repurchase program continued to return a significant amount of cash to our shareholders in the amount of $130 million during fiscal 2011, which continued to reduce our number of shares outstanding. This reduction resulted in a benefit to our diluted net earnings per share of approximately $0.18 per share in fiscal 2011 compared to fiscal 2010.</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2014</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fiscal 2011, we launched our new enterprise-wide multi-year initiative, "Destination 2014," that will take us to our centennial in 2014 and into our second century. This four-year initiative is intended to focus our efforts on driving our legacy of excellence through building caring relationships and engaging in innovation. As this is a multi-year initiative, we will strive to achieve our Destination 2014 goals by pursuing a progression of annual milestones. Each fiscal year we will set forth associated organic revenue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23" w:right="279" w:bottom="1440" w:gutter="0" w:footer="0" w:header="0"/>
        </w:sectPr>
      </w:pPr>
    </w:p>
    <w:bookmarkStart w:id="26" w:name="page27"/>
    <w:bookmarkEnd w:id="26"/>
    <w:p>
      <w:pPr>
        <w:ind w:right="240"/>
        <w:spacing w:after="0" w:line="239" w:lineRule="auto"/>
        <w:rPr>
          <w:sz w:val="20"/>
          <w:szCs w:val="20"/>
          <w:color w:val="auto"/>
        </w:rPr>
      </w:pPr>
      <w:r>
        <w:rPr>
          <w:rFonts w:ascii="Arial" w:cs="Arial" w:eastAsia="Arial" w:hAnsi="Arial"/>
          <w:sz w:val="18"/>
          <w:szCs w:val="18"/>
          <w:color w:val="auto"/>
        </w:rPr>
        <w:t>growth, operating earnings, and employee engagement goals, such as continuous improvement projects with cross-functional collaboration, and we will also strive to continue to focus on the progress we made through our previous initiatives, such as working capital.</w:t>
      </w:r>
    </w:p>
    <w:p>
      <w:pPr>
        <w:spacing w:after="0" w:line="189" w:lineRule="exact"/>
        <w:rPr>
          <w:sz w:val="20"/>
          <w:szCs w:val="20"/>
          <w:color w:val="auto"/>
        </w:rPr>
      </w:pPr>
    </w:p>
    <w:p>
      <w:pPr>
        <w:ind w:right="400"/>
        <w:spacing w:after="0" w:line="244" w:lineRule="auto"/>
        <w:rPr>
          <w:sz w:val="20"/>
          <w:szCs w:val="20"/>
          <w:color w:val="auto"/>
        </w:rPr>
      </w:pPr>
      <w:r>
        <w:rPr>
          <w:rFonts w:ascii="Arial" w:cs="Arial" w:eastAsia="Arial" w:hAnsi="Arial"/>
          <w:sz w:val="18"/>
          <w:szCs w:val="18"/>
          <w:b w:val="1"/>
          <w:bCs w:val="1"/>
          <w:i w:val="1"/>
          <w:iCs w:val="1"/>
          <w:color w:val="auto"/>
        </w:rPr>
        <w:t xml:space="preserve">Organic Revenue Growth. </w:t>
      </w:r>
      <w:r>
        <w:rPr>
          <w:rFonts w:ascii="Arial" w:cs="Arial" w:eastAsia="Arial" w:hAnsi="Arial"/>
          <w:sz w:val="18"/>
          <w:szCs w:val="18"/>
          <w:color w:val="auto"/>
        </w:rPr>
        <w:t>We intend to pursue strategic growth of our existing businesses and product categories with an annual organic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growth goal. We will strive to achieve $100 million in organic revenue growth in each of fiscal 2011, 2012, 2013, and 2014. We define organic revenue growth as the increase in net sales, less net sales from acquisitions that occurred in the current fiscal year. We exceeded our fiscal 2011 organic revenue growth goal of $100 million for fiscal 2011.</w:t>
      </w:r>
    </w:p>
    <w:p>
      <w:pPr>
        <w:spacing w:after="0" w:line="185"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 xml:space="preserve">Operating Earnings Growth. </w:t>
      </w:r>
      <w:r>
        <w:rPr>
          <w:rFonts w:ascii="Arial" w:cs="Arial" w:eastAsia="Arial" w:hAnsi="Arial"/>
          <w:sz w:val="18"/>
          <w:szCs w:val="18"/>
          <w:color w:val="auto"/>
        </w:rPr>
        <w:t>As part of our dual strategy growth goals, we have also set a bold earnings goal to raise operating earnings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of net sales to 12 percent by the end of fiscal 2014. In fiscal 2011, we made progress towards this goal by achieving operating earnings as a percentage of net sales of 9.8 percent.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Fiscal 2012</w:t>
      </w:r>
    </w:p>
    <w:p>
      <w:pPr>
        <w:spacing w:after="0" w:line="23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While our financial results for fiscal 2011 were positive, uncertainty in worldwide economies has increased. Despite this uncertainty, we are prepared to operate effectively in this slow growth environment and are encouraged by our investments. We have taken, and continue to take, proactive measures that we expect will enable us to manage through this current environment and position us to achieve strong financial results and gain market share supported in part by a high level of new products to drive demand. We believe the key drivers for our fiscal 2012 financial performance will include, among many others, the following main factors:</w:t>
      </w:r>
    </w:p>
    <w:p>
      <w:pPr>
        <w:spacing w:after="0" w:line="211" w:lineRule="exact"/>
        <w:rPr>
          <w:sz w:val="20"/>
          <w:szCs w:val="20"/>
          <w:color w:val="auto"/>
        </w:rPr>
      </w:pPr>
    </w:p>
    <w:p>
      <w:pPr>
        <w:ind w:left="540" w:hanging="532"/>
        <w:spacing w:after="0" w:line="236"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international markets will remain a focus for us to grow our revenues. We plan to continue investing in new products designed specifically for international markets and in infrastructure around the world, connecting us more closely to international customers and increasing our global presence. For example, during fiscal 2011, we completed the construction of a new manufacturing facility in Romania to manufacture micro-irrigation products for the agricultural market as we anticipate future market demand for our water conserving products to increase in and around that geographic region. However, we expect economic uncertainty and slowing growth in key international markets may hamper our net sales in fiscal 2012. A long-term goal is for international sales to comprise a larger percentage of our total consolidated net sales.</w:t>
      </w:r>
    </w:p>
    <w:p>
      <w:pPr>
        <w:spacing w:after="0" w:line="6" w:lineRule="exact"/>
        <w:rPr>
          <w:rFonts w:ascii="Arial" w:cs="Arial" w:eastAsia="Arial" w:hAnsi="Arial"/>
          <w:sz w:val="18"/>
          <w:szCs w:val="18"/>
          <w:color w:val="auto"/>
        </w:rPr>
      </w:pPr>
    </w:p>
    <w:p>
      <w:pPr>
        <w:ind w:left="540" w:right="20" w:hanging="532"/>
        <w:spacing w:after="0" w:line="266"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anticipate fiscal 2012 net sales in our professional segment to increase compared to fiscal 2011. As we continue to prepare for the phase-in of additional Tier 4 emission requirements that will affect our products having diesel engines with greater than 25 horsepower, but less than 75 horsepower, that are manufactured after January 1, 2013 and sold in the U.S. and Canada, we will also continue to incur significant research, development, engineering, and other costs to comply with these new regulations. Ultimately, we expect that we will implement price increases, some of which may be significant, for our products subject to these regulations. Accordingly, we are anticipating that some customers may purchase products impacted by these requirements in fiscal 2012, prior to price increases going into effect for products manufactured after January 1, 2013, which may result in higher sales volumes of our diesel engine products in fiscal 2012 than we have experienced in the past or expect to experience in the future. We also anticipate growth in the irrigation market to continue in fiscal 2012 for products that help conserve the use of water, namely for the commercial, residential, and agricultural markets, as the need to become more efficient in water use is expected to drive demand for our products. We plan to continue to invest in new irrigation products, manufacturing capacity, and infrastructure globally as products used for water conservation are expected to be a long-term focus for us. Our long-term goal is for water-related products to comprise a larger percentage of our total consolidated net sales.</w:t>
      </w:r>
    </w:p>
    <w:p>
      <w:pPr>
        <w:spacing w:after="0" w:line="187" w:lineRule="exact"/>
        <w:rPr>
          <w:rFonts w:ascii="Arial" w:cs="Arial" w:eastAsia="Arial" w:hAnsi="Arial"/>
          <w:sz w:val="16"/>
          <w:szCs w:val="16"/>
          <w:color w:val="auto"/>
        </w:rPr>
      </w:pPr>
    </w:p>
    <w:p>
      <w:pPr>
        <w:ind w:left="540" w:right="2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we anticipate the economic environment to be sluggish in fiscal 2012 for residential consumers, we expect our residential segment net sales to slightly increase compared to fiscal 2011. We anticipate that our new walk power mower product offering will be well received by customers in fiscal 2012 and expect continued growth in demand for our new line of zero-turn radius riding mowers we introduced in fiscal 2011.</w:t>
      </w:r>
    </w:p>
    <w:p>
      <w:pPr>
        <w:spacing w:after="0" w:line="3" w:lineRule="exact"/>
        <w:rPr>
          <w:rFonts w:ascii="Arial" w:cs="Arial" w:eastAsia="Arial" w:hAnsi="Arial"/>
          <w:sz w:val="18"/>
          <w:szCs w:val="18"/>
          <w:color w:val="auto"/>
        </w:rPr>
      </w:pPr>
    </w:p>
    <w:p>
      <w:pPr>
        <w:ind w:left="540" w:right="120" w:hanging="532"/>
        <w:spacing w:after="0" w:line="236"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fiscal 2012, we anticipate our gross margin rate to increase compared to fiscal 2011. We anticipate average prices for commodities to be higher in fiscal 2012 compared to the average prices paid for commodities in fiscal 2011. We plan to mitigate anticipated higher commodity costs by continuing to aggressively pursue cost reduction efforts and increasing prices on certain products. In fiscal 2011, we experienced some quality issues that hampered our gross margin and reminded us of the impact these issues have on both our customers and our financial results. Therefore, in fiscal 2012 we intend to increase our focus on quality while realizing greater efficiencies in our processes.</w:t>
      </w:r>
    </w:p>
    <w:p>
      <w:pPr>
        <w:spacing w:after="0" w:line="7" w:lineRule="exact"/>
        <w:rPr>
          <w:rFonts w:ascii="Arial" w:cs="Arial" w:eastAsia="Arial" w:hAnsi="Arial"/>
          <w:sz w:val="18"/>
          <w:szCs w:val="18"/>
          <w:color w:val="auto"/>
        </w:rPr>
      </w:pPr>
    </w:p>
    <w:p>
      <w:pPr>
        <w:jc w:val="both"/>
        <w:ind w:left="540" w:right="2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net earnings and diluted net earnings per share to be up in fiscal 2012 compared to fiscal 2011, driven mainly by our expectation of sales growth and an improvement in our gross margin rate, as well as a reduction in our diluted shares outstanding due to repurchases of our common stock.</w:t>
      </w:r>
    </w:p>
    <w:p>
      <w:pPr>
        <w:spacing w:after="0" w:line="2" w:lineRule="exact"/>
        <w:rPr>
          <w:rFonts w:ascii="Arial" w:cs="Arial" w:eastAsia="Arial" w:hAnsi="Arial"/>
          <w:sz w:val="18"/>
          <w:szCs w:val="18"/>
          <w:color w:val="auto"/>
        </w:rPr>
      </w:pPr>
    </w:p>
    <w:p>
      <w:pPr>
        <w:ind w:left="540" w:right="20" w:hanging="532"/>
        <w:spacing w:after="0" w:line="236"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fiscal 2012, we plan to continue our emphasis on efficient asset utilization. In fiscal 2011, our average inventory levels were higher than expected as we prebuilt inventory, mainly for residential turf products, in anticipation of higher demand, which did not occur as expected due primarily to unfavorable weather conditions. In fiscal 2012, we anticipate average inventory levels to be lower as compared to average inventory levels in fiscal 2011 due in part to increased focus on asset management to limit additional buildup of inventory. We anticipate our average net working capital as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ind w:right="380"/>
        <w:spacing w:after="0" w:line="238" w:lineRule="auto"/>
        <w:rPr>
          <w:sz w:val="20"/>
          <w:szCs w:val="20"/>
          <w:color w:val="auto"/>
        </w:rPr>
      </w:pPr>
      <w:r>
        <w:rPr>
          <w:rFonts w:ascii="Arial" w:cs="Arial" w:eastAsia="Arial" w:hAnsi="Arial"/>
          <w:sz w:val="18"/>
          <w:szCs w:val="18"/>
          <w:color w:val="auto"/>
        </w:rPr>
        <w:t>percentage of net sales in fiscal 2012 to decrease compared to fiscal 2011. Consistent with our focus on asset management, we believe our domestic field inventory levels are currently appropriate and we anticipate field inventory levels to be approximately equivalent as of the end of fiscal 2012 compared to the field inventory levels as of the end of fiscal 2011.</w:t>
      </w:r>
    </w:p>
    <w:p>
      <w:pPr>
        <w:spacing w:after="0" w:line="208" w:lineRule="exact"/>
        <w:rPr>
          <w:sz w:val="20"/>
          <w:szCs w:val="20"/>
          <w:color w:val="auto"/>
        </w:rPr>
      </w:pPr>
    </w:p>
    <w:p>
      <w:pPr>
        <w:jc w:val="both"/>
        <w:ind w:right="80" w:firstLine="146"/>
        <w:spacing w:after="0" w:line="238" w:lineRule="auto"/>
        <w:rPr>
          <w:sz w:val="20"/>
          <w:szCs w:val="20"/>
          <w:color w:val="auto"/>
        </w:rPr>
      </w:pPr>
      <w:r>
        <w:rPr>
          <w:rFonts w:ascii="Arial" w:cs="Arial" w:eastAsia="Arial" w:hAnsi="Arial"/>
          <w:sz w:val="18"/>
          <w:szCs w:val="18"/>
          <w:color w:val="auto"/>
        </w:rPr>
        <w:t>We will continue to keep a cautionary eye on the global economic environment, retail demand, field inventory levels, commodity prices, weather conditions, competitive actions, expenses, and other factors identified in Part I, Item 1A, "Risk Factors" of this report, which could cause our actual results to differ from our anticipated outlook.</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Fiscal 2011 net earnings were $117.7 million compared to $93.2 million in fiscal 2010, an increase of 26.2 percent. Fiscal 2011 diluted net earnings per share were $3.70, an increase of 32.6 percent from $2.79 per share in fiscal 2010. The primary factors contributing to the net earnings improvement were sales growth in all of our businesses, leveraging of fixed SG&amp;A costs over higher sales volumes, and a lower effective tax rate, somewhat offset by higher commodity and freight expense that negatively impacted our gross margin rate, as well as a pre-tax charge of</w:t>
      </w:r>
    </w:p>
    <w:p>
      <w:pPr>
        <w:spacing w:after="0" w:line="1"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$4.7 million due to costs associated with a rework for a non-safety quality issue that affected a large number of our residential segment walk power mowers. In addition, our net earnings per diluted share were benefited by approximately $0.18 per share in fiscal 2011 compared to fiscal 2010 as a result of reduced shares outstanding from repurchases of our common stock.</w:t>
      </w:r>
    </w:p>
    <w:p>
      <w:pPr>
        <w:spacing w:after="0" w:line="208" w:lineRule="exact"/>
        <w:rPr>
          <w:sz w:val="20"/>
          <w:szCs w:val="20"/>
          <w:color w:val="auto"/>
        </w:rPr>
      </w:pPr>
    </w:p>
    <w:p>
      <w:pPr>
        <w:ind w:right="140" w:firstLine="146"/>
        <w:spacing w:after="0" w:line="236" w:lineRule="auto"/>
        <w:rPr>
          <w:sz w:val="20"/>
          <w:szCs w:val="20"/>
          <w:color w:val="auto"/>
        </w:rPr>
      </w:pPr>
      <w:r>
        <w:rPr>
          <w:rFonts w:ascii="Arial" w:cs="Arial" w:eastAsia="Arial" w:hAnsi="Arial"/>
          <w:sz w:val="18"/>
          <w:szCs w:val="18"/>
          <w:color w:val="auto"/>
        </w:rPr>
        <w:t>Fiscal 2010 net earnings were $93.2 million compared to $62.8 million in fiscal 2009, an increase of 48.4 percent. Fiscal 2010 diluted net earnings per share were $2.79, an increase of 61.3 percent from $1.73 per share in fiscal 2009. The primary factors contributing to the net earnings improvement were higher sales volumes, an increase in gross margin, leveraging of fixed SG&amp;A costs, and an increase in other income. In addition, our net earnings per diluted share were benefited by approximately $0.22 per share in fiscal 2010 compared to fiscal 2009 as a result of reduced shares outstanding from repurchases of our common stock.</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9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13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2010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2900" w:type="dxa"/>
            <w:vAlign w:val="bottom"/>
            <w:shd w:val="clear" w:color="auto" w:fill="CCEEFF"/>
          </w:tcPr>
          <w:p>
            <w:pPr>
              <w:jc w:val="right"/>
              <w:ind w:right="348"/>
              <w:spacing w:after="0" w:line="155" w:lineRule="exact"/>
              <w:rPr>
                <w:sz w:val="20"/>
                <w:szCs w:val="20"/>
                <w:color w:val="auto"/>
              </w:rPr>
            </w:pPr>
            <w:r>
              <w:rPr>
                <w:rFonts w:ascii="Arial" w:cs="Arial" w:eastAsia="Arial" w:hAnsi="Arial"/>
                <w:sz w:val="14"/>
                <w:szCs w:val="14"/>
                <w:b w:val="1"/>
                <w:bCs w:val="1"/>
                <w:color w:val="auto"/>
              </w:rPr>
              <w:t>100.0%</w:t>
            </w:r>
          </w:p>
        </w:tc>
        <w:tc>
          <w:tcPr>
            <w:tcW w:w="1340" w:type="dxa"/>
            <w:vAlign w:val="bottom"/>
            <w:shd w:val="clear" w:color="auto" w:fill="CCEEFF"/>
          </w:tcPr>
          <w:p>
            <w:pPr>
              <w:jc w:val="right"/>
              <w:ind w:right="368"/>
              <w:spacing w:after="0" w:line="155" w:lineRule="exact"/>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2900" w:type="dxa"/>
            <w:vAlign w:val="bottom"/>
          </w:tcPr>
          <w:p>
            <w:pPr>
              <w:jc w:val="right"/>
              <w:ind w:right="428"/>
              <w:spacing w:after="0"/>
              <w:rPr>
                <w:sz w:val="20"/>
                <w:szCs w:val="20"/>
                <w:color w:val="auto"/>
              </w:rPr>
            </w:pPr>
            <w:r>
              <w:rPr>
                <w:rFonts w:ascii="Arial" w:cs="Arial" w:eastAsia="Arial" w:hAnsi="Arial"/>
                <w:sz w:val="14"/>
                <w:szCs w:val="14"/>
                <w:b w:val="1"/>
                <w:bCs w:val="1"/>
                <w:color w:val="auto"/>
              </w:rPr>
              <w:t>(66.2)</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(65.9)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Gross margin</w:t>
            </w:r>
          </w:p>
        </w:tc>
        <w:tc>
          <w:tcPr>
            <w:tcW w:w="2900" w:type="dxa"/>
            <w:vAlign w:val="bottom"/>
            <w:tcBorders>
              <w:top w:val="single" w:sz="8" w:color="auto"/>
            </w:tcBorders>
            <w:shd w:val="clear" w:color="auto" w:fill="CCEEFF"/>
          </w:tcPr>
          <w:p>
            <w:pPr>
              <w:jc w:val="right"/>
              <w:ind w:right="488"/>
              <w:spacing w:after="0" w:line="155" w:lineRule="exact"/>
              <w:rPr>
                <w:sz w:val="20"/>
                <w:szCs w:val="20"/>
                <w:color w:val="auto"/>
              </w:rPr>
            </w:pPr>
            <w:r>
              <w:rPr>
                <w:rFonts w:ascii="Arial" w:cs="Arial" w:eastAsia="Arial" w:hAnsi="Arial"/>
                <w:sz w:val="14"/>
                <w:szCs w:val="14"/>
                <w:b w:val="1"/>
                <w:bCs w:val="1"/>
                <w:color w:val="auto"/>
              </w:rPr>
              <w:t>33.8</w:t>
            </w:r>
          </w:p>
        </w:tc>
        <w:tc>
          <w:tcPr>
            <w:tcW w:w="1340" w:type="dxa"/>
            <w:vAlign w:val="bottom"/>
            <w:tcBorders>
              <w:top w:val="single" w:sz="8" w:color="auto"/>
            </w:tcBorders>
            <w:shd w:val="clear" w:color="auto" w:fill="CCEEFF"/>
          </w:tcPr>
          <w:p>
            <w:pPr>
              <w:jc w:val="right"/>
              <w:ind w:right="488"/>
              <w:spacing w:after="0" w:line="155" w:lineRule="exact"/>
              <w:rPr>
                <w:sz w:val="20"/>
                <w:szCs w:val="20"/>
                <w:color w:val="auto"/>
              </w:rPr>
            </w:pPr>
            <w:r>
              <w:rPr>
                <w:rFonts w:ascii="Arial" w:cs="Arial" w:eastAsia="Arial" w:hAnsi="Arial"/>
                <w:sz w:val="14"/>
                <w:szCs w:val="14"/>
                <w:color w:val="auto"/>
              </w:rPr>
              <w:t>34.1</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SG&amp;A expense</w:t>
            </w:r>
          </w:p>
        </w:tc>
        <w:tc>
          <w:tcPr>
            <w:tcW w:w="2900" w:type="dxa"/>
            <w:vAlign w:val="bottom"/>
          </w:tcPr>
          <w:p>
            <w:pPr>
              <w:jc w:val="right"/>
              <w:ind w:right="428"/>
              <w:spacing w:after="0"/>
              <w:rPr>
                <w:sz w:val="20"/>
                <w:szCs w:val="20"/>
                <w:color w:val="auto"/>
              </w:rPr>
            </w:pPr>
            <w:r>
              <w:rPr>
                <w:rFonts w:ascii="Arial" w:cs="Arial" w:eastAsia="Arial" w:hAnsi="Arial"/>
                <w:sz w:val="14"/>
                <w:szCs w:val="14"/>
                <w:b w:val="1"/>
                <w:bCs w:val="1"/>
                <w:color w:val="auto"/>
              </w:rPr>
              <w:t>(24.0)</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(25.1)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earnings</w:t>
            </w:r>
          </w:p>
        </w:tc>
        <w:tc>
          <w:tcPr>
            <w:tcW w:w="2900" w:type="dxa"/>
            <w:vAlign w:val="bottom"/>
            <w:tcBorders>
              <w:top w:val="single" w:sz="8" w:color="auto"/>
            </w:tcBorders>
            <w:shd w:val="clear" w:color="auto" w:fill="CCEEFF"/>
          </w:tcPr>
          <w:p>
            <w:pPr>
              <w:jc w:val="right"/>
              <w:ind w:right="488"/>
              <w:spacing w:after="0" w:line="155" w:lineRule="exact"/>
              <w:rPr>
                <w:sz w:val="20"/>
                <w:szCs w:val="20"/>
                <w:color w:val="auto"/>
              </w:rPr>
            </w:pPr>
            <w:r>
              <w:rPr>
                <w:rFonts w:ascii="Arial" w:cs="Arial" w:eastAsia="Arial" w:hAnsi="Arial"/>
                <w:sz w:val="14"/>
                <w:szCs w:val="14"/>
                <w:b w:val="1"/>
                <w:bCs w:val="1"/>
                <w:color w:val="auto"/>
              </w:rPr>
              <w:t>9.8</w:t>
            </w:r>
          </w:p>
        </w:tc>
        <w:tc>
          <w:tcPr>
            <w:tcW w:w="1340" w:type="dxa"/>
            <w:vAlign w:val="bottom"/>
            <w:tcBorders>
              <w:top w:val="single" w:sz="8" w:color="auto"/>
            </w:tcBorders>
            <w:shd w:val="clear" w:color="auto" w:fill="CCEEFF"/>
          </w:tcPr>
          <w:p>
            <w:pPr>
              <w:jc w:val="right"/>
              <w:ind w:right="488"/>
              <w:spacing w:after="0" w:line="155" w:lineRule="exact"/>
              <w:rPr>
                <w:sz w:val="20"/>
                <w:szCs w:val="20"/>
                <w:color w:val="auto"/>
              </w:rPr>
            </w:pPr>
            <w:r>
              <w:rPr>
                <w:rFonts w:ascii="Arial" w:cs="Arial" w:eastAsia="Arial" w:hAnsi="Arial"/>
                <w:sz w:val="14"/>
                <w:szCs w:val="14"/>
                <w:color w:val="auto"/>
              </w:rPr>
              <w:t>9.0</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2900" w:type="dxa"/>
            <w:vAlign w:val="bottom"/>
          </w:tcPr>
          <w:p>
            <w:pPr>
              <w:jc w:val="right"/>
              <w:ind w:right="428"/>
              <w:spacing w:after="0"/>
              <w:rPr>
                <w:sz w:val="20"/>
                <w:szCs w:val="20"/>
                <w:color w:val="auto"/>
              </w:rPr>
            </w:pPr>
            <w:r>
              <w:rPr>
                <w:rFonts w:ascii="Arial" w:cs="Arial" w:eastAsia="Arial" w:hAnsi="Arial"/>
                <w:sz w:val="14"/>
                <w:szCs w:val="14"/>
                <w:b w:val="1"/>
                <w:bCs w:val="1"/>
                <w:color w:val="auto"/>
              </w:rPr>
              <w:t>(0.9)</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(1.0)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(expense), net</w:t>
            </w:r>
          </w:p>
        </w:tc>
        <w:tc>
          <w:tcPr>
            <w:tcW w:w="290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0.3</w:t>
            </w:r>
          </w:p>
        </w:tc>
        <w:tc>
          <w:tcPr>
            <w:tcW w:w="13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0.4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Provision for income taxes</w:t>
            </w:r>
          </w:p>
        </w:tc>
        <w:tc>
          <w:tcPr>
            <w:tcW w:w="2900" w:type="dxa"/>
            <w:vAlign w:val="bottom"/>
          </w:tcPr>
          <w:p>
            <w:pPr>
              <w:jc w:val="right"/>
              <w:ind w:right="428"/>
              <w:spacing w:after="0"/>
              <w:rPr>
                <w:sz w:val="20"/>
                <w:szCs w:val="20"/>
                <w:color w:val="auto"/>
              </w:rPr>
            </w:pPr>
            <w:r>
              <w:rPr>
                <w:rFonts w:ascii="Arial" w:cs="Arial" w:eastAsia="Arial" w:hAnsi="Arial"/>
                <w:sz w:val="14"/>
                <w:szCs w:val="14"/>
                <w:b w:val="1"/>
                <w:bCs w:val="1"/>
                <w:color w:val="auto"/>
              </w:rPr>
              <w:t>(3.0)</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(2.9)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earnings</w:t>
            </w:r>
          </w:p>
        </w:tc>
        <w:tc>
          <w:tcPr>
            <w:tcW w:w="2900" w:type="dxa"/>
            <w:vAlign w:val="bottom"/>
            <w:shd w:val="clear" w:color="auto" w:fill="CCEEFF"/>
          </w:tcPr>
          <w:p>
            <w:pPr>
              <w:jc w:val="right"/>
              <w:ind w:right="348"/>
              <w:spacing w:after="0" w:line="155" w:lineRule="exact"/>
              <w:rPr>
                <w:sz w:val="20"/>
                <w:szCs w:val="20"/>
                <w:color w:val="auto"/>
              </w:rPr>
            </w:pPr>
            <w:r>
              <w:rPr>
                <w:rFonts w:ascii="Arial" w:cs="Arial" w:eastAsia="Arial" w:hAnsi="Arial"/>
                <w:sz w:val="14"/>
                <w:szCs w:val="14"/>
                <w:b w:val="1"/>
                <w:bCs w:val="1"/>
                <w:color w:val="auto"/>
              </w:rPr>
              <w:t>6.2%</w:t>
            </w:r>
          </w:p>
        </w:tc>
        <w:tc>
          <w:tcPr>
            <w:tcW w:w="1340" w:type="dxa"/>
            <w:vAlign w:val="bottom"/>
            <w:shd w:val="clear" w:color="auto" w:fill="CCEEFF"/>
          </w:tcPr>
          <w:p>
            <w:pPr>
              <w:jc w:val="right"/>
              <w:ind w:right="368"/>
              <w:spacing w:after="0" w:line="155" w:lineRule="exact"/>
              <w:rPr>
                <w:sz w:val="20"/>
                <w:szCs w:val="20"/>
                <w:color w:val="auto"/>
              </w:rPr>
            </w:pPr>
            <w:r>
              <w:rPr>
                <w:rFonts w:ascii="Arial" w:cs="Arial" w:eastAsia="Arial" w:hAnsi="Arial"/>
                <w:sz w:val="14"/>
                <w:szCs w:val="14"/>
                <w:color w:val="auto"/>
              </w:rPr>
              <w:t>5.5%</w:t>
            </w:r>
          </w:p>
        </w:tc>
        <w:tc>
          <w:tcPr>
            <w:tcW w:w="9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Compared With Fiscal 2010</w:t>
      </w:r>
    </w:p>
    <w:p>
      <w:pPr>
        <w:spacing w:after="0" w:line="21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2011 were $1,884.0 million compared to $1,690.4 million in fiscal 2010, an increase of 11.5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improvement was primarily driven by:</w:t>
      </w:r>
    </w:p>
    <w:p>
      <w:pPr>
        <w:spacing w:after="0" w:line="189" w:lineRule="exact"/>
        <w:rPr>
          <w:sz w:val="20"/>
          <w:szCs w:val="20"/>
          <w:color w:val="auto"/>
        </w:rPr>
      </w:pPr>
    </w:p>
    <w:p>
      <w:pPr>
        <w:ind w:left="540" w:right="140" w:hanging="532"/>
        <w:spacing w:after="0" w:line="23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shipments of worldwide professional segment products largely resulting from the successful introduction of new products that were well received by customers and resulted in increased sales, strong worldwide demand for golf equipment and irrigation systems, additional manufacturing capacity that increased production and enabled higher sales of our water conserving products for agricultural markets to meet growing worldwide demand, particularly in Eastern Europe, and incremental sales of $19 million from acquisitions.</w:t>
      </w:r>
    </w:p>
    <w:p>
      <w:pPr>
        <w:spacing w:after="0" w:line="6" w:lineRule="exact"/>
        <w:rPr>
          <w:rFonts w:ascii="Arial" w:cs="Arial" w:eastAsia="Arial" w:hAnsi="Arial"/>
          <w:sz w:val="18"/>
          <w:szCs w:val="18"/>
          <w:color w:val="auto"/>
        </w:rPr>
      </w:pPr>
    </w:p>
    <w:p>
      <w:pPr>
        <w:ind w:left="540" w:right="200" w:hanging="532"/>
        <w:spacing w:after="0" w:line="23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residential segment net sales attributable to strong demand for snow thrower products as our channel partners purchased product to fill depleted field inventory levels for the 2011-2012 snow season following strong sales from heavy snow falls during the 2010-2011 snow season, as well as additional product placement. In addition, riding product sales increased primarily from positive customer acceptance for our new line of zero-turn radius riding mowers. However, sales of walk power mowers and electric blowers were down due mainly to unfavorable weather conditions.</w:t>
      </w:r>
    </w:p>
    <w:p>
      <w:pPr>
        <w:spacing w:after="0" w:line="3" w:lineRule="exact"/>
        <w:rPr>
          <w:rFonts w:ascii="Arial" w:cs="Arial" w:eastAsia="Arial" w:hAnsi="Arial"/>
          <w:sz w:val="18"/>
          <w:szCs w:val="18"/>
          <w:color w:val="auto"/>
        </w:rPr>
      </w:pPr>
    </w:p>
    <w:p>
      <w:pPr>
        <w:ind w:left="540" w:right="260" w:hanging="532"/>
        <w:spacing w:after="0" w:line="23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net sales were also up for both our professional and residential segments due to increased demand primarily from improved market conditions in our key international regions and the successful introduction of new products that were well received by customers. Additionally, a weaker average U.S. dollar compared to other currencies in which we transact business accounted for approximately $21 million of our net sales increase.</w:t>
      </w:r>
    </w:p>
    <w:p>
      <w:pPr>
        <w:spacing w:after="0" w:line="189"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represents gross profit (net sales less cost of sales) as a percentage of net sales. See Note 1 of the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 the section entitled "Cost of Sales," for a description of expenses included in cost of sales. Gross margin decreased by 30 basis points to 33.8 percent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 fiscal 2011 from 34.1 percent in fiscal 2010. This decline was mainly the result of the following factors:</w:t>
      </w:r>
    </w:p>
    <w:p>
      <w:pPr>
        <w:spacing w:after="0" w:line="212"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average prices paid for commodities in fiscal 2011 compared to fiscal 2010.</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freight expense due to higher fuel prices.</w:t>
      </w: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Rework costs for a non-safety quality issue that affected a large number of our residential segment walk power mowers.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1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manufacturing costs from higher plant utilization, mainly related to increased demand for our products.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higher proportionate share of professional segment sales that carry higher average gross margins than residential segment sales.</w:t>
      </w:r>
    </w:p>
    <w:p>
      <w:pPr>
        <w:spacing w:after="0" w:line="19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 </w:t>
      </w:r>
      <w:r>
        <w:rPr>
          <w:rFonts w:ascii="Arial" w:cs="Arial" w:eastAsia="Arial" w:hAnsi="Arial"/>
          <w:sz w:val="16"/>
          <w:szCs w:val="16"/>
          <w:color w:val="auto"/>
        </w:rPr>
        <w:t>SG&amp;A expense increased $27.0 million, or 6.4 percent, from fiscal 2010. See Note 1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to Consolidated Financial Statements, in the section entitled "Selling, General, and Administrative Expense," for a description of expenses included in SG&amp;A expense. SG&amp;A expense rate represents SG&amp;A expenses as a percentage of net sales. SG&amp;A expense rate in fiscal 2011 decreased to 24.0 percent compared to 25.1 percent in fiscal 2010 due to fixed SG&amp;A costs spread over higher sales volumes and lower product liability expense of nearly $5 million due to favorable claims experience this fiscal year. However, marketing expenses increased by $19 million in fiscal 2011 compared to fiscal 2010 due to higher sales volumes and incentive programs designed to promote sales growth.</w:t>
      </w:r>
    </w:p>
    <w:p>
      <w:pPr>
        <w:spacing w:after="0" w:line="16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2011 slightly decreased by 0.8 percent compared to fiscal 2010 as a result of lower average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w:t>
      </w:r>
    </w:p>
    <w:p>
      <w:pPr>
        <w:spacing w:after="0" w:line="169"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consists mainly of our proportionate share of income or losses from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(affiliates), currency exchange rate gains and losses, litigation settlements and recoveries, interest income, and financing revenue. Other income for fiscal 2011 was $7.3 million compared to $7.1 million in fiscal 2010, an increase of $0.2 million, or 2.7 percent. This increase in other income, net was due mainly to an increase in income from affiliates, somewhat offset by higher foreign currency exchange rate losses in fiscal 2011 compared to fiscal 2010.</w:t>
      </w:r>
    </w:p>
    <w:p>
      <w:pPr>
        <w:spacing w:after="0" w:line="19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2011 was 32.7 percent compared to 34.0 percent in fiscal 2010. The realization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tax assets is assessed and a valuation allowance is recorded to the extent it is more likely than not that any portion of the deferred tax asset will not be recognized. The decrease in the effective tax rate was primarily the result of the retroactive reenactment of the domestic research tax credit.</w:t>
      </w:r>
    </w:p>
    <w:p>
      <w:pPr>
        <w:spacing w:after="0" w:line="205" w:lineRule="exact"/>
        <w:rPr>
          <w:sz w:val="20"/>
          <w:szCs w:val="20"/>
          <w:color w:val="auto"/>
        </w:rPr>
      </w:pPr>
    </w:p>
    <w:p>
      <w:pPr>
        <w:ind w:right="60" w:firstLine="146"/>
        <w:spacing w:after="0" w:line="239" w:lineRule="auto"/>
        <w:rPr>
          <w:sz w:val="20"/>
          <w:szCs w:val="20"/>
          <w:color w:val="auto"/>
        </w:rPr>
      </w:pPr>
      <w:r>
        <w:rPr>
          <w:rFonts w:ascii="Arial" w:cs="Arial" w:eastAsia="Arial" w:hAnsi="Arial"/>
          <w:sz w:val="18"/>
          <w:szCs w:val="18"/>
          <w:color w:val="auto"/>
        </w:rPr>
        <w:t>We anticipate our tax rate for fiscal 2012 to be higher than fiscal 2011 due to the expiration of the domestic research tax credit on December 31, 2011.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2010 Compared With Fiscal 2009</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2010 were $1,690.4 million compared to $1,523.4 million in fiscal 2009, an increase of 11.0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improvement was primarily driven by:</w:t>
      </w:r>
    </w:p>
    <w:p>
      <w:pPr>
        <w:spacing w:after="0" w:line="189" w:lineRule="exact"/>
        <w:rPr>
          <w:sz w:val="20"/>
          <w:szCs w:val="20"/>
          <w:color w:val="auto"/>
        </w:rPr>
      </w:pPr>
    </w:p>
    <w:p>
      <w:pPr>
        <w:jc w:val="both"/>
        <w:ind w:left="540" w:right="120" w:hanging="532"/>
        <w:spacing w:after="0" w:line="23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shipments of worldwide professional segment products largely resulting from improved economic conditions, a significant reduction in field inventory levels during fiscal 2009 that was not duplicated during fiscal 2010, the successful introduction of new products that were well received by customers and resulted in increased sales, and additional manufacturing capacity that increased production and enabled higher sales of our water conserving products for agricultural markets to meet growing worldwide demand.</w:t>
      </w:r>
    </w:p>
    <w:p>
      <w:pPr>
        <w:spacing w:after="0" w:line="3" w:lineRule="exact"/>
        <w:rPr>
          <w:rFonts w:ascii="Arial" w:cs="Arial" w:eastAsia="Arial" w:hAnsi="Arial"/>
          <w:sz w:val="18"/>
          <w:szCs w:val="18"/>
          <w:color w:val="auto"/>
        </w:rPr>
      </w:pPr>
    </w:p>
    <w:p>
      <w:pPr>
        <w:ind w:left="540" w:right="100" w:hanging="532"/>
        <w:spacing w:after="0" w:line="26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residential segment net sales attributable to strong demand, resulting in part from customer acceptance of and additional product placement for zero-turn radius riding mowers. In addition, shipments of snow thrower products were up due to increased demand from heavy snow falls during the winter season of 2009-2010 and the timing of the introduction for our redesigned offering of snow thrower products that shipped to customers in the first quarter of fiscal 2010 instead of the fourth quarter of fiscal 2009.</w:t>
      </w:r>
    </w:p>
    <w:p>
      <w:pPr>
        <w:spacing w:after="0" w:line="8" w:lineRule="exact"/>
        <w:rPr>
          <w:rFonts w:ascii="Arial" w:cs="Arial" w:eastAsia="Arial" w:hAnsi="Arial"/>
          <w:sz w:val="16"/>
          <w:szCs w:val="16"/>
          <w:color w:val="auto"/>
        </w:rPr>
      </w:pPr>
    </w:p>
    <w:p>
      <w:pPr>
        <w:ind w:left="540" w:right="420" w:hanging="532"/>
        <w:spacing w:after="0" w:line="23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net sales were also up for both our professional and residential segments due also to increased demand primarily from improved market conditions in our key international regions and the successful introduction of new products that were well received by customers, as well as a weaker average U.S. dollar compared to other currencies in which we transact business that accounted for approximately $12 million of our net sales increase.</w:t>
      </w:r>
    </w:p>
    <w:p>
      <w:pPr>
        <w:spacing w:after="0" w:line="20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Partially offsetting those positive factors was a decline in net sales for our other segment due to the elimination of Toro Credit Company ("TCC"), our wholly owned financing company, floor plan interest costs resulting from the establishment of Red Iron, our financing joint venture with TCFIF, as well as lower net sales at our wholly owned Midwestern distributorship.</w:t>
      </w:r>
    </w:p>
    <w:p>
      <w:pPr>
        <w:spacing w:after="0" w:line="1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by 60 basis points to 34.1 percent in fiscal 2010 from 33.5 percent in fiscal 2009. This improvement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the result of the following factors:</w:t>
      </w:r>
    </w:p>
    <w:p>
      <w:pPr>
        <w:spacing w:after="0" w:line="185"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higher proportionate share of professional segment sales that carry higher average gross margins than residential segment sales.</w:t>
      </w: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manufacturing costs from higher plant utilization, mainly related to increased demand for our products.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reduction efforts implemented during fiscal 2010 and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07"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average prices paid for commodities in fiscal 2010 compared to fiscal 2009.</w:t>
      </w:r>
    </w:p>
    <w:p>
      <w:pPr>
        <w:ind w:left="540" w:right="320" w:hanging="532"/>
        <w:spacing w:after="0" w:line="23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our last-in first-out ("LIFO") reserve of $0.6 million in fiscal 2010, as compared to a reduction in our LIFO reserve in fiscal 2009 that benefited our gross margin by $3.3 million in fiscal 2009.</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freight expense due to higher fuel prices.</w:t>
      </w:r>
    </w:p>
    <w:p>
      <w:pPr>
        <w:sectPr>
          <w:pgSz w:w="11900" w:h="16838" w:orient="portrait"/>
          <w:cols w:equalWidth="0" w:num="1">
            <w:col w:w="11380"/>
          </w:cols>
          <w:pgMar w:left="240" w:top="143" w:right="279" w:bottom="1064" w:gutter="0" w:footer="0" w:header="0"/>
        </w:sect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064" w:gutter="0" w:footer="0" w:header="0"/>
          <w:type w:val="continuous"/>
        </w:sectPr>
      </w:pPr>
    </w:p>
    <w:bookmarkStart w:id="29" w:name="page30"/>
    <w:bookmarkEnd w:id="29"/>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SG&amp;A expense increased $29.3 million, or 7.4 percent, from fiscal 2009. SG&amp;A expense rate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2010 decreased to 25.1 percent compared to 26.0 percent in fiscal 2009 due to fixed SG&amp;A costs spread over higher sales volumes. The following factors increased our SG&amp;A expense:</w:t>
      </w:r>
    </w:p>
    <w:p>
      <w:pPr>
        <w:spacing w:after="0" w:line="202" w:lineRule="exact"/>
        <w:rPr>
          <w:sz w:val="20"/>
          <w:szCs w:val="20"/>
          <w:color w:val="auto"/>
        </w:rPr>
      </w:pPr>
    </w:p>
    <w:p>
      <w:pPr>
        <w:ind w:left="540" w:right="200" w:hanging="532"/>
        <w:spacing w:after="0" w:line="23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$21.2 million in employee incentive compensation expense as a result of improved financial performance in fiscal 2010, as compared to fiscal 2009.</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marketing and warehousing costs of nearly $9 million as a result of increased sales volumes.</w:t>
      </w: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product liability expense of $2.5 million as a result of unfavorable claims experience.</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Somewhat offsetting those increases were costs incurred in fiscal 2009 for work force adjustments of $4.3 million that were not duplicated in fiscal 2010.</w:t>
      </w:r>
    </w:p>
    <w:p>
      <w:pPr>
        <w:spacing w:after="0" w:line="189"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i w:val="1"/>
          <w:iCs w:val="1"/>
          <w:color w:val="auto"/>
        </w:rPr>
        <w:t>Interest Expense.</w:t>
      </w:r>
      <w:r>
        <w:rPr>
          <w:sz w:val="20"/>
          <w:szCs w:val="20"/>
          <w:color w:val="auto"/>
        </w:rPr>
        <w:tab/>
      </w:r>
      <w:r>
        <w:rPr>
          <w:rFonts w:ascii="Arial" w:cs="Arial" w:eastAsia="Arial" w:hAnsi="Arial"/>
          <w:sz w:val="16"/>
          <w:szCs w:val="16"/>
          <w:color w:val="auto"/>
        </w:rPr>
        <w:t>Interest expense for fiscal 2010 decreased by 2.6 percent compared to fiscal 2009 as a result of lower average debt levels.</w:t>
      </w:r>
    </w:p>
    <w:p>
      <w:pPr>
        <w:spacing w:after="0" w:line="21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for fiscal 2010 was $7.1 million compared to other expense of $1.8 million in fiscal 2009.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other income, net was due mainly to the following factors:</w:t>
      </w:r>
    </w:p>
    <w:p>
      <w:pPr>
        <w:spacing w:after="0" w:line="18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in fiscal 2009 for several legal matters in the aggregate of $6.8 million that were not duplicated in fiscal 2010.</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income from affiliates of nearly $3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was a decline in financing revenue of $1.8 million.</w:t>
      </w:r>
    </w:p>
    <w:p>
      <w:pPr>
        <w:spacing w:after="0" w:line="19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2010 was 34.0 percent compared to 34.4 percent in fiscal 2009. The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tax rate was due to a valuation allowance recorded in fiscal 2009 of $1.5 million for foreign subsidiaries' net operating loss carry-forwards that was not duplicated in fiscal 2010 and the favorable resolution of a transfer pricing issue. This decrease was somewhat offset by the expiration of the domestic research tax credit on December 31, 2009.</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BY BUSINESS SEGMENT</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more fully described in Note 12 of the Notes to Consolidated Financial Statements, we operate in three reportable business segments: Professional, Residential, and Distribution. Our Distribution segment, which consists of our company-owned domestic distributorships, has been combined with our corporate activities and is shown as "Other." Operating earnings for our Professional and Residential segments are defined as earnings from operations plus other income (expense), net. Operating loss for the Other segment includes earnings (loss) from wholly owned domestic distribution companies, corporate activities, other income (expense), and interest expense.</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4"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Professional segment net sales represented 66 percent of consolidated net sales for fiscal 2011, 64 percent for fiscal 2010, and 63 percent for fiscal 2009. The following table shows the professional segment net sales, operating earnings, and operating earnings as a percent of net sales.</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53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4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4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2010</w:t>
            </w:r>
          </w:p>
        </w:tc>
        <w:tc>
          <w:tcPr>
            <w:tcW w:w="480" w:type="dxa"/>
            <w:vAlign w:val="bottom"/>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8"/>
              </w:rPr>
              <w:t>1,239.1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8"/>
              </w:rPr>
              <w:t>1,085.5</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$ 965.9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205.0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173.8</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$ 127.6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34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professional segment in fiscal 2011 were up by 14.2 percent compared to fiscal 2010 primarily from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shipments for most domestic and international products as a result of improved market conditions in our professional segment. In addition, professional segment sales increased due to the following other factors:</w:t>
      </w:r>
    </w:p>
    <w:p>
      <w:pPr>
        <w:spacing w:after="0" w:line="202" w:lineRule="exact"/>
        <w:rPr>
          <w:sz w:val="20"/>
          <w:szCs w:val="20"/>
          <w:color w:val="auto"/>
        </w:rPr>
      </w:pPr>
    </w:p>
    <w:p>
      <w:pPr>
        <w:ind w:left="540" w:right="40" w:hanging="532"/>
        <w:spacing w:after="0" w:line="23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shipments and demand of worldwide golf maintenance equipment and irrigation systems due to new golf development projects in key international markets, particularly in Asia, and domestic renovation projects, as well as positive customer response for new products we introduced.</w:t>
      </w:r>
    </w:p>
    <w:p>
      <w:pPr>
        <w:spacing w:after="0" w:line="2" w:lineRule="exact"/>
        <w:rPr>
          <w:rFonts w:ascii="Arial" w:cs="Arial" w:eastAsia="Arial" w:hAnsi="Arial"/>
          <w:sz w:val="18"/>
          <w:szCs w:val="18"/>
          <w:color w:val="auto"/>
        </w:rPr>
      </w:pPr>
    </w:p>
    <w:p>
      <w:pPr>
        <w:ind w:left="540" w:right="280" w:hanging="532"/>
        <w:spacing w:after="0" w:line="239"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sales of landscape contractor equipment and grounds products primarily from the successful introduction of new products that were well received by customers.</w:t>
      </w:r>
    </w:p>
    <w:p>
      <w:pPr>
        <w:spacing w:after="0" w:line="6" w:lineRule="exact"/>
        <w:rPr>
          <w:rFonts w:ascii="Arial" w:cs="Arial" w:eastAsia="Arial" w:hAnsi="Arial"/>
          <w:sz w:val="18"/>
          <w:szCs w:val="18"/>
          <w:color w:val="auto"/>
        </w:rPr>
      </w:pPr>
    </w:p>
    <w:p>
      <w:pPr>
        <w:ind w:left="540" w:right="340" w:hanging="532"/>
        <w:spacing w:after="0" w:line="264"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net sales of micro-irrigation products due to continued growing market demand, particularly in Eastern Europe, and additional manufacturing capacity that increased production and enabled higher sales of our water conserving products for agricultural markets.</w:t>
      </w: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Strong sales of Sitework Systems products as a result of the rebound in the rental market and the successful introduction of new products.</w:t>
      </w:r>
    </w:p>
    <w:p>
      <w:pPr>
        <w:spacing w:after="0" w:line="18" w:lineRule="exact"/>
        <w:rPr>
          <w:rFonts w:ascii="Arial" w:cs="Arial" w:eastAsia="Arial" w:hAnsi="Arial"/>
          <w:sz w:val="16"/>
          <w:szCs w:val="16"/>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Incremental sales of $12 million from acquisitions.</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weaker average U.S. dollar compared to most other currencies in which we transact business.</w:t>
      </w:r>
    </w:p>
    <w:p>
      <w:pPr>
        <w:spacing w:after="0" w:line="212"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Worldwide net sales for the professional segment in fiscal 2010 were up by 12.4 percent compared to fiscal 2009 primarily from higher shipments for most domestic and international product categories as a result of improved economic conditions and a significant reduction in field inventory levels during fiscal 2009 that was not duplicated in fiscal 2010. In addition, professional segment sales increased due to higher shipments of worldwide golf maintenance equipment and irrigation systems as customers increased capital spending after delayed investments during fiscal 2009 and</w:t>
      </w:r>
    </w:p>
    <w:p>
      <w:pPr>
        <w:sectPr>
          <w:pgSz w:w="11900" w:h="16838" w:orient="portrait"/>
          <w:cols w:equalWidth="0" w:num="1">
            <w:col w:w="11400"/>
          </w:cols>
          <w:pgMar w:left="240" w:top="123" w:right="25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type w:val="continuous"/>
        </w:sectPr>
      </w:pPr>
    </w:p>
    <w:bookmarkStart w:id="30" w:name="page31"/>
    <w:bookmarkEnd w:id="30"/>
    <w:p>
      <w:pPr>
        <w:ind w:right="60"/>
        <w:spacing w:after="0" w:line="271" w:lineRule="auto"/>
        <w:rPr>
          <w:sz w:val="20"/>
          <w:szCs w:val="20"/>
          <w:color w:val="auto"/>
        </w:rPr>
      </w:pPr>
      <w:r>
        <w:rPr>
          <w:rFonts w:ascii="Arial" w:cs="Arial" w:eastAsia="Arial" w:hAnsi="Arial"/>
          <w:sz w:val="16"/>
          <w:szCs w:val="16"/>
          <w:color w:val="auto"/>
        </w:rPr>
        <w:t>2008 from poor economic conditions and new golf development projects, particularly in Asia, as well as the positive customer response for new products we introduced. Shipments of landscape contractor equipment were also strong as a result of the successful introduction of new products that were well received by customers. Net sales of micro-irrigation products increased due to our investments in additional manufacturing capacity that increased production of our water conserving products to meet the growing worldwide market demand. Additionally, a weaker average U.S. dollar compared to most other currencies in which we transact business also contributed to the sales growth. Our domestic field inventory levels of our professional segment products were slightly down as of the end of fiscal 2010 as compared to the end of fiscal 2009.</w:t>
      </w:r>
    </w:p>
    <w:p>
      <w:pPr>
        <w:spacing w:after="0" w:line="16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 xml:space="preserve">Operating Earnings. </w:t>
      </w:r>
      <w:r>
        <w:rPr>
          <w:rFonts w:ascii="Arial" w:cs="Arial" w:eastAsia="Arial" w:hAnsi="Arial"/>
          <w:sz w:val="16"/>
          <w:szCs w:val="16"/>
          <w:color w:val="auto"/>
        </w:rPr>
        <w:t>Operating earnings for the professional segment in fiscal 2011 increased 18.0 percent compared to fiscal 2010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higher sales volumes. Expressed as a percentage of net sales, professional segment operating margins increased 50 basis points to 16.5 percent in fiscal 2011 compared to 16.0 percent in fiscal 2010. The following factors impacted professional segment operating earnings:</w:t>
      </w:r>
    </w:p>
    <w:p>
      <w:pPr>
        <w:spacing w:after="0" w:line="168" w:lineRule="exact"/>
        <w:rPr>
          <w:sz w:val="20"/>
          <w:szCs w:val="20"/>
          <w:color w:val="auto"/>
        </w:rPr>
      </w:pPr>
    </w:p>
    <w:p>
      <w:pPr>
        <w:ind w:left="540" w:right="140" w:hanging="532"/>
        <w:spacing w:after="0" w:line="23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gross margins in fiscal 2011 compared to fiscal 2010 as a result of higher average commodity prices and increased freight expense driven by higher fuel prices. Those increases were somewhat offset by lower manufacturing costs from higher plant utilization, mainly related to increased demand for our products.</w:t>
      </w:r>
    </w:p>
    <w:p>
      <w:pPr>
        <w:spacing w:after="0" w:line="5" w:lineRule="exact"/>
        <w:rPr>
          <w:rFonts w:ascii="Arial" w:cs="Arial" w:eastAsia="Arial" w:hAnsi="Arial"/>
          <w:sz w:val="18"/>
          <w:szCs w:val="18"/>
          <w:color w:val="auto"/>
        </w:rPr>
      </w:pPr>
    </w:p>
    <w:p>
      <w:pPr>
        <w:ind w:left="540" w:right="20" w:hanging="532"/>
        <w:spacing w:after="0" w:line="23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SG&amp;A expense rate in fiscal 2011 compared to fiscal 2010 due mainly to leveraging fixed SG&amp;A costs spread over higher sales volumes and a decline in product liability expense.</w:t>
      </w:r>
    </w:p>
    <w:p>
      <w:pPr>
        <w:spacing w:after="0" w:line="209" w:lineRule="exact"/>
        <w:rPr>
          <w:sz w:val="20"/>
          <w:szCs w:val="20"/>
          <w:color w:val="auto"/>
        </w:rPr>
      </w:pPr>
    </w:p>
    <w:p>
      <w:pPr>
        <w:ind w:right="20" w:firstLine="146"/>
        <w:spacing w:after="0" w:line="271" w:lineRule="auto"/>
        <w:rPr>
          <w:sz w:val="20"/>
          <w:szCs w:val="20"/>
          <w:color w:val="auto"/>
        </w:rPr>
      </w:pPr>
      <w:r>
        <w:rPr>
          <w:rFonts w:ascii="Arial" w:cs="Arial" w:eastAsia="Arial" w:hAnsi="Arial"/>
          <w:sz w:val="16"/>
          <w:szCs w:val="16"/>
          <w:color w:val="auto"/>
        </w:rPr>
        <w:t>Operating earnings for the professional segment in fiscal 2010 increased 36.2 percent compared to fiscal 2009. Expressed as a percentage of net sales, professional segment operating margins increased to 16.0 percent in fiscal 2010 compared to 13.2 percent in fiscal 2009. The operating profit improvement was due mainly to higher gross margins as a result of increased sales volumes and lower manufacturing costs from increased plant utilization due to increased demand for our products, combined with our cost reduction efforts. However, increased freight expense and rising commodity prices hampered our professional segment gross margin improvement. Also contributing to the professional segment operating earnings improvement was a decline in our SG&amp;A expense rate due primarily to leveraging SG&amp;A costs over higher sales volumes.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Residential segment net sales represented 33 percent of consolidated net sales for fiscal 2011 and 35 percent for both fiscal 2010 and 2009. The following table shows the residential segment net sales, operating earnings, and operating earnings as a percent of net sales.</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5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5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6"/>
              </w:rPr>
              <w:t>623.9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6"/>
              </w:rPr>
              <w:t>589.7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532.7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35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residential segment in fiscal 2011 were up by 5.8 percent compared to fiscal 2010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factors:</w:t>
      </w:r>
    </w:p>
    <w:p>
      <w:pPr>
        <w:spacing w:after="0" w:line="189" w:lineRule="exact"/>
        <w:rPr>
          <w:sz w:val="20"/>
          <w:szCs w:val="20"/>
          <w:color w:val="auto"/>
        </w:rPr>
      </w:pPr>
    </w:p>
    <w:p>
      <w:pPr>
        <w:ind w:left="540" w:right="80" w:hanging="532"/>
        <w:spacing w:after="0" w:line="23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demand for our snow thrower products as our channel partners purchased product to fill depleted field inventory levels for the 2011-2012 snow season following strong sales from heavy snow falls during the 2010-2011 snow season, as well as additional product placement.</w:t>
      </w:r>
    </w:p>
    <w:p>
      <w:pPr>
        <w:spacing w:after="0" w:line="2" w:lineRule="exact"/>
        <w:rPr>
          <w:rFonts w:ascii="Arial" w:cs="Arial" w:eastAsia="Arial" w:hAnsi="Arial"/>
          <w:sz w:val="18"/>
          <w:szCs w:val="18"/>
          <w:color w:val="auto"/>
        </w:rPr>
      </w:pPr>
    </w:p>
    <w:p>
      <w:pPr>
        <w:ind w:left="540" w:right="480" w:hanging="532"/>
        <w:spacing w:after="0" w:line="23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shipments of zero-turn radius riding mowers attributable to continued strong demand, resulting primarily from customer acceptance of new products.</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weaker average U.S. dollar compared to most other currencies in which we transact business.</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Somewhat offsetting those increases was a decline in sales of walk power mowers and electric blowers due mainly to unfavorable weather conditions. Our domestic field inventory levels of our residential segment products were slightly up as of the end of fiscal 2011 as compared to the end of fiscal 2010.</w:t>
      </w:r>
    </w:p>
    <w:p>
      <w:pPr>
        <w:spacing w:after="0" w:line="208"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Worldwide net sales for the residential segment in fiscal 2010 were up by 10.7 percent compared to fiscal 2009. This increase was due primarily to strong shipments of zero-turn radius riding mowers attributable to strong demand, resulting in part from customer acceptance of new products and additional product placement. Sales of snow thrower products were also up due to increased demand from heavy snow falls during the winter season of 2009-2010 and the timing of the introduction for our redesigned offering of snow thrower products that shipped to customers in the first quarter of fiscal 2010 instead of the fourth quarter of fiscal 2009. In addition, a weaker average U.S. dollar compared to most other currencies in which we transact business benefited residential segment net sales in fiscal 2010 compared to fiscal 2009.</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residential segment in fiscal 2011 decreased 6.1 percent compared to fiscal 2010. Expressed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percentage of net sales, residential segment operating margins declined 110 basis points to 8.7 percent in fiscal 2011 compared to 9.8 percent in fiscal 2010. The following factors impacted residential segment operating earnings:</w:t>
      </w:r>
    </w:p>
    <w:p>
      <w:pPr>
        <w:spacing w:after="0" w:line="202" w:lineRule="exact"/>
        <w:rPr>
          <w:sz w:val="20"/>
          <w:szCs w:val="20"/>
          <w:color w:val="auto"/>
        </w:rPr>
      </w:pPr>
    </w:p>
    <w:p>
      <w:pPr>
        <w:ind w:left="540" w:right="240" w:hanging="532"/>
        <w:spacing w:after="0" w:line="23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gross margins primarily attributable to costs associated with a rework for a non-safety quality issue that affected a large number of our walk power mowers, higher average commodity prices, and increased freight expense. Those increases were</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somewhat offset by lower manufacturing costs from higher plant utilization, mainly related to increased demand for our products.</w:t>
      </w:r>
    </w:p>
    <w:p>
      <w:pPr>
        <w:spacing w:after="0" w:line="212" w:lineRule="exact"/>
        <w:rPr>
          <w:sz w:val="20"/>
          <w:szCs w:val="20"/>
          <w:color w:val="auto"/>
        </w:rPr>
      </w:pPr>
    </w:p>
    <w:p>
      <w:pPr>
        <w:ind w:left="540" w:right="420" w:hanging="532"/>
        <w:spacing w:after="0" w:line="23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SG&amp;A expense mainly from an increase in warranty expense due to special warranty modifications, as well as higher spending for marketing, warehousing, and engineering. However, a decline in product liability expense somewhat offset the increase in SG&amp;A expense.</w:t>
      </w:r>
    </w:p>
    <w:p>
      <w:pPr>
        <w:spacing w:after="0" w:line="208"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Operating earnings for the residential segment in fiscal 2010 increased 25.0 percent compared to fiscal 2009. Expressed as a percentage of net sales, residential segment operating margins improved to 9.8 percent in fiscal 2010 compared to 8.7 percent in fiscal 2009 due to an improvement in gross margins primarily from increased sales volumes of higher-margin products and the resulting effects of cost reduction efforts. These favorable benefits were somewhat offset by higher commodity costs, an increase in freight expense, and higher manufacturing costs due to operating inefficiencies as a result of higher than anticipated customer demand. In addition, SG&amp;A expense increased from higher spending for marketing, product liability, incentive compensation, and warehousing costs.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8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7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8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37.7%</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3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8"/>
              </w:rPr>
              <w:t>(84.6)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other segment includes sales from our wholly owned domestic distribution companies less sales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and residential segments to those distribution companies. In fiscal 2009, the other segment also included elimination of the professional and residential segments' floor plan interest costs from TCC. With the establishment of Red Iron beginning in fiscal 2010, net sales for the other segment no longer includes corporate financing activities, including the elimination of floor plan costs from TCC, which results in lower net sales for the other segment. The other segment net sales in fiscal 2011 increased 37.7 percent compared to fiscal 2010 due to incremental sales from the addition of a U.S. Western-based distribution company that was acquired on October 29, 2010.</w:t>
      </w:r>
    </w:p>
    <w:p>
      <w:pPr>
        <w:spacing w:after="0" w:line="210" w:lineRule="exact"/>
        <w:rPr>
          <w:sz w:val="20"/>
          <w:szCs w:val="20"/>
          <w:color w:val="auto"/>
        </w:rPr>
      </w:pPr>
    </w:p>
    <w:p>
      <w:pPr>
        <w:ind w:right="540" w:firstLine="143"/>
        <w:spacing w:after="0" w:line="239" w:lineRule="auto"/>
        <w:rPr>
          <w:sz w:val="20"/>
          <w:szCs w:val="20"/>
          <w:color w:val="auto"/>
        </w:rPr>
      </w:pPr>
      <w:r>
        <w:rPr>
          <w:rFonts w:ascii="Arial" w:cs="Arial" w:eastAsia="Arial" w:hAnsi="Arial"/>
          <w:sz w:val="18"/>
          <w:szCs w:val="18"/>
          <w:color w:val="auto"/>
        </w:rPr>
        <w:t>The other segment net sales in fiscal 2010 decreased 38.5 percent compared to fiscal 2009 as a result of the elimination of TCC floor plan interest costs, as well as lower net sales at our wholly owned Midwestern distributorship.</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 xml:space="preserve">Operating Loss. </w:t>
      </w:r>
      <w:r>
        <w:rPr>
          <w:rFonts w:ascii="Arial" w:cs="Arial" w:eastAsia="Arial" w:hAnsi="Arial"/>
          <w:sz w:val="18"/>
          <w:szCs w:val="18"/>
          <w:color w:val="auto"/>
        </w:rPr>
        <w:t>Operating loss for the other segment in fiscal 2011 decreased by 6.5 percent compared to fiscal 2010. This loss decrease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attributable to improved profitability of our wholly owned domestic distribution companies and an increase in income from affiliates. Somewhat offsetting those factors were higher foreign currency exchange rate losses in fiscal 2011 as compared to fiscal 2010.</w:t>
      </w:r>
    </w:p>
    <w:p>
      <w:pPr>
        <w:spacing w:after="0" w:line="202" w:lineRule="exact"/>
        <w:rPr>
          <w:sz w:val="20"/>
          <w:szCs w:val="20"/>
          <w:color w:val="auto"/>
        </w:rPr>
      </w:pPr>
    </w:p>
    <w:p>
      <w:pPr>
        <w:ind w:firstLine="146"/>
        <w:spacing w:after="0" w:line="273" w:lineRule="auto"/>
        <w:rPr>
          <w:sz w:val="20"/>
          <w:szCs w:val="20"/>
          <w:color w:val="auto"/>
        </w:rPr>
      </w:pPr>
      <w:r>
        <w:rPr>
          <w:rFonts w:ascii="Arial" w:cs="Arial" w:eastAsia="Arial" w:hAnsi="Arial"/>
          <w:sz w:val="16"/>
          <w:szCs w:val="16"/>
          <w:color w:val="auto"/>
        </w:rPr>
        <w:t>Operating loss for the other segment in fiscal 2010 increased by 15.7 percent compared to fiscal 2009. This loss increase was primarily attributable to an increase in employee incentive compensation expense due to improved financial performance in fiscal 2010, as compared to fiscal 2009, and the elimination of TCC floor plan costs. Somewhat offsetting those factors was a decline in expenses incurred in fiscal 2009 for several legal matters that were not duplicated in fiscal 2010, income from our investment in Red Iron, overall reduced spending from our leaner cost structure as a result of actions we implemented in fiscal 2009, as well as elimination of costs incurred in fiscal 2009 for workforce adjustments.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90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Average cash and cash equivalents</w:t>
            </w:r>
          </w:p>
        </w:tc>
        <w:tc>
          <w:tcPr>
            <w:tcW w:w="3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$ 114.6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$ 175.3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188.7</w:t>
            </w:r>
          </w:p>
        </w:tc>
        <w:tc>
          <w:tcPr>
            <w:tcW w:w="540" w:type="dxa"/>
            <w:vAlign w:val="bottom"/>
          </w:tcPr>
          <w:p>
            <w:pPr>
              <w:jc w:val="right"/>
              <w:spacing w:after="0"/>
              <w:rPr>
                <w:sz w:val="20"/>
                <w:szCs w:val="20"/>
                <w:color w:val="auto"/>
              </w:rPr>
            </w:pPr>
            <w:r>
              <w:rPr>
                <w:rFonts w:ascii="Arial" w:cs="Arial" w:eastAsia="Arial" w:hAnsi="Arial"/>
                <w:sz w:val="14"/>
                <w:szCs w:val="14"/>
                <w:color w:val="auto"/>
              </w:rPr>
              <w:t>174.4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242.5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accounts payable</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149.0</w:t>
            </w:r>
          </w:p>
        </w:tc>
        <w:tc>
          <w:tcPr>
            <w:tcW w:w="540" w:type="dxa"/>
            <w:vAlign w:val="bottom"/>
          </w:tcPr>
          <w:p>
            <w:pPr>
              <w:jc w:val="right"/>
              <w:spacing w:after="0"/>
              <w:rPr>
                <w:sz w:val="20"/>
                <w:szCs w:val="20"/>
                <w:color w:val="auto"/>
              </w:rPr>
            </w:pPr>
            <w:r>
              <w:rPr>
                <w:rFonts w:ascii="Arial" w:cs="Arial" w:eastAsia="Arial" w:hAnsi="Arial"/>
                <w:sz w:val="14"/>
                <w:szCs w:val="14"/>
                <w:color w:val="auto"/>
              </w:rPr>
              <w:t>128.3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inventory turnover (times)</w:t>
            </w:r>
          </w:p>
        </w:tc>
        <w:tc>
          <w:tcPr>
            <w:tcW w:w="3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5.14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00" w:firstLine="137"/>
        <w:spacing w:after="0" w:line="235" w:lineRule="auto"/>
        <w:rPr>
          <w:sz w:val="20"/>
          <w:szCs w:val="20"/>
          <w:color w:val="auto"/>
        </w:rPr>
      </w:pPr>
      <w:r>
        <w:rPr>
          <w:rFonts w:ascii="Arial" w:cs="Arial" w:eastAsia="Arial" w:hAnsi="Arial"/>
          <w:sz w:val="18"/>
          <w:szCs w:val="18"/>
          <w:color w:val="auto"/>
        </w:rPr>
        <w:t>Average net receivables increased 8.2 percent in fiscal 2011 compared to fiscal 2010 due mainly to higher sales volumes. Our average days outstanding for receivables improved to 37 days in fiscal 2011 compared to 38 days in fiscal 2010 primarily as a result of floor plan and certain open account receivables being financed with Red Iron, our financing joint venture with TCFIF, instead of directly with us. Average net inventories increased by 28.5 percent in fiscal 2011 compared to fiscal 2010 as we prebuilt inventory during fiscal 2011, mainly for residential turf products, in anticipation of higher demand, which did not occur as expected due primarily to unfavorable weather conditions. As a result, average inventory turnover decreased by 12.9 percent in fiscal 2011 compared to fiscal 2010. Average accounts payable increased by 16.1 percent in fiscal 2011 compared to fiscal 2010, driven by higher average inventory levels and production, as well as our supply chain initiatives. As a result of the combination of these increases, our average net working capital (accounts receivable plus inventory less trade payables) as a percentage of net sales was 15.0 percent as of the end of fiscal 2011 compared to 13.9 percent as of the end of fiscal 2010.</w:t>
      </w:r>
    </w:p>
    <w:p>
      <w:pPr>
        <w:spacing w:after="0" w:line="215" w:lineRule="exact"/>
        <w:rPr>
          <w:sz w:val="20"/>
          <w:szCs w:val="20"/>
          <w:color w:val="auto"/>
        </w:rPr>
      </w:pPr>
    </w:p>
    <w:p>
      <w:pPr>
        <w:ind w:right="360" w:firstLine="146"/>
        <w:spacing w:after="0" w:line="239" w:lineRule="auto"/>
        <w:rPr>
          <w:sz w:val="20"/>
          <w:szCs w:val="20"/>
          <w:color w:val="auto"/>
        </w:rPr>
      </w:pPr>
      <w:r>
        <w:rPr>
          <w:rFonts w:ascii="Arial" w:cs="Arial" w:eastAsia="Arial" w:hAnsi="Arial"/>
          <w:sz w:val="18"/>
          <w:szCs w:val="18"/>
          <w:color w:val="auto"/>
        </w:rPr>
        <w:t>In fiscal 2012, we intend to continue our efforts on efficient asset management, with an increased focus on minimizing the amount of working capital in the supply chain and maintaining or improving</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32" w:name="page33"/>
    <w:bookmarkEnd w:id="32"/>
    <w:p>
      <w:pPr>
        <w:ind w:right="20"/>
        <w:spacing w:after="0" w:line="236" w:lineRule="auto"/>
        <w:rPr>
          <w:sz w:val="20"/>
          <w:szCs w:val="20"/>
          <w:color w:val="auto"/>
        </w:rPr>
      </w:pPr>
      <w:r>
        <w:rPr>
          <w:rFonts w:ascii="Arial" w:cs="Arial" w:eastAsia="Arial" w:hAnsi="Arial"/>
          <w:sz w:val="18"/>
          <w:szCs w:val="18"/>
          <w:color w:val="auto"/>
        </w:rPr>
        <w:t>order replenishment and service levels to end users. We expect average receivables to increase in fiscal 2012 compared to fiscal 2011 as we anticipate higher sales volumes in fiscal 2012 compared to fiscal 2011. We anticipate average inventory turnover to improve and average inventory levels to decrease in fiscal 2012 compared to fiscal 2011 due in part to increased focus on asset management to limit additional buildup of inventory levels. We also anticipate average accounts payable to increase slightly in fiscal 2012 compared to fiscal 2011 driven by our continued focus on our supply chain initiatives.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Assets</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Fiscal 2011 capital expenditures of $57.4 million were 18.0 percent higher compared to fiscal 2010. This increase was primarily attributable to production equipment and tooling expenditures for new products, as well as for a new manufacturing facility in Romania that was completed in fiscal 2011 and will increase production of our micro-irrigation water conserving products for the agricultural market. Capital expenditures for fiscal 2012 are planned to be approximately $45 million as we expect to continue to invest in new product tooling and replacement production equipment.</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assets as of October 31, 2011 were $337.8 million compared to $300.6 million as of October 31, 2010, an increase of 12.4 percent.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due primarily to the addition of intangible assets from acquisitions.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key ratios.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3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3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0.0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3960" w:type="dxa"/>
            <w:vAlign w:val="bottom"/>
          </w:tcPr>
          <w:p>
            <w:pPr>
              <w:jc w:val="right"/>
              <w:ind w:right="68"/>
              <w:spacing w:after="0"/>
              <w:rPr>
                <w:sz w:val="20"/>
                <w:szCs w:val="20"/>
                <w:color w:val="auto"/>
              </w:rPr>
            </w:pPr>
            <w:r>
              <w:rPr>
                <w:rFonts w:ascii="Arial" w:cs="Arial" w:eastAsia="Arial" w:hAnsi="Arial"/>
                <w:sz w:val="14"/>
                <w:szCs w:val="14"/>
                <w:b w:val="1"/>
                <w:bCs w:val="1"/>
                <w:color w:val="auto"/>
              </w:rPr>
              <w:t>227.2</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225.5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3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266.8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Debt-to-capitalization ratio</w:t>
            </w:r>
          </w:p>
        </w:tc>
        <w:tc>
          <w:tcPr>
            <w:tcW w:w="3960" w:type="dxa"/>
            <w:vAlign w:val="bottom"/>
          </w:tcPr>
          <w:p>
            <w:pPr>
              <w:jc w:val="right"/>
              <w:spacing w:after="0"/>
              <w:rPr>
                <w:sz w:val="20"/>
                <w:szCs w:val="20"/>
                <w:color w:val="auto"/>
              </w:rPr>
            </w:pPr>
            <w:r>
              <w:rPr>
                <w:rFonts w:ascii="Arial" w:cs="Arial" w:eastAsia="Arial" w:hAnsi="Arial"/>
                <w:sz w:val="14"/>
                <w:szCs w:val="14"/>
                <w:b w:val="1"/>
                <w:bCs w:val="1"/>
                <w:color w:val="auto"/>
              </w:rPr>
              <w:t>46.0%</w:t>
            </w:r>
          </w:p>
        </w:tc>
        <w:tc>
          <w:tcPr>
            <w:tcW w:w="10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80" w:firstLine="146"/>
        <w:spacing w:after="0" w:line="299" w:lineRule="auto"/>
        <w:rPr>
          <w:sz w:val="20"/>
          <w:szCs w:val="20"/>
          <w:color w:val="auto"/>
        </w:rPr>
      </w:pPr>
      <w:r>
        <w:rPr>
          <w:rFonts w:ascii="Arial" w:cs="Arial" w:eastAsia="Arial" w:hAnsi="Arial"/>
          <w:sz w:val="16"/>
          <w:szCs w:val="16"/>
          <w:color w:val="auto"/>
        </w:rPr>
        <w:t>Our debt-to-capitalization ratio increased in fiscal 2011 compared to fiscal 2010 due to a decrease in stockholders' equity as we continued to repurchase shares of our common stock and a slight increase in long-term debt that was issued as part of our acquisitions in fiscal 2011.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3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Each quarter in fiscal 2011, our Board of Directors declared a cash dividend of $0.20 per share, which was an 11 percent increase over our cash dividend of $0.18 per share paid each quarter in fiscal 2010. As announced on November 30, 2011, our Board of Directors recently increased our fiscal 2012 first quarter quarterly cash dividend by 10 percent to $0.22 per share from the quarterly cash dividend paid in the first quarter of fiscal 2011.</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during the past three fiscal years are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36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Cash Provided by (Used</w:t>
            </w:r>
          </w:p>
        </w:tc>
        <w:tc>
          <w:tcPr>
            <w:tcW w:w="140" w:type="dxa"/>
            <w:vAlign w:val="bottom"/>
          </w:tcPr>
          <w:p>
            <w:pPr>
              <w:spacing w:after="0"/>
              <w:rPr>
                <w:sz w:val="16"/>
                <w:szCs w:val="16"/>
                <w:color w:val="auto"/>
              </w:rPr>
            </w:pPr>
          </w:p>
        </w:tc>
      </w:tr>
      <w:tr>
        <w:trPr>
          <w:trHeight w:val="228"/>
        </w:trPr>
        <w:tc>
          <w:tcPr>
            <w:tcW w:w="63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in)</w:t>
            </w:r>
          </w:p>
        </w:tc>
      </w:tr>
      <w:tr>
        <w:trPr>
          <w:trHeight w:val="183"/>
        </w:trPr>
        <w:tc>
          <w:tcPr>
            <w:tcW w:w="63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2010</w:t>
            </w:r>
          </w:p>
        </w:tc>
        <w:tc>
          <w:tcPr>
            <w:tcW w:w="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3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31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113.9</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193.5</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251.5</w:t>
            </w:r>
          </w:p>
        </w:tc>
        <w:tc>
          <w:tcPr>
            <w:tcW w:w="1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(69.3)</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(60.8)</w:t>
            </w: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(46.0)</w:t>
            </w: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3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(140.1)</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(121.3)</w:t>
            </w:r>
          </w:p>
        </w:tc>
      </w:tr>
      <w:tr>
        <w:trPr>
          <w:trHeight w:val="189"/>
        </w:trPr>
        <w:tc>
          <w:tcPr>
            <w:tcW w:w="20" w:type="dxa"/>
            <w:vAlign w:val="bottom"/>
          </w:tcPr>
          <w:p>
            <w:pPr>
              <w:spacing w:after="0"/>
              <w:rPr>
                <w:sz w:val="16"/>
                <w:szCs w:val="16"/>
                <w:color w:val="auto"/>
              </w:rPr>
            </w:pPr>
          </w:p>
        </w:tc>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3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3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(used) provided</w:t>
            </w:r>
          </w:p>
        </w:tc>
        <w:tc>
          <w:tcPr>
            <w:tcW w:w="31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(96.5)</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88.4</w:t>
            </w:r>
          </w:p>
        </w:tc>
        <w:tc>
          <w:tcPr>
            <w:tcW w:w="140" w:type="dxa"/>
            <w:vAlign w:val="bottom"/>
            <w:shd w:val="clear" w:color="auto" w:fill="CCEEFF"/>
          </w:tcPr>
          <w:p>
            <w:pPr>
              <w:spacing w:after="0"/>
              <w:rPr>
                <w:sz w:val="13"/>
                <w:szCs w:val="13"/>
                <w:color w:val="auto"/>
              </w:rPr>
            </w:pPr>
          </w:p>
        </w:tc>
      </w:tr>
      <w:tr>
        <w:trPr>
          <w:trHeight w:val="27"/>
        </w:trPr>
        <w:tc>
          <w:tcPr>
            <w:tcW w:w="6380" w:type="dxa"/>
            <w:vAlign w:val="bottom"/>
            <w:gridSpan w:val="2"/>
          </w:tcPr>
          <w:p>
            <w:pPr>
              <w:spacing w:after="0"/>
              <w:rPr>
                <w:sz w:val="2"/>
                <w:szCs w:val="2"/>
                <w:color w:val="auto"/>
              </w:rPr>
            </w:pPr>
          </w:p>
        </w:tc>
        <w:tc>
          <w:tcPr>
            <w:tcW w:w="31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as of fiscal year end</w:t>
            </w:r>
          </w:p>
        </w:tc>
        <w:tc>
          <w:tcPr>
            <w:tcW w:w="3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80.9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177.4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w:t>
            </w:r>
          </w:p>
        </w:tc>
        <w:tc>
          <w:tcPr>
            <w:tcW w:w="140" w:type="dxa"/>
            <w:vAlign w:val="bottom"/>
          </w:tcPr>
          <w:p>
            <w:pPr>
              <w:spacing w:after="0"/>
              <w:rPr>
                <w:sz w:val="15"/>
                <w:szCs w:val="15"/>
                <w:color w:val="auto"/>
              </w:rPr>
            </w:pPr>
          </w:p>
        </w:tc>
      </w:tr>
    </w:tbl>
    <w:p>
      <w:pPr>
        <w:spacing w:after="0" w:line="199"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Our primary source of funds is cash generated from operations. In fiscal 2011,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decreased $79.6 million, or 41.2 percent, from fiscal 2010. This decrease was due to a lower amount of accounts payable as of the end of fiscal 2011 compared to the end of fiscal 2010, whereas in fiscal 2010, we had a significant increase in accounts payable as compared to the end of fiscal 2009, which contributed to an increase in cash provided by operating activities in fiscal 2010. Additionally, cash used for higher inventory levels, as previously discussed, also contributed to the decrease in cash provided by operating activities in fiscal 2011 compared to fiscal 2010, somewhat offset by higher net earnings.</w:t>
      </w:r>
    </w:p>
    <w:p>
      <w:pPr>
        <w:spacing w:after="0" w:line="19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Capital expenditures and acquisitions are our primary uses of capital resources. These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enable sales growth in new markets and expand existing markets, help us to meet product demand, and increase our manufacturing efficiencies and capacity. Cash used in investing activities was up 13.9 percent in fiscal 2011 compared to fiscal 2010 due mainly to an increase in purchases of</w:t>
      </w:r>
    </w:p>
    <w:p>
      <w:pPr>
        <w:sectPr>
          <w:pgSz w:w="11900" w:h="16838" w:orient="portrait"/>
          <w:cols w:equalWidth="0" w:num="1">
            <w:col w:w="11420"/>
          </w:cols>
          <w:pgMar w:left="240" w:top="143" w:right="239" w:bottom="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3" w:right="239" w:bottom="0" w:gutter="0" w:footer="0" w:header="0"/>
          <w:type w:val="continuous"/>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ind w:right="80"/>
        <w:spacing w:after="0" w:line="238" w:lineRule="auto"/>
        <w:rPr>
          <w:sz w:val="20"/>
          <w:szCs w:val="20"/>
          <w:color w:val="auto"/>
        </w:rPr>
      </w:pPr>
      <w:r>
        <w:rPr>
          <w:rFonts w:ascii="Arial" w:cs="Arial" w:eastAsia="Arial" w:hAnsi="Arial"/>
          <w:sz w:val="18"/>
          <w:szCs w:val="18"/>
          <w:color w:val="auto"/>
        </w:rPr>
        <w:t>property, plant, and equipment, mainly for our new manufacturing facility in Romania, and higher amounts of cash utilized for acquisitions. Those increases were somewhat offset by distributions we received in fiscal 2011 from our Red Iron joint venture whereas in fiscal 2010, we utilized cash for our investment in our Red Iron joint venture.</w:t>
      </w:r>
    </w:p>
    <w:p>
      <w:pPr>
        <w:spacing w:after="0" w:line="188"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Cash used in financing activities decreased slightly by 1.5 percent in fiscal 2011 compared to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This decrease was primarily attributable to lower levels of funds used to repurchase our common stock in fiscal 2011 compared to fiscal 2010.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Lines and Other Capital Resources</w:t>
      </w:r>
    </w:p>
    <w:p>
      <w:pPr>
        <w:spacing w:after="0" w:line="23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businesses are seasonal, with accounts receivable balances historically increasing between January and 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four-year revolving credit facility that expires in July 2015, which replaced our prior revolving facility that was scheduled to mature in January 2012.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$15 million. These facilities bear interest at various rates depending on the rates in their respective countries of operation. As of October 31, 2011, we had no outstanding short-term debt under these lines of credit. As of October 31, 2011, we also had $16 million of outstanding letters of credit. As of October 31, 2011, we had $148.8 million of unutilized availability under our credit agreements.</w:t>
      </w:r>
    </w:p>
    <w:p>
      <w:pPr>
        <w:spacing w:after="0" w:line="391" w:lineRule="exact"/>
        <w:rPr>
          <w:sz w:val="20"/>
          <w:szCs w:val="20"/>
          <w:color w:val="auto"/>
        </w:rPr>
      </w:pPr>
    </w:p>
    <w:p>
      <w:pPr>
        <w:ind w:right="80" w:firstLine="143"/>
        <w:spacing w:after="0" w:line="235" w:lineRule="auto"/>
        <w:rPr>
          <w:sz w:val="20"/>
          <w:szCs w:val="20"/>
          <w:color w:val="auto"/>
        </w:rPr>
      </w:pPr>
      <w:r>
        <w:rPr>
          <w:rFonts w:ascii="Arial" w:cs="Arial" w:eastAsia="Arial" w:hAnsi="Arial"/>
          <w:sz w:val="18"/>
          <w:szCs w:val="18"/>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EBITDA ratio from the previous quarter compliance certificate is less than or equal to 2.75; however, we are limited to $50 million per fiscal year if our debt to EBITDA ratio from the previous quarter compliance certificate is greater than 2.75. As of October 31, 2011, we are not limited to payments of cash dividends and stock repurchases as our debt to EBITDA ratio was below 2.75. We were also in compliance with all covenants related to our credit agreement for our revolving credit facility as of October 31, 2011, and we expect to be in compliance with all covenants during fiscal 2012.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fiscal 2011 by Standard and Poor's Ratings Group at BBB- and by Moody's Investors Service at Baa3.</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34" w:lineRule="exact"/>
        <w:rPr>
          <w:sz w:val="20"/>
          <w:szCs w:val="20"/>
          <w:color w:val="auto"/>
        </w:rPr>
      </w:pPr>
    </w:p>
    <w:p>
      <w:pPr>
        <w:ind w:right="580"/>
        <w:spacing w:after="0" w:line="238" w:lineRule="auto"/>
        <w:rPr>
          <w:sz w:val="20"/>
          <w:szCs w:val="20"/>
          <w:color w:val="auto"/>
        </w:rPr>
      </w:pPr>
      <w:r>
        <w:rPr>
          <w:rFonts w:ascii="Arial" w:cs="Arial" w:eastAsia="Arial" w:hAnsi="Arial"/>
          <w:sz w:val="18"/>
          <w:szCs w:val="18"/>
          <w:color w:val="auto"/>
        </w:rPr>
        <w:t>During fiscal 2011, we continued repurchasing shares of our common stock in the open market, thereby reducing our shares outstanding. In addition, our repurchase programs provided shares for use in connection with our equity compensation programs. As of October 31, 2011, 2,032,858 shares remained available for repurchase under our Board authorization.</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3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Shares of common stock purchased</w:t>
            </w:r>
          </w:p>
        </w:tc>
        <w:tc>
          <w:tcPr>
            <w:tcW w:w="3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2,296,380</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2,678,474</w:t>
            </w: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3,316,536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Cost to repurchase common stock</w:t>
            </w:r>
          </w:p>
        </w:tc>
        <w:tc>
          <w:tcPr>
            <w:tcW w:w="3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129.9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135.8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3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56.59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We expect to continue repurchasing shares of our common stock in fiscal 2012 depending upon market conditions and our cash position.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In fiscal 2009, we established our Red Iron joint venture with TCFIF. The purpose of Red Iron is to provide inventory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including floor plan and open account receivable financing, to distributors and dealers of our products in the U.S. and to select distributors of our products in Canada to enable our distributors and dealers to carry representative inventories of our products. Under a separate arrangement,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 Red Iron financed $1,111.8 million of new receivables for dealers and distributors during fiscal 2011, of which $232.6 million was outstanding as of October 31, 2011.</w:t>
      </w:r>
    </w:p>
    <w:p>
      <w:pPr>
        <w:spacing w:after="0" w:line="216" w:lineRule="exact"/>
        <w:rPr>
          <w:sz w:val="20"/>
          <w:szCs w:val="20"/>
          <w:color w:val="auto"/>
        </w:rPr>
      </w:pPr>
    </w:p>
    <w:p>
      <w:pPr>
        <w:jc w:val="both"/>
        <w:ind w:right="680" w:firstLine="146"/>
        <w:spacing w:after="0" w:line="299" w:lineRule="auto"/>
        <w:rPr>
          <w:sz w:val="20"/>
          <w:szCs w:val="20"/>
          <w:color w:val="auto"/>
        </w:rPr>
      </w:pPr>
      <w:r>
        <w:rPr>
          <w:rFonts w:ascii="Arial" w:cs="Arial" w:eastAsia="Arial" w:hAnsi="Arial"/>
          <w:sz w:val="16"/>
          <w:szCs w:val="16"/>
          <w:color w:val="auto"/>
        </w:rPr>
        <w:t>Some independent international dealers continue to finance their products with a third party financing company. This third party financing company purchased $21.1 million of receivables from us during fiscal 2011, of which $8.9 million was outstanding as of October 31, 2011.</w:t>
      </w:r>
    </w:p>
    <w:p>
      <w:pPr>
        <w:spacing w:after="0" w:line="163" w:lineRule="exact"/>
        <w:rPr>
          <w:sz w:val="20"/>
          <w:szCs w:val="20"/>
          <w:color w:val="auto"/>
        </w:rPr>
      </w:pPr>
    </w:p>
    <w:p>
      <w:pPr>
        <w:ind w:right="100" w:firstLine="146"/>
        <w:spacing w:after="0" w:line="273" w:lineRule="auto"/>
        <w:rPr>
          <w:sz w:val="20"/>
          <w:szCs w:val="20"/>
          <w:color w:val="auto"/>
        </w:rPr>
      </w:pPr>
      <w:r>
        <w:rPr>
          <w:rFonts w:ascii="Arial" w:cs="Arial" w:eastAsia="Arial" w:hAnsi="Arial"/>
          <w:sz w:val="16"/>
          <w:szCs w:val="16"/>
          <w:color w:val="auto"/>
        </w:rPr>
        <w:t>We also enter into limited inventory repurchase agreements with third party financing companies and Red Iron for receivables financed by them. As of October 31, 2011, we were contingently liable to repurchase up to a maximum amount of $10.4 million of inventory related to receivables under these financing arrangements. We have repurchased immaterial amounts of inventory from third party financing companies and Red Iron over the past three fiscal years. However, a decline in retail sales or financial difficulties of our distributors or dealers could cause this situation to change and thereby require us to repurchase financed product, which could have an adverse effect on our operating results.</w:t>
      </w:r>
    </w:p>
    <w:p>
      <w:pPr>
        <w:spacing w:after="0" w:line="183" w:lineRule="exact"/>
        <w:rPr>
          <w:sz w:val="20"/>
          <w:szCs w:val="20"/>
          <w:color w:val="auto"/>
        </w:rPr>
      </w:pPr>
    </w:p>
    <w:p>
      <w:pPr>
        <w:ind w:right="700" w:firstLine="146"/>
        <w:spacing w:after="0" w:line="238" w:lineRule="auto"/>
        <w:rPr>
          <w:sz w:val="20"/>
          <w:szCs w:val="20"/>
          <w:color w:val="auto"/>
        </w:rPr>
      </w:pPr>
      <w:r>
        <w:rPr>
          <w:rFonts w:ascii="Arial" w:cs="Arial" w:eastAsia="Arial" w:hAnsi="Arial"/>
          <w:sz w:val="18"/>
          <w:szCs w:val="18"/>
          <w:color w:val="auto"/>
        </w:rPr>
        <w:t>We continue to provide financing in the form of open account terms to home centers and mass retailers; general line irrigation dealers; international distributors and dealers other than the Canadian distributors and dealers to whom Red Iron provides financing arrangements; government customers; and rental companies.</w:t>
      </w:r>
    </w:p>
    <w:p>
      <w:pPr>
        <w:spacing w:after="0" w:line="18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b w:val="1"/>
          <w:bCs w:val="1"/>
          <w:i w:val="1"/>
          <w:iCs w:val="1"/>
          <w:color w:val="auto"/>
        </w:rPr>
        <w:t xml:space="preserve">End-User Financing. </w:t>
      </w:r>
      <w:r>
        <w:rPr>
          <w:rFonts w:ascii="Arial" w:cs="Arial" w:eastAsia="Arial" w:hAnsi="Arial"/>
          <w:sz w:val="16"/>
          <w:szCs w:val="16"/>
          <w:color w:val="auto"/>
        </w:rPr>
        <w:t>We have agreements with third party financing companies to provide lease-financing options to golf course and sports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fields and grounds equipment customers in the U.S. and Europe. The purpose of these agreements is to increase sales by giving buyers of our products alternative financing options when purchasing our products. During fiscal 2007, we entered into an amended agreement with a third party financing company that eliminated our contingent liability for any residual value risk on the underlying equipment financed under this program. In addition, under the terms of the amended agreement, we are only contingently liable for a portion of the credit collection risk for leases entered into prior to the effective date of the amended agreement. Based on actual losses and balances outstanding for leases entered into prior to the effective date of the amended agreement, we do not anticipate we would have any contingent liability for potential future losses.</w:t>
      </w:r>
    </w:p>
    <w:p>
      <w:pPr>
        <w:spacing w:after="0" w:line="184" w:lineRule="exact"/>
        <w:rPr>
          <w:sz w:val="20"/>
          <w:szCs w:val="20"/>
          <w:color w:val="auto"/>
        </w:rPr>
      </w:pPr>
    </w:p>
    <w:p>
      <w:pPr>
        <w:ind w:right="100" w:firstLine="146"/>
        <w:spacing w:after="0" w:line="238" w:lineRule="auto"/>
        <w:rPr>
          <w:sz w:val="20"/>
          <w:szCs w:val="20"/>
          <w:color w:val="auto"/>
        </w:rPr>
      </w:pPr>
      <w:r>
        <w:rPr>
          <w:rFonts w:ascii="Arial" w:cs="Arial" w:eastAsia="Arial" w:hAnsi="Arial"/>
          <w:sz w:val="18"/>
          <w:szCs w:val="18"/>
          <w:color w:val="auto"/>
        </w:rPr>
        <w:t>From time to time, we enter into agreements where we provide recourse to third party finance companies in the event of default by the customer for lease payments to the third party finance company. Our maximum exposure for credit collection under those arrangements as of October 31, 2011 was $2.3 million.</w:t>
      </w:r>
    </w:p>
    <w:p>
      <w:pPr>
        <w:spacing w:after="0" w:line="208" w:lineRule="exact"/>
        <w:rPr>
          <w:sz w:val="20"/>
          <w:szCs w:val="20"/>
          <w:color w:val="auto"/>
        </w:rPr>
      </w:pPr>
    </w:p>
    <w:p>
      <w:pPr>
        <w:ind w:firstLine="143"/>
        <w:spacing w:after="0" w:line="238"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188" w:lineRule="exact"/>
        <w:rPr>
          <w:sz w:val="20"/>
          <w:szCs w:val="20"/>
          <w:color w:val="auto"/>
        </w:rPr>
      </w:pPr>
    </w:p>
    <w:p>
      <w:pPr>
        <w:ind w:right="520"/>
        <w:spacing w:after="0" w:line="244"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From time to time, we enter into long-term loan agreements with some distributors. These transactions are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of the distributors' businesses, acquisitions, refinancing working capital agreements, or facilitation of ownership changes. As of October 31, 2011 and 2010, we had outstanding notes receivable in the aggregate of $2.4 million and $3.1 million, respectively, from two distribution companies. The amounts are included in other current and long-term assets on our consolidated balance sheets.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October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78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color w:val="auto"/>
              </w:rPr>
              <w:t>Payments Due By Period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Less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More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Than</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w:t>
            </w:r>
          </w:p>
        </w:tc>
        <w:tc>
          <w:tcPr>
            <w:tcW w:w="720" w:type="dxa"/>
            <w:vAlign w:val="bottom"/>
          </w:tcPr>
          <w:p>
            <w:pPr>
              <w:jc w:val="right"/>
              <w:spacing w:after="0"/>
              <w:rPr>
                <w:sz w:val="20"/>
                <w:szCs w:val="20"/>
                <w:color w:val="auto"/>
              </w:rPr>
            </w:pPr>
            <w:r>
              <w:rPr>
                <w:rFonts w:ascii="Arial" w:cs="Arial" w:eastAsia="Arial" w:hAnsi="Arial"/>
                <w:sz w:val="14"/>
                <w:szCs w:val="14"/>
                <w:color w:val="auto"/>
              </w:rPr>
              <w:t>than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080" w:type="dxa"/>
            <w:vAlign w:val="bottom"/>
            <w:gridSpan w:val="3"/>
          </w:tcPr>
          <w:p>
            <w:pPr>
              <w:spacing w:after="0"/>
              <w:rPr>
                <w:sz w:val="20"/>
                <w:szCs w:val="20"/>
                <w:color w:val="auto"/>
              </w:rPr>
            </w:pPr>
            <w:r>
              <w:rPr>
                <w:rFonts w:ascii="Arial" w:cs="Arial" w:eastAsia="Arial" w:hAnsi="Arial"/>
                <w:sz w:val="14"/>
                <w:szCs w:val="14"/>
                <w:color w:val="auto"/>
              </w:rPr>
              <w:t>Contractual Obligation</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 Year</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Years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Years</w:t>
            </w:r>
          </w:p>
        </w:tc>
        <w:tc>
          <w:tcPr>
            <w:tcW w:w="720" w:type="dxa"/>
            <w:vAlign w:val="bottom"/>
          </w:tcPr>
          <w:p>
            <w:pPr>
              <w:jc w:val="right"/>
              <w:spacing w:after="0"/>
              <w:rPr>
                <w:sz w:val="20"/>
                <w:szCs w:val="20"/>
                <w:color w:val="auto"/>
              </w:rPr>
            </w:pPr>
            <w:r>
              <w:rPr>
                <w:rFonts w:ascii="Arial" w:cs="Arial" w:eastAsia="Arial" w:hAnsi="Arial"/>
                <w:sz w:val="14"/>
                <w:szCs w:val="14"/>
                <w:color w:val="auto"/>
              </w:rPr>
              <w:t>5 Years</w:t>
            </w: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Long-term debt</w:t>
            </w:r>
            <w:r>
              <w:rPr>
                <w:rFonts w:ascii="Arial" w:cs="Arial" w:eastAsia="Arial" w:hAnsi="Arial"/>
                <w:sz w:val="21"/>
                <w:szCs w:val="21"/>
                <w:b w:val="1"/>
                <w:bCs w:val="1"/>
                <w:color w:val="auto"/>
                <w:vertAlign w:val="superscript"/>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$225,000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$228,736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Interest payments</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16,231</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32,233</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32,162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260,417</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341,043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Deferred compensation arrangements</w:t>
            </w:r>
            <w:r>
              <w:rPr>
                <w:rFonts w:ascii="Arial" w:cs="Arial" w:eastAsia="Arial" w:hAnsi="Arial"/>
                <w:sz w:val="21"/>
                <w:szCs w:val="21"/>
                <w:b w:val="1"/>
                <w:bCs w:val="1"/>
                <w:color w:val="auto"/>
                <w:vertAlign w:val="superscript"/>
              </w:rPr>
              <w:t>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818</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1,455</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4,297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Purchase obligations</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17,085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17,085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Operating leases</w:t>
            </w:r>
            <w:r>
              <w:rPr>
                <w:rFonts w:ascii="Arial" w:cs="Arial" w:eastAsia="Arial" w:hAnsi="Arial"/>
                <w:sz w:val="21"/>
                <w:szCs w:val="21"/>
                <w:b w:val="1"/>
                <w:bCs w:val="1"/>
                <w:color w:val="auto"/>
                <w:vertAlign w:val="superscript"/>
              </w:rPr>
              <w:t>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13,573</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18,235</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9,905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57,117</w:t>
            </w:r>
          </w:p>
        </w:tc>
        <w:tc>
          <w:tcPr>
            <w:tcW w:w="0" w:type="dxa"/>
            <w:vAlign w:val="bottom"/>
          </w:tcPr>
          <w:p>
            <w:pPr>
              <w:spacing w:after="0"/>
              <w:rPr>
                <w:sz w:val="1"/>
                <w:szCs w:val="1"/>
                <w:color w:val="auto"/>
              </w:rPr>
            </w:pPr>
          </w:p>
        </w:tc>
      </w:tr>
      <w:tr>
        <w:trPr>
          <w:trHeight w:val="27"/>
        </w:trPr>
        <w:tc>
          <w:tcPr>
            <w:tcW w:w="440" w:type="dxa"/>
            <w:vAlign w:val="bottom"/>
            <w:gridSpan w:val="2"/>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7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49,685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53,681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43,037</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$501,875</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$648,278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440" w:type="dxa"/>
            <w:vAlign w:val="bottom"/>
            <w:gridSpan w:val="2"/>
          </w:tcPr>
          <w:p>
            <w:pPr>
              <w:spacing w:after="0"/>
              <w:rPr>
                <w:sz w:val="20"/>
                <w:szCs w:val="20"/>
                <w:color w:val="auto"/>
              </w:rPr>
            </w:pPr>
            <w:r>
              <w:rPr>
                <w:rFonts w:ascii="Arial" w:cs="Arial" w:eastAsia="Arial" w:hAnsi="Arial"/>
                <w:sz w:val="11"/>
                <w:szCs w:val="11"/>
                <w:color w:val="auto"/>
              </w:rPr>
              <w:t>1</w:t>
            </w:r>
          </w:p>
        </w:tc>
        <w:tc>
          <w:tcPr>
            <w:tcW w:w="7640" w:type="dxa"/>
            <w:vAlign w:val="bottom"/>
            <w:vMerge w:val="restart"/>
          </w:tcPr>
          <w:p>
            <w:pPr>
              <w:ind w:left="100"/>
              <w:spacing w:after="0"/>
              <w:rPr>
                <w:sz w:val="20"/>
                <w:szCs w:val="20"/>
                <w:color w:val="auto"/>
              </w:rPr>
            </w:pPr>
            <w:r>
              <w:rPr>
                <w:rFonts w:ascii="Arial" w:cs="Arial" w:eastAsia="Arial" w:hAnsi="Arial"/>
                <w:sz w:val="14"/>
                <w:szCs w:val="14"/>
                <w:color w:val="auto"/>
              </w:rPr>
              <w:t>Principal payments in accordance with our long-term debt agreements.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2</w:t>
            </w: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The unfunded deferred compensation arrangements, covering certain current and retired management employees, consists primarily of salary and bonus deferrals under</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our deferred compensation plans. Our estimated distributions in the contractual obligations table are based upon a number of assumptions including termination dates and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participant elections. Deferred compensation balances are invested according to the election of the participant in an array of funds that is substantially similar to the array</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1080" w:type="dxa"/>
            <w:vAlign w:val="bottom"/>
          </w:tcPr>
          <w:p>
            <w:pPr>
              <w:ind w:left="240"/>
              <w:spacing w:after="0"/>
              <w:rPr>
                <w:sz w:val="20"/>
                <w:szCs w:val="20"/>
                <w:color w:val="auto"/>
              </w:rPr>
            </w:pPr>
            <w:r>
              <w:rPr>
                <w:rFonts w:ascii="Arial" w:cs="Arial" w:eastAsia="Arial" w:hAnsi="Arial"/>
                <w:sz w:val="14"/>
                <w:szCs w:val="14"/>
                <w:color w:val="auto"/>
              </w:rPr>
              <w:t>of funds offered under The Toro Company Investment, Savings and Employee Stock Ownership Plan, and are payable at the election of the participant.</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Operating lease obligations do not include payments to property owners covering real estate taxes and common area maintenance.</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23" w:right="239" w:bottom="1440" w:gutter="0" w:footer="0" w:header="0"/>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36" w:name="page37"/>
    <w:bookmarkEnd w:id="36"/>
    <w:p>
      <w:pPr>
        <w:ind w:right="20" w:firstLine="137"/>
        <w:spacing w:after="0" w:line="237" w:lineRule="auto"/>
        <w:rPr>
          <w:sz w:val="20"/>
          <w:szCs w:val="20"/>
          <w:color w:val="auto"/>
        </w:rPr>
      </w:pPr>
      <w:r>
        <w:rPr>
          <w:rFonts w:ascii="Arial" w:cs="Arial" w:eastAsia="Arial" w:hAnsi="Arial"/>
          <w:sz w:val="18"/>
          <w:szCs w:val="18"/>
          <w:color w:val="auto"/>
        </w:rPr>
        <w:t>As of October 31, 2011, we also had $16.4 million in outstanding letters of credit issued, including standby letters of credit, during the normal course of business, as required by some vendor contracts. In addition to the above contractual obligations, we may be obligated for additional cash outflows of $6.1 million of unrecognized tax benefits. The payment and timing of any such payments is affected by the ultimate resolution of the tax years that are under audit or remain subject to examination by the relevant taxing authorities.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Consolidated Financial Statements.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4"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We are subject to the effects of inflation, deflation, and changing prices. During fiscal 2011, we experienced higher average commodity costs compared to the average prices paid for commodities in fiscal 2010, which hampered our gross margin rate in fiscal 2011 as compared to fiscal 2010. We will continue to closely follow commodities that affect our product lines, and we anticipate average prices paid for commodities to be higher in fiscal 2012 as compared to fiscal 2011.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24, 2011, we completed the acquisition of certain assets of, and assumed certain liabilities from, Lawn Solutions Commercial</w:t>
      </w:r>
    </w:p>
    <w:p>
      <w:pPr>
        <w:ind w:right="120"/>
        <w:spacing w:after="0" w:line="238" w:lineRule="auto"/>
        <w:rPr>
          <w:sz w:val="20"/>
          <w:szCs w:val="20"/>
          <w:color w:val="auto"/>
        </w:rPr>
      </w:pPr>
      <w:r>
        <w:rPr>
          <w:rFonts w:ascii="Arial" w:cs="Arial" w:eastAsia="Arial" w:hAnsi="Arial"/>
          <w:sz w:val="18"/>
          <w:szCs w:val="18"/>
          <w:color w:val="auto"/>
        </w:rPr>
        <w:t>Products, Inc. ("Lawn Solutions"), a manufacturer of turf renovation equipment, such as aerators, seeders, power rakes, and brush cutters, for the landscape, rental, municipal, and golf markets. This acquisition broadens and strengthens our product offering line of turf renovation equipment solutions.</w:t>
      </w:r>
    </w:p>
    <w:p>
      <w:pPr>
        <w:spacing w:after="0" w:line="208"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On January 17, 2011, we completed the acquisition of certain assets of, and assumed certain liabilities from, Unique Lighting Systems, Inc. ("Unique Lighting"), a leading manufacturer of professionally installed landscape lighting fixtures and transformers for residential and commercial use. This acquisition includes products, such as the Signature, Odyssey, and Brass and Copper Knight series, and strengthens our product offering to distributors and landscape contractors as many also purchase our irrigation products.</w:t>
      </w:r>
    </w:p>
    <w:p>
      <w:pPr>
        <w:spacing w:after="0" w:line="209"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In fiscal 2010, we completed the acquisition of certain assets of, and assumed certain liabilities from, USPraxis, Inc., a manufacturer of stump grinders, wood chippers, and log splitters for rental centers and landscape professionals. The addition of these products broadens and strengthens our equipment solutions for the rental and landscape markets.</w:t>
      </w:r>
    </w:p>
    <w:p>
      <w:pPr>
        <w:spacing w:after="0" w:line="208" w:lineRule="exact"/>
        <w:rPr>
          <w:sz w:val="20"/>
          <w:szCs w:val="20"/>
          <w:color w:val="auto"/>
        </w:rPr>
      </w:pPr>
    </w:p>
    <w:p>
      <w:pPr>
        <w:ind w:right="320" w:firstLine="146"/>
        <w:spacing w:after="0" w:line="275" w:lineRule="auto"/>
        <w:rPr>
          <w:sz w:val="20"/>
          <w:szCs w:val="20"/>
          <w:color w:val="auto"/>
        </w:rPr>
      </w:pPr>
      <w:r>
        <w:rPr>
          <w:rFonts w:ascii="Arial" w:cs="Arial" w:eastAsia="Arial" w:hAnsi="Arial"/>
          <w:sz w:val="16"/>
          <w:szCs w:val="16"/>
          <w:color w:val="auto"/>
        </w:rPr>
        <w:t>In fiscal 2010, we completed the acquisition of certain assets of, and assumed certain liabilities from, one of our independent U.S. Western-based distributorships. During the first quarter of fiscal 2010, our wholly owned domestic distribution company also completed the acquisition of certain assets of, and assumed certain liabilities from, one of our independent U.S. Midwestern-based distribution companies. During the first quarter of fiscal 2009, we also completed the sale of a portion of the operations of our Midwestern-based company-owned distributorship.</w:t>
      </w:r>
    </w:p>
    <w:p>
      <w:pPr>
        <w:spacing w:after="0" w:line="183" w:lineRule="exact"/>
        <w:rPr>
          <w:sz w:val="20"/>
          <w:szCs w:val="20"/>
          <w:color w:val="auto"/>
        </w:rPr>
      </w:pPr>
    </w:p>
    <w:p>
      <w:pPr>
        <w:ind w:right="300" w:firstLine="146"/>
        <w:spacing w:after="0" w:line="237" w:lineRule="auto"/>
        <w:rPr>
          <w:sz w:val="20"/>
          <w:szCs w:val="20"/>
          <w:color w:val="auto"/>
        </w:rPr>
      </w:pPr>
      <w:r>
        <w:rPr>
          <w:rFonts w:ascii="Arial" w:cs="Arial" w:eastAsia="Arial" w:hAnsi="Arial"/>
          <w:sz w:val="18"/>
          <w:szCs w:val="18"/>
          <w:color w:val="auto"/>
        </w:rPr>
        <w:t>In fiscal 2009, we completed the purchase of certain assets of, and assumed certain liabilities from, Ty-Crop Manufacturing Ltd., a leading manufacturer of topdressing and material handling equipment for golf course and sports fields applications. The acquisition of Ty-Crop's topdressing and material handling equipment enhanced our product offering of application and cultivation equipment to help customers achieve improved agronomic conditions of turf.</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440"/>
        <w:spacing w:after="0" w:line="273" w:lineRule="auto"/>
        <w:rPr>
          <w:sz w:val="20"/>
          <w:szCs w:val="20"/>
          <w:color w:val="auto"/>
        </w:rPr>
      </w:pPr>
      <w:r>
        <w:rPr>
          <w:rFonts w:ascii="Arial" w:cs="Arial" w:eastAsia="Arial" w:hAnsi="Arial"/>
          <w:sz w:val="16"/>
          <w:szCs w:val="16"/>
          <w:color w:val="auto"/>
        </w:rPr>
        <w:t>In preparing our consolidated financial statements in conformity with U.S. generally accepted accounting principles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83"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9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 xml:space="preserve">Warranty Reserve. </w:t>
      </w:r>
      <w:r>
        <w:rPr>
          <w:rFonts w:ascii="Arial" w:cs="Arial" w:eastAsia="Arial" w:hAnsi="Arial"/>
          <w:sz w:val="18"/>
          <w:szCs w:val="18"/>
          <w:color w:val="auto"/>
        </w:rPr>
        <w:t>Warranty coverage on our products is generally for specified periods of time and on select products hours of usage,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covers parts, labor, and other expenses for</w:t>
      </w:r>
    </w:p>
    <w:p>
      <w:pPr>
        <w:sectPr>
          <w:pgSz w:w="11900" w:h="16838" w:orient="portrait"/>
          <w:cols w:equalWidth="0" w:num="1">
            <w:col w:w="11420"/>
          </w:cols>
          <w:pgMar w:left="240" w:top="143" w:right="2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7" w:name="page38"/>
    <w:bookmarkEnd w:id="37"/>
    <w:p>
      <w:pPr>
        <w:ind w:right="80"/>
        <w:spacing w:after="0" w:line="267" w:lineRule="auto"/>
        <w:rPr>
          <w:sz w:val="20"/>
          <w:szCs w:val="20"/>
          <w:color w:val="auto"/>
        </w:rPr>
      </w:pPr>
      <w:r>
        <w:rPr>
          <w:rFonts w:ascii="Arial" w:cs="Arial" w:eastAsia="Arial" w:hAnsi="Arial"/>
          <w:sz w:val="16"/>
          <w:szCs w:val="16"/>
          <w:color w:val="auto"/>
        </w:rPr>
        <w:t>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1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Sales Promotions and Incentives. </w:t>
      </w:r>
      <w:r>
        <w:rPr>
          <w:rFonts w:ascii="Arial" w:cs="Arial" w:eastAsia="Arial" w:hAnsi="Arial"/>
          <w:sz w:val="18"/>
          <w:szCs w:val="18"/>
          <w:color w:val="auto"/>
        </w:rPr>
        <w:t>At the time of sale to a customer, we record an estimate for sales promotion and incentive costs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a reduction from gross sales or as a component of SG&amp;A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9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Inventory Valuation. </w:t>
      </w:r>
      <w:r>
        <w:rPr>
          <w:rFonts w:ascii="Arial" w:cs="Arial" w:eastAsia="Arial" w:hAnsi="Arial"/>
          <w:sz w:val="18"/>
          <w:szCs w:val="18"/>
          <w:color w:val="auto"/>
        </w:rPr>
        <w:t>We value our inventories at the lower of the cost of inventory or net realizable value, with cost determined by either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215" w:lineRule="exact"/>
        <w:rPr>
          <w:sz w:val="20"/>
          <w:szCs w:val="20"/>
          <w:color w:val="auto"/>
        </w:rPr>
      </w:pPr>
    </w:p>
    <w:p>
      <w:pPr>
        <w:ind w:right="40" w:firstLine="146"/>
        <w:spacing w:after="0" w:line="237" w:lineRule="auto"/>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 xml:space="preserve">Accounts and Notes Receivable Valuation. </w:t>
      </w:r>
      <w:r>
        <w:rPr>
          <w:rFonts w:ascii="Arial" w:cs="Arial" w:eastAsia="Arial" w:hAnsi="Arial"/>
          <w:sz w:val="16"/>
          <w:szCs w:val="16"/>
          <w:color w:val="auto"/>
        </w:rPr>
        <w:t>We value accounts and notes receivable, net of an allowance for doubtful accounts. Each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A deterioration in the financial condition of any key customer, inability of customers to obtain bank credit lines, or a significant slow-down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1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In June 2011, the Financial Accounting Standards Board ("FASB") issued Accounting Standards Update ("ASU") No. 2011-05, </w:t>
      </w:r>
      <w:r>
        <w:rPr>
          <w:rFonts w:ascii="Arial" w:cs="Arial" w:eastAsia="Arial" w:hAnsi="Arial"/>
          <w:sz w:val="18"/>
          <w:szCs w:val="18"/>
          <w:i w:val="1"/>
          <w:iCs w:val="1"/>
          <w:color w:val="auto"/>
        </w:rPr>
        <w:t>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(Topic 220) – Presentation of Comprehensive Income</w:t>
      </w:r>
      <w:r>
        <w:rPr>
          <w:rFonts w:ascii="Arial" w:cs="Arial" w:eastAsia="Arial" w:hAnsi="Arial"/>
          <w:sz w:val="18"/>
          <w:szCs w:val="18"/>
          <w:color w:val="auto"/>
        </w:rPr>
        <w:t>. ASU No. 2011-05 guidance amended the presentation of comprehensive income to</w:t>
      </w:r>
      <w:r>
        <w:rPr>
          <w:rFonts w:ascii="Arial" w:cs="Arial" w:eastAsia="Arial" w:hAnsi="Arial"/>
          <w:sz w:val="18"/>
          <w:szCs w:val="18"/>
          <w:i w:val="1"/>
          <w:iCs w:val="1"/>
          <w:color w:val="auto"/>
        </w:rPr>
        <w:t xml:space="preserve"> </w:t>
      </w:r>
      <w:r>
        <w:rPr>
          <w:rFonts w:ascii="Arial" w:cs="Arial" w:eastAsia="Arial" w:hAnsi="Arial"/>
          <w:sz w:val="18"/>
          <w:szCs w:val="18"/>
          <w:color w:val="auto"/>
        </w:rPr>
        <w:t>allow an entity the option to present the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ind w:right="60"/>
        <w:spacing w:after="0" w:line="236" w:lineRule="auto"/>
        <w:rPr>
          <w:sz w:val="20"/>
          <w:szCs w:val="20"/>
          <w:color w:val="auto"/>
        </w:rPr>
      </w:pPr>
      <w:r>
        <w:rPr>
          <w:rFonts w:ascii="Arial" w:cs="Arial" w:eastAsia="Arial" w:hAnsi="Arial"/>
          <w:sz w:val="18"/>
          <w:szCs w:val="18"/>
          <w:color w:val="auto"/>
        </w:rPr>
        <w:t>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The guidance eliminates the option to present the components of other comprehensive income as part of the statement of changes in stockholders' equity. The amended guidance is effective for fiscal years, and interim periods within those years, beginning after December 15, 2011, and is to be applied retrospectively. We will adopt this guidance at the beginning of our first quarter of fiscal year 2013, as required. The adoption of this guidance is not expected to have a material impact on our consolidated financial statements.</w:t>
      </w:r>
    </w:p>
    <w:p>
      <w:pPr>
        <w:spacing w:after="0" w:line="190" w:lineRule="exact"/>
        <w:rPr>
          <w:sz w:val="20"/>
          <w:szCs w:val="20"/>
          <w:color w:val="auto"/>
        </w:rPr>
      </w:pPr>
    </w:p>
    <w:p>
      <w:pPr>
        <w:ind w:right="140" w:firstLine="146"/>
        <w:spacing w:after="0" w:line="267"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and Disclosure Requirements in U.S. GAAP and IFRS</w:t>
      </w:r>
      <w:r>
        <w:rPr>
          <w:rFonts w:ascii="Arial" w:cs="Arial" w:eastAsia="Arial" w:hAnsi="Arial"/>
          <w:sz w:val="16"/>
          <w:szCs w:val="16"/>
          <w:color w:val="auto"/>
        </w:rPr>
        <w:t>. The amendments result in a consistent definition of fair value and common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measurement of and disclosure about fair value between U.S. GAAP and International Financial Reporting Standards. The amendments clarify the application of existing fair value measurement and disclosure requirements, including: a) application of the highest and best use and valuation premise concepts, b) measurement of the fair value of an instrument classified in a reporting entity's shareholders equity, and c) quantitative disclosure about the unobservable inputs used in a fair value measurement that is categorized within Level 3 of the fair value hierarchy. The amendments also change a particular principle or requirement for fair value measurement and disclosure, including:</w:t>
      </w:r>
    </w:p>
    <w:p>
      <w:pPr>
        <w:spacing w:after="0" w:line="3" w:lineRule="exact"/>
        <w:rPr>
          <w:sz w:val="20"/>
          <w:szCs w:val="20"/>
          <w:color w:val="auto"/>
        </w:rPr>
      </w:pPr>
    </w:p>
    <w:p>
      <w:pPr>
        <w:ind w:firstLine="8"/>
        <w:spacing w:after="0" w:line="275" w:lineRule="auto"/>
        <w:tabs>
          <w:tab w:leader="none" w:pos="2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measurement of the fair value of financial instruments that are managed within a portfolio, b) application of premiums and discounts in a fair value measurement, and c) additional disclosure about fair value measurements. The amendments are effective during interim and annual periods beginning after December 15, 2011, and are to be applied prospectively. We will adopt the amendments of ASU No. 2011-04 at the beginning of our second quarter of fiscal year 2012, as required. The adoption of this guidance is not expected to have a material impact on our disclosures.</w:t>
      </w:r>
    </w:p>
    <w:p>
      <w:pPr>
        <w:spacing w:after="0" w:line="183" w:lineRule="exact"/>
        <w:rPr>
          <w:sz w:val="20"/>
          <w:szCs w:val="20"/>
          <w:color w:val="auto"/>
        </w:rPr>
      </w:pPr>
    </w:p>
    <w:p>
      <w:pPr>
        <w:ind w:right="260" w:firstLine="146"/>
        <w:spacing w:after="0" w:line="239"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2011 has had or is expected to have a material impact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4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In the normal course of business, we actively manage the exposure of our foreign currency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market risk by entering into various hedging instruments, authorized under company policies that place controls on these activities, with counterparties that are highly rated financial institutions. Our hedging activities involve the primary use of forward currency contracts. Additionally, in fiscal 2011, we implemented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currency exchange rate exposures are with the Euro, the Australian dollar, the Canadian dollar, the British pound, the Mexican peso, the Japanese yen, and the Chinese Yuan against the U.S. dollar. We also have exposure with the Romanian New Lei against the Euro and the U.S. dollar as a result of our new manufacturing facility in Romania.</w:t>
      </w:r>
    </w:p>
    <w:p>
      <w:pPr>
        <w:spacing w:after="0" w:line="214"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Further information regarding gains and losses on our derivative instruments is presented in Note 14 of the Notes to Consolidated Financial Statements.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9" w:name="page40"/>
    <w:bookmarkEnd w:id="39"/>
    <w:p>
      <w:pPr>
        <w:ind w:right="20" w:firstLine="143"/>
        <w:spacing w:after="0" w:line="236" w:lineRule="auto"/>
        <w:rPr>
          <w:sz w:val="20"/>
          <w:szCs w:val="20"/>
          <w:color w:val="auto"/>
        </w:rPr>
      </w:pPr>
      <w:r>
        <w:rPr>
          <w:rFonts w:ascii="Arial" w:cs="Arial" w:eastAsia="Arial" w:hAnsi="Arial"/>
          <w:sz w:val="18"/>
          <w:szCs w:val="18"/>
          <w:color w:val="auto"/>
        </w:rPr>
        <w:t>The following foreign currency exchange contracts held by us have maturity dates in fiscal 2012 and 2013. All items are non-trading and stated in U.S. dollars. Some derivative instruments we enter into do not meet cash flow hedge accounting criteria; therefore, changes in fair value are recorded in other income (expense), net. The average contracted rate, notional amount, pre-tax value of derivative instruments in accumulated other comprehensive loss ("AOCL"), and fair value impact of derivative instruments in other income (expense), net as of and for the fiscal year ended October 31, 2011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Value in</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660" w:type="dxa"/>
            <w:vAlign w:val="bottom"/>
          </w:tcPr>
          <w:p>
            <w:pPr>
              <w:jc w:val="right"/>
              <w:spacing w:after="0"/>
              <w:rPr>
                <w:sz w:val="20"/>
                <w:szCs w:val="20"/>
                <w:color w:val="auto"/>
              </w:rPr>
            </w:pPr>
            <w:r>
              <w:rPr>
                <w:rFonts w:ascii="Arial" w:cs="Arial" w:eastAsia="Arial" w:hAnsi="Arial"/>
                <w:sz w:val="14"/>
                <w:szCs w:val="14"/>
                <w:color w:val="auto"/>
              </w:rPr>
              <w:t>Average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AOCL</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Impact</w:t>
            </w:r>
          </w:p>
        </w:tc>
        <w:tc>
          <w:tcPr>
            <w:tcW w:w="0" w:type="dxa"/>
            <w:vAlign w:val="bottom"/>
          </w:tcPr>
          <w:p>
            <w:pPr>
              <w:spacing w:after="0"/>
              <w:rPr>
                <w:sz w:val="1"/>
                <w:szCs w:val="1"/>
                <w:color w:val="auto"/>
              </w:rPr>
            </w:pPr>
          </w:p>
        </w:tc>
      </w:tr>
      <w:tr>
        <w:trPr>
          <w:trHeight w:val="162"/>
        </w:trPr>
        <w:tc>
          <w:tcPr>
            <w:tcW w:w="57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66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680" w:type="dxa"/>
            <w:vAlign w:val="bottom"/>
          </w:tcPr>
          <w:p>
            <w:pPr>
              <w:jc w:val="right"/>
              <w:spacing w:after="0"/>
              <w:rPr>
                <w:sz w:val="20"/>
                <w:szCs w:val="20"/>
                <w:color w:val="auto"/>
              </w:rPr>
            </w:pPr>
            <w:r>
              <w:rPr>
                <w:rFonts w:ascii="Arial" w:cs="Arial" w:eastAsia="Arial" w:hAnsi="Arial"/>
                <w:sz w:val="14"/>
                <w:szCs w:val="14"/>
                <w:color w:val="auto"/>
              </w:rPr>
              <w:t>Notional</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78"/>
        </w:trPr>
        <w:tc>
          <w:tcPr>
            <w:tcW w:w="5700" w:type="dxa"/>
            <w:vAlign w:val="bottom"/>
            <w:gridSpan w:val="2"/>
          </w:tcPr>
          <w:p>
            <w:pPr>
              <w:spacing w:after="0"/>
              <w:rPr>
                <w:sz w:val="20"/>
                <w:szCs w:val="20"/>
                <w:color w:val="auto"/>
              </w:rPr>
            </w:pPr>
            <w:r>
              <w:rPr>
                <w:rFonts w:ascii="Arial" w:cs="Arial" w:eastAsia="Arial" w:hAnsi="Arial"/>
                <w:sz w:val="14"/>
                <w:szCs w:val="14"/>
                <w:color w:val="auto"/>
              </w:rPr>
              <w:t>(except average contracted rate)</w:t>
            </w:r>
          </w:p>
        </w:tc>
        <w:tc>
          <w:tcPr>
            <w:tcW w:w="3660" w:type="dxa"/>
            <w:vAlign w:val="bottom"/>
          </w:tcPr>
          <w:p>
            <w:pPr>
              <w:jc w:val="right"/>
              <w:spacing w:after="0"/>
              <w:rPr>
                <w:sz w:val="20"/>
                <w:szCs w:val="20"/>
                <w:color w:val="auto"/>
              </w:rPr>
            </w:pPr>
            <w:r>
              <w:rPr>
                <w:rFonts w:ascii="Arial" w:cs="Arial" w:eastAsia="Arial" w:hAnsi="Arial"/>
                <w:sz w:val="14"/>
                <w:szCs w:val="14"/>
                <w:color w:val="auto"/>
              </w:rPr>
              <w:t>Rate</w:t>
            </w:r>
          </w:p>
        </w:tc>
        <w:tc>
          <w:tcPr>
            <w:tcW w:w="680" w:type="dxa"/>
            <w:vAlign w:val="bottom"/>
          </w:tcPr>
          <w:p>
            <w:pPr>
              <w:jc w:val="right"/>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Gain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Canadian dollar</w:t>
            </w:r>
          </w:p>
        </w:tc>
        <w:tc>
          <w:tcPr>
            <w:tcW w:w="3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0.9681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$11,569.4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(509.5)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b w:val="1"/>
                <w:bCs w:val="1"/>
                <w:color w:val="auto"/>
              </w:rPr>
              <w:t>Buy U.S. $/Sell Australian dollar</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auto"/>
              </w:rPr>
              <w:t>0.9950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68,894.8</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(748.0)</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(6,119.3)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3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1.4047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82,244.4</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1,733.4</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(2,753.6)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b w:val="1"/>
                <w:bCs w:val="1"/>
                <w:color w:val="auto"/>
              </w:rPr>
              <w:t>Buy U.S. $/Sell British pound</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auto"/>
              </w:rPr>
              <w:t>1.5964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3,512.1</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Mexican peso/Sell U.S. $</w:t>
            </w:r>
          </w:p>
        </w:tc>
        <w:tc>
          <w:tcPr>
            <w:tcW w:w="3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13.0696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29,687.2</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(1,414.7)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1,182.7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b w:val="1"/>
                <w:bCs w:val="1"/>
                <w:color w:val="auto"/>
              </w:rPr>
              <w:t>Buy British Pound/Sell Euro</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auto"/>
              </w:rPr>
              <w:t>0.8709</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6,304.6</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Swiss Franc/Sell Romanian New Lei</w:t>
            </w:r>
          </w:p>
        </w:tc>
        <w:tc>
          <w:tcPr>
            <w:tcW w:w="3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1,106.2</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b w:val="1"/>
                <w:bCs w:val="1"/>
                <w:color w:val="auto"/>
              </w:rPr>
              <w:t>Buy Euro/Sell U.S. $</w:t>
            </w:r>
          </w:p>
        </w:tc>
        <w:tc>
          <w:tcPr>
            <w:tcW w:w="3660" w:type="dxa"/>
            <w:vAlign w:val="bottom"/>
          </w:tcPr>
          <w:p>
            <w:pPr>
              <w:jc w:val="right"/>
              <w:spacing w:after="0"/>
              <w:rPr>
                <w:sz w:val="20"/>
                <w:szCs w:val="20"/>
                <w:color w:val="auto"/>
              </w:rPr>
            </w:pPr>
            <w:r>
              <w:rPr>
                <w:rFonts w:ascii="Arial" w:cs="Arial" w:eastAsia="Arial" w:hAnsi="Arial"/>
                <w:sz w:val="14"/>
                <w:szCs w:val="14"/>
                <w:b w:val="1"/>
                <w:bCs w:val="1"/>
                <w:color w:val="auto"/>
              </w:rPr>
              <w:t>1.3859</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6,132.8</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(523.1)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Euro/Sell Romanian New Lei</w:t>
            </w:r>
          </w:p>
        </w:tc>
        <w:tc>
          <w:tcPr>
            <w:tcW w:w="3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4.3895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19,292.7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220" w:firstLine="146"/>
        <w:spacing w:after="0" w:line="238"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8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Our market risk on interest rates relates primarily to LIBOR-based short-term debt from commercial banks,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increase in fair value of long-term debt resulting from a potential decrease in interest rates. However, we do not have a cash flow or earnings exposure due to market risks on long-term debt. We generally do not use interest rate swaps to mitigate the impact of fluctuations in interest rates. Included in long-term debt is $227.2 million of fixed-rate debt that is not subject to variable interest rate fluctuations. As a result, we have no earnings or cash flow exposure due to market risks on our long-term debt obligations. As of October 31, 2011, the estimated fair value of long-term debt with fixed interest rates was $248.7 million compared to its carrying amount of $228.7 million. The fair value is estimated by discounting the projected cash flows using the rate that similar amounts and terms of debt could currently be borrowed.</w:t>
      </w:r>
    </w:p>
    <w:p>
      <w:pPr>
        <w:spacing w:after="0" w:line="211"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During the second quarter of fiscal 2007, we entered into three treasury lock agreements based on a 30-year U.S. Treasury security 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was recorded in accumulated other comprehensive loss, and will be amortized to interest expense over the 30-year term of the senior notes.</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i w:val="1"/>
          <w:iCs w:val="1"/>
          <w:color w:val="auto"/>
        </w:rPr>
        <w:t xml:space="preserve">Commodity Risk. </w:t>
      </w:r>
      <w:r>
        <w:rPr>
          <w:rFonts w:ascii="Arial" w:cs="Arial" w:eastAsia="Arial" w:hAnsi="Arial"/>
          <w:sz w:val="18"/>
          <w:szCs w:val="18"/>
          <w:color w:val="auto"/>
        </w:rPr>
        <w:t>We are subject to market risk from fluctuating market prices of certain purchased commodity raw materials including steel,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aluminum, fuel, petroleum-based resin, and linerboard. In addition, we are a purchaser of components and parts containing various commodities, including steel, aluminum, copper, lead, rubber, and others that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 We enter into fixed-price contracts for future purchases of natural gas in the normal course of operations as a means to manage natural gas price risks. Our manufacturing facilities enter into these fixed-price contracts for approximately 40 to 80 percent of their monthly-anticipated usage.</w:t>
      </w:r>
    </w:p>
    <w:p>
      <w:pPr>
        <w:spacing w:after="0" w:line="194"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trading price volatility of our common stock impacts compensation expense related to our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Further information is presented in Note 10 of the Notes to Consolidated Financial Statements regarding our stock-based compensation plans.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w:t>
      </w:r>
    </w:p>
    <w:p>
      <w:pPr>
        <w:ind w:right="40"/>
        <w:spacing w:after="0" w:line="238" w:lineRule="auto"/>
        <w:rPr>
          <w:sz w:val="20"/>
          <w:szCs w:val="20"/>
          <w:color w:val="auto"/>
        </w:rPr>
      </w:pPr>
      <w:r>
        <w:rPr>
          <w:rFonts w:ascii="Arial" w:cs="Arial" w:eastAsia="Arial" w:hAnsi="Arial"/>
          <w:sz w:val="18"/>
          <w:szCs w:val="18"/>
          <w:color w:val="auto"/>
        </w:rPr>
        <w:t>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208"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ind w:right="180" w:firstLine="146"/>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83"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and Chief Executive Officer and Vice President, Finance and Chief Financial Officer, evaluated the effectiveness of the company's internal control over financial reporting as of October 31, 2011. In making this evaluation,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w:t>
      </w:r>
      <w:r>
        <w:rPr>
          <w:rFonts w:ascii="Arial" w:cs="Arial" w:eastAsia="Arial" w:hAnsi="Arial"/>
          <w:sz w:val="18"/>
          <w:szCs w:val="18"/>
          <w:color w:val="auto"/>
        </w:rPr>
        <w:t>. Based on this assessment, management concluded that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was effective as of October 31, 2011.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75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751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200" w:lineRule="exact"/>
        <w:rPr>
          <w:sz w:val="20"/>
          <w:szCs w:val="20"/>
          <w:color w:val="auto"/>
        </w:rPr>
      </w:pPr>
    </w:p>
    <w:p>
      <w:pPr>
        <w:spacing w:after="0" w:line="39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Further discussion of the Company's internal controls and procedures is included in Part II, Item 9A, "Controls and Procedures" of this report.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rPr>
          <w:sz w:val="20"/>
          <w:szCs w:val="20"/>
          <w:color w:val="auto"/>
        </w:rPr>
      </w:pPr>
      <w:r>
        <w:rPr>
          <w:rFonts w:ascii="Arial" w:cs="Arial" w:eastAsia="Arial" w:hAnsi="Arial"/>
          <w:sz w:val="18"/>
          <w:szCs w:val="18"/>
          <w:color w:val="auto"/>
        </w:rPr>
        <w:t>The Toro Company:</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and subsidiaries as of October 31, 2011 and 2010 and the related consolidated statements of earnings, stockholders' equity and comprehensive income, and cash flows for each of the years in the three-year period ended October 31, 2011. In connection with our audits of the consolidated financial statements, we also have audited the financial statement schedule listed in Item 15(a) 2. We also have audited The Toro Company's internal control over financial reporting as of October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Toro Company's management is responsible for these consolidated financial statements and the identified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15"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and financial statement schedule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5" w:lineRule="exact"/>
        <w:rPr>
          <w:sz w:val="20"/>
          <w:szCs w:val="20"/>
          <w:color w:val="auto"/>
        </w:rPr>
      </w:pPr>
    </w:p>
    <w:p>
      <w:pPr>
        <w:ind w:firstLine="137"/>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Toro Company as of October 31, 2011 and 2010 and the results of their operations and their cash flows for each of the years in the three-year period ended October 31, 2011, in conformity with U.S. generally accepted accounting principles. Also in our opinion, the identified financial statement schedule, when considered in relation to the basic consolidated financial statements taken as a whole, presents fairly, in all material respects, the information set forth therein. Also in our opinion, The Toro Company maintained, in all material respects, effective internal control over financial reporting as of October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294765"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947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December 21, 2011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24"/>
          <w:szCs w:val="24"/>
          <w:b w:val="1"/>
          <w:bCs w:val="1"/>
          <w:color w:val="auto"/>
        </w:rPr>
        <w:t>CONSOLIDATED STATEMENTS OF EARNINGS</w:t>
      </w: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and shares in thousands, except per share data) Fiscal years ended October 31</w:t>
            </w:r>
          </w:p>
        </w:tc>
        <w:tc>
          <w:tcPr>
            <w:tcW w:w="8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2010</w:t>
            </w: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1,883,953</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7"/>
              </w:rPr>
              <w:t>1,690,378</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1,523,447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sales</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1,247,306</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1,113,987</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1,012,472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636,647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576,391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510,975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452,160</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425,125</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Operating earnings</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184,487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151,266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115,197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spacing w:after="0" w:line="202" w:lineRule="exact"/>
              <w:rPr>
                <w:sz w:val="20"/>
                <w:szCs w:val="20"/>
                <w:color w:val="auto"/>
              </w:rPr>
            </w:pPr>
            <w:r>
              <w:rPr>
                <w:rFonts w:ascii="Arial" w:cs="Arial" w:eastAsia="Arial" w:hAnsi="Arial"/>
                <w:sz w:val="18"/>
                <w:szCs w:val="18"/>
                <w:b w:val="1"/>
                <w:bCs w:val="1"/>
                <w:color w:val="auto"/>
              </w:rPr>
              <w:t>Interest expense</w:t>
            </w:r>
          </w:p>
        </w:tc>
        <w:tc>
          <w:tcPr>
            <w:tcW w:w="8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(16,970)</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(17,113)</w:t>
            </w: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 net</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7,309</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7,115</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Earnings before income taxes</w:t>
            </w:r>
          </w:p>
        </w:tc>
        <w:tc>
          <w:tcPr>
            <w:tcW w:w="88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174,826</w:t>
            </w:r>
          </w:p>
        </w:tc>
        <w:tc>
          <w:tcPr>
            <w:tcW w:w="140" w:type="dxa"/>
            <w:vAlign w:val="bottom"/>
          </w:tcPr>
          <w:p>
            <w:pPr>
              <w:spacing w:after="0"/>
              <w:rPr>
                <w:sz w:val="17"/>
                <w:szCs w:val="17"/>
                <w:color w:val="auto"/>
              </w:rPr>
            </w:pPr>
          </w:p>
        </w:tc>
        <w:tc>
          <w:tcPr>
            <w:tcW w:w="9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141,268</w:t>
            </w: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95,788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Provision for income taxes</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57,168</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48,031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Net earnings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117,658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93,237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earnings per share of common stock</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3.76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net earnings per share of common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of common stock outstanding – Basic</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31,267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32,982</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35,788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Weighted-average number of shares of common stock outstanding – Diluted</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31,797</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33,437</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43" w:name="page44"/>
    <w:bookmarkEnd w:id="43"/>
    <w:p>
      <w:pPr>
        <w:ind w:left="3580"/>
        <w:spacing w:after="0"/>
        <w:rPr>
          <w:sz w:val="20"/>
          <w:szCs w:val="20"/>
          <w:color w:val="auto"/>
        </w:rPr>
      </w:pPr>
      <w:r>
        <w:rPr>
          <w:rFonts w:ascii="Arial" w:cs="Arial" w:eastAsia="Arial" w:hAnsi="Arial"/>
          <w:sz w:val="24"/>
          <w:szCs w:val="24"/>
          <w:b w:val="1"/>
          <w:bCs w:val="1"/>
          <w:color w:val="auto"/>
        </w:rPr>
        <w:t>CONSOLIDATED BALANCE SHEETS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1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 October 31</w:t>
            </w: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80,886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177,366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Receivables,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60" w:type="dxa"/>
            <w:vAlign w:val="bottom"/>
          </w:tcPr>
          <w:p>
            <w:pPr>
              <w:ind w:left="280"/>
              <w:spacing w:after="0" w:line="184" w:lineRule="exact"/>
              <w:rPr>
                <w:sz w:val="20"/>
                <w:szCs w:val="20"/>
                <w:color w:val="auto"/>
              </w:rPr>
            </w:pPr>
            <w:r>
              <w:rPr>
                <w:rFonts w:ascii="Arial" w:cs="Arial" w:eastAsia="Arial" w:hAnsi="Arial"/>
                <w:sz w:val="18"/>
                <w:szCs w:val="18"/>
                <w:b w:val="1"/>
                <w:bCs w:val="1"/>
                <w:color w:val="auto"/>
              </w:rPr>
              <w:t>Customers (net of $1,964 and $3,828 as of October 31, 2011 and 2010,</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b w:val="1"/>
                <w:bCs w:val="1"/>
                <w:color w:val="auto"/>
              </w:rPr>
              <w:t>respectively, for allowance for doubtful accounts)</w:t>
            </w:r>
          </w:p>
        </w:tc>
        <w:tc>
          <w:tcPr>
            <w:tcW w:w="2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142,400</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128,354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5,740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Total receivables, net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148,140</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142,901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Inventories,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223,030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194,402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Prepaid expenses and other current assets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18,303</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10,766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62,523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532,882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584,973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191,140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173,407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19,075</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17,880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92,020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86,400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Other intangible assets, net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35,546</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870,663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885,622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6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Current portion of long-term debt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1,978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Short-term debt</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Accounts payable</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5"/>
              </w:rPr>
              <w:t>118,036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125,138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Accrued liabilities: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Warranty</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62,730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Advertising and marketing programs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47,161</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43,095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Compensation and benefit costs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53,653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Insurance</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19,417</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24,858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2,504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53,560</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359,080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368,283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Long-term debt, less current portion</w:t>
            </w:r>
          </w:p>
        </w:tc>
        <w:tc>
          <w:tcPr>
            <w:tcW w:w="260" w:type="dxa"/>
            <w:vAlign w:val="bottom"/>
          </w:tcPr>
          <w:p>
            <w:pPr>
              <w:spacing w:after="0"/>
              <w:rPr>
                <w:sz w:val="17"/>
                <w:szCs w:val="17"/>
                <w:color w:val="auto"/>
              </w:rPr>
            </w:pP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225,178</w:t>
            </w:r>
          </w:p>
        </w:tc>
        <w:tc>
          <w:tcPr>
            <w:tcW w:w="1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5"/>
              </w:rPr>
              <w:t>223,578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revenue</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10,619</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1,368</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7,651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Preferred stock, par value $1.00, authorized 1,000,000 voting and 850,000 non-</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voting shares, none issued and outstanding</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60" w:type="dxa"/>
            <w:vAlign w:val="bottom"/>
          </w:tcPr>
          <w:p>
            <w:pPr>
              <w:ind w:left="280"/>
              <w:spacing w:after="0" w:line="184" w:lineRule="exact"/>
              <w:rPr>
                <w:sz w:val="20"/>
                <w:szCs w:val="20"/>
                <w:color w:val="auto"/>
              </w:rPr>
            </w:pPr>
            <w:r>
              <w:rPr>
                <w:rFonts w:ascii="Arial" w:cs="Arial" w:eastAsia="Arial" w:hAnsi="Arial"/>
                <w:sz w:val="18"/>
                <w:szCs w:val="18"/>
                <w:b w:val="1"/>
                <w:bCs w:val="1"/>
                <w:color w:val="auto"/>
              </w:rPr>
              <w:t>Common stock, par value $1.00, authorized 100,000,000 shares, issued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420"/>
              <w:spacing w:after="0" w:line="202" w:lineRule="exact"/>
              <w:rPr>
                <w:sz w:val="20"/>
                <w:szCs w:val="20"/>
                <w:color w:val="auto"/>
              </w:rPr>
            </w:pPr>
            <w:r>
              <w:rPr>
                <w:rFonts w:ascii="Arial" w:cs="Arial" w:eastAsia="Arial" w:hAnsi="Arial"/>
                <w:sz w:val="18"/>
                <w:szCs w:val="18"/>
                <w:b w:val="1"/>
                <w:bCs w:val="1"/>
                <w:color w:val="auto"/>
                <w:w w:val="99"/>
              </w:rPr>
              <w:t>outstanding 29,603,095 shares as of October 31, 2011 and 31,394,942 shares as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b w:val="1"/>
                <w:bCs w:val="1"/>
                <w:color w:val="auto"/>
              </w:rPr>
              <w:t>of October 31, 2010</w:t>
            </w:r>
          </w:p>
        </w:tc>
        <w:tc>
          <w:tcPr>
            <w:tcW w:w="2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29,603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Retained earnings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5"/>
              </w:rPr>
              <w:t>243,990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253,477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8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(6,826)</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266,767</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275,810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870,663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885,622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14" w:right="1379" w:bottom="1440" w:gutter="0" w:footer="0" w:header="0"/>
        </w:sectPr>
      </w:pPr>
    </w:p>
    <w:bookmarkStart w:id="44" w:name="page45"/>
    <w:bookmarkEnd w:id="44"/>
    <w:p>
      <w:pPr>
        <w:ind w:left="2820"/>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6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2010</w:t>
            </w: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Net earnings</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117,658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93,237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62,837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shd w:val="clear" w:color="auto" w:fill="CCEEFF"/>
          </w:tcPr>
          <w:p>
            <w:pPr>
              <w:ind w:left="140"/>
              <w:spacing w:after="0" w:line="184" w:lineRule="exact"/>
              <w:rPr>
                <w:sz w:val="20"/>
                <w:szCs w:val="20"/>
                <w:color w:val="auto"/>
              </w:rPr>
            </w:pPr>
            <w:r>
              <w:rPr>
                <w:rFonts w:ascii="Arial" w:cs="Arial" w:eastAsia="Arial" w:hAnsi="Arial"/>
                <w:sz w:val="18"/>
                <w:szCs w:val="18"/>
                <w:b w:val="1"/>
                <w:bCs w:val="1"/>
                <w:color w:val="auto"/>
              </w:rPr>
              <w:t>Adjustments to reconcile net earnings to net cash provided by</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8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Provision for depreciation, amortization, and impairment losses</w:t>
            </w:r>
          </w:p>
        </w:tc>
        <w:tc>
          <w:tcPr>
            <w:tcW w:w="32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48,506</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45,011</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44,535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Noncash (income) loss from affiliates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(5,682)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Gain on disposal of property, plant, and equipment</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(Increase) decrease in deferred income taxes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2,940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Stock-based compensation expense</w:t>
            </w:r>
          </w:p>
        </w:tc>
        <w:tc>
          <w:tcPr>
            <w:tcW w:w="32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8,533</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6,442</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shd w:val="clear" w:color="auto" w:fill="CCEEFF"/>
          </w:tcPr>
          <w:p>
            <w:pPr>
              <w:ind w:left="140"/>
              <w:spacing w:after="0" w:line="184" w:lineRule="exact"/>
              <w:rPr>
                <w:sz w:val="20"/>
                <w:szCs w:val="20"/>
                <w:color w:val="auto"/>
              </w:rPr>
            </w:pPr>
            <w:r>
              <w:rPr>
                <w:rFonts w:ascii="Arial" w:cs="Arial" w:eastAsia="Arial" w:hAnsi="Arial"/>
                <w:sz w:val="18"/>
                <w:szCs w:val="18"/>
                <w:b w:val="1"/>
                <w:bCs w:val="1"/>
                <w:color w:val="auto"/>
              </w:rPr>
              <w:t>Changes in operating assets and liabilities, net of effect of</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8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acquisitions:</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Receivables, net</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(2,908)</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126,721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Inventories, net</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(25,667)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Prepaid expenses and other assets</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(7,144)</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3,056</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Accounts payable, accrued liabilities, deferred revenue, and other</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long-term liabilities</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55,505</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113,877</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193,507</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Purchases of property, plant, and equipment, net</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(57,447)</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(48,699)</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(37,939)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Proceeds from asset disposals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653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Distributions from (investments in) finance affiliate, net</w:t>
            </w:r>
          </w:p>
        </w:tc>
        <w:tc>
          <w:tcPr>
            <w:tcW w:w="32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3,034</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(3,659)</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(Increase) decrease in other assets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Acquisitions, net of cash acquired</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(15,155)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(9,657)</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(69,275)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(60,806)</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(Decrease) increase in short-term debt, net</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(776)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Repayments of long-term debt</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(1,857)</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(3,646)</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2,988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3,396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Proceeds from exercise of stock options</w:t>
            </w:r>
          </w:p>
        </w:tc>
        <w:tc>
          <w:tcPr>
            <w:tcW w:w="32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14,467</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16,680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13,726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Purchases of Toro common stock</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(129,955)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(135,777)</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5"/>
              </w:rPr>
              <w:t>(115,283)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Dividends paid on Toro common stock</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(24,970)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(23,721)</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(140,103)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(142,292)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5"/>
              </w:rPr>
              <w:t>(121,305)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Effect of exchange rates on cash</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(96,480)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(10,407)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88,414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as of the beginning of the fiscal year</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177,366</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187,773</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as of the end of the fiscal year</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80,886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177,366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187,773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Cash paid during the fiscal year for:</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Interest</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17,120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17,281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17,724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60,296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28,569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Shares issued in connection with stock-based compensation plans</w:t>
            </w:r>
          </w:p>
        </w:tc>
        <w:tc>
          <w:tcPr>
            <w:tcW w:w="32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4,005</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903</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Long-term debt issued in connection with acquisitions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3,515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14" w:right="1379" w:bottom="1440" w:gutter="0" w:footer="0" w:header="0"/>
        </w:sectPr>
      </w:pPr>
    </w:p>
    <w:bookmarkStart w:id="45" w:name="page46"/>
    <w:bookmarkEnd w:id="45"/>
    <w:p>
      <w:pPr>
        <w:jc w:val="center"/>
        <w:ind w:right="-1099"/>
        <w:spacing w:after="0"/>
        <w:rPr>
          <w:sz w:val="20"/>
          <w:szCs w:val="20"/>
          <w:color w:val="auto"/>
        </w:rPr>
      </w:pPr>
      <w:r>
        <w:rPr>
          <w:rFonts w:ascii="Arial" w:cs="Arial" w:eastAsia="Arial" w:hAnsi="Arial"/>
          <w:sz w:val="24"/>
          <w:szCs w:val="24"/>
          <w:b w:val="1"/>
          <w:bCs w:val="1"/>
          <w:color w:val="auto"/>
        </w:rPr>
        <w:t>CONSOLIDATED STATEMENTS OF STOCKHOLDERS' EQUITY</w:t>
      </w:r>
    </w:p>
    <w:p>
      <w:pPr>
        <w:spacing w:after="0" w:line="36" w:lineRule="exact"/>
        <w:rPr>
          <w:sz w:val="20"/>
          <w:szCs w:val="20"/>
          <w:color w:val="auto"/>
        </w:rPr>
      </w:pPr>
    </w:p>
    <w:p>
      <w:pPr>
        <w:jc w:val="center"/>
        <w:ind w:right="-1039"/>
        <w:spacing w:after="0"/>
        <w:rPr>
          <w:sz w:val="20"/>
          <w:szCs w:val="20"/>
          <w:color w:val="auto"/>
        </w:rPr>
      </w:pPr>
      <w:r>
        <w:rPr>
          <w:rFonts w:ascii="Arial" w:cs="Arial" w:eastAsia="Arial" w:hAnsi="Arial"/>
          <w:sz w:val="24"/>
          <w:szCs w:val="24"/>
          <w:b w:val="1"/>
          <w:bCs w:val="1"/>
          <w:color w:val="auto"/>
        </w:rPr>
        <w:t>AND COMPREHENSIVE INCOME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Accumulated</w:t>
            </w: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Common</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color w:val="auto"/>
                <w:w w:val="99"/>
              </w:rPr>
              <w:t>Comprehensive</w:t>
            </w:r>
          </w:p>
        </w:tc>
        <w:tc>
          <w:tcPr>
            <w:tcW w:w="1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Stockholders'</w:t>
            </w:r>
          </w:p>
        </w:tc>
        <w:tc>
          <w:tcPr>
            <w:tcW w:w="1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Comprehensive</w:t>
            </w:r>
          </w:p>
        </w:tc>
        <w:tc>
          <w:tcPr>
            <w:tcW w:w="0" w:type="dxa"/>
            <w:vAlign w:val="bottom"/>
          </w:tcPr>
          <w:p>
            <w:pPr>
              <w:spacing w:after="0"/>
              <w:rPr>
                <w:sz w:val="1"/>
                <w:szCs w:val="1"/>
                <w:color w:val="auto"/>
              </w:rPr>
            </w:pPr>
          </w:p>
        </w:tc>
      </w:tr>
      <w:tr>
        <w:trPr>
          <w:trHeight w:val="178"/>
        </w:trPr>
        <w:tc>
          <w:tcPr>
            <w:tcW w:w="354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Stock</w:t>
            </w:r>
          </w:p>
        </w:tc>
        <w:tc>
          <w:tcPr>
            <w:tcW w:w="980" w:type="dxa"/>
            <w:vAlign w:val="bottom"/>
          </w:tcPr>
          <w:p>
            <w:pPr>
              <w:jc w:val="right"/>
              <w:ind w:right="33"/>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5"/>
                <w:szCs w:val="15"/>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Loss</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31, 2008</w:t>
            </w:r>
          </w:p>
        </w:tc>
        <w:tc>
          <w:tcPr>
            <w:tcW w:w="90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$ 35,485</w:t>
            </w:r>
          </w:p>
        </w:tc>
        <w:tc>
          <w:tcPr>
            <w:tcW w:w="980" w:type="dxa"/>
            <w:vAlign w:val="bottom"/>
            <w:tcBorders>
              <w:top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$ 337,734</w:t>
            </w: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(8,544)</w:t>
            </w: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364,675</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540" w:type="dxa"/>
            <w:vAlign w:val="bottom"/>
            <w:gridSpan w:val="2"/>
          </w:tcPr>
          <w:p>
            <w:pPr>
              <w:spacing w:after="0" w:line="200" w:lineRule="exact"/>
              <w:rPr>
                <w:sz w:val="20"/>
                <w:szCs w:val="20"/>
                <w:color w:val="auto"/>
              </w:rPr>
            </w:pPr>
            <w:r>
              <w:rPr>
                <w:rFonts w:ascii="Arial" w:cs="Arial" w:eastAsia="Arial" w:hAnsi="Arial"/>
                <w:sz w:val="18"/>
                <w:szCs w:val="18"/>
                <w:color w:val="auto"/>
              </w:rPr>
              <w:t>Cash dividends paid on common stock –</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40"/>
              <w:spacing w:after="0" w:line="200" w:lineRule="exact"/>
              <w:rPr>
                <w:sz w:val="20"/>
                <w:szCs w:val="20"/>
                <w:color w:val="auto"/>
              </w:rPr>
            </w:pPr>
            <w:r>
              <w:rPr>
                <w:rFonts w:ascii="Arial" w:cs="Arial" w:eastAsia="Arial" w:hAnsi="Arial"/>
                <w:sz w:val="18"/>
                <w:szCs w:val="18"/>
                <w:color w:val="auto"/>
              </w:rPr>
              <w:t>$0.60 per share</w:t>
            </w:r>
          </w:p>
        </w:tc>
        <w:tc>
          <w:tcPr>
            <w:tcW w:w="9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(21,403)</w:t>
            </w:r>
          </w:p>
        </w:tc>
        <w:tc>
          <w:tcPr>
            <w:tcW w:w="160" w:type="dxa"/>
            <w:vAlign w:val="bottom"/>
          </w:tcPr>
          <w:p>
            <w:pPr>
              <w:spacing w:after="0"/>
              <w:rPr>
                <w:sz w:val="17"/>
                <w:szCs w:val="17"/>
                <w:color w:val="auto"/>
              </w:rPr>
            </w:pPr>
          </w:p>
        </w:tc>
        <w:tc>
          <w:tcPr>
            <w:tcW w:w="11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(21,403)</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Issuance of 1,201,256 shares under stock-</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based compensation plans</w:t>
            </w:r>
          </w:p>
        </w:tc>
        <w:tc>
          <w:tcPr>
            <w:tcW w:w="90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1,201</w:t>
            </w:r>
          </w:p>
        </w:tc>
        <w:tc>
          <w:tcPr>
            <w:tcW w:w="98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16,524</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17,725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Contribution of stock to a deferred</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40"/>
              <w:spacing w:after="0" w:line="200" w:lineRule="exact"/>
              <w:rPr>
                <w:sz w:val="20"/>
                <w:szCs w:val="20"/>
                <w:color w:val="auto"/>
              </w:rPr>
            </w:pPr>
            <w:r>
              <w:rPr>
                <w:rFonts w:ascii="Arial" w:cs="Arial" w:eastAsia="Arial" w:hAnsi="Arial"/>
                <w:sz w:val="18"/>
                <w:szCs w:val="18"/>
                <w:color w:val="auto"/>
              </w:rPr>
              <w:t>compensation trust</w:t>
            </w:r>
          </w:p>
        </w:tc>
        <w:tc>
          <w:tcPr>
            <w:tcW w:w="9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7"/>
                <w:szCs w:val="17"/>
                <w:color w:val="auto"/>
              </w:rPr>
            </w:pPr>
          </w:p>
        </w:tc>
        <w:tc>
          <w:tcPr>
            <w:tcW w:w="11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Purchase of 3,316,536 shares of common</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stock</w:t>
            </w: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(3,317)</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(111,967)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(115,284)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Excess tax benefits from stock-based</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40"/>
              <w:spacing w:after="0" w:line="200" w:lineRule="exact"/>
              <w:rPr>
                <w:sz w:val="20"/>
                <w:szCs w:val="20"/>
                <w:color w:val="auto"/>
              </w:rPr>
            </w:pPr>
            <w:r>
              <w:rPr>
                <w:rFonts w:ascii="Arial" w:cs="Arial" w:eastAsia="Arial" w:hAnsi="Arial"/>
                <w:sz w:val="18"/>
                <w:szCs w:val="18"/>
                <w:color w:val="auto"/>
              </w:rPr>
              <w:t>awards</w:t>
            </w:r>
          </w:p>
        </w:tc>
        <w:tc>
          <w:tcPr>
            <w:tcW w:w="9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7,403</w:t>
            </w:r>
          </w:p>
        </w:tc>
        <w:tc>
          <w:tcPr>
            <w:tcW w:w="160" w:type="dxa"/>
            <w:vAlign w:val="bottom"/>
          </w:tcPr>
          <w:p>
            <w:pPr>
              <w:spacing w:after="0"/>
              <w:rPr>
                <w:sz w:val="17"/>
                <w:szCs w:val="17"/>
                <w:color w:val="auto"/>
              </w:rPr>
            </w:pPr>
          </w:p>
        </w:tc>
        <w:tc>
          <w:tcPr>
            <w:tcW w:w="11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7,403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Retirement benefits adjustment, net of tax</w:t>
            </w:r>
          </w:p>
        </w:tc>
        <w:tc>
          <w:tcPr>
            <w:tcW w:w="9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(2,633)</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13,286</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13,286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Unrealized loss on derivative instruments,</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net of tax</w:t>
            </w:r>
          </w:p>
        </w:tc>
        <w:tc>
          <w:tcPr>
            <w:tcW w:w="90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(11,512)</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(11,512)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62,837</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62,837</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income</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Balance as of October 31, 2009</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$ 33,369</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$ 291,246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315,212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Cash dividends paid on common stock –</w:t>
            </w:r>
          </w:p>
        </w:tc>
        <w:tc>
          <w:tcPr>
            <w:tcW w:w="9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$0.72 per share</w:t>
            </w:r>
          </w:p>
        </w:tc>
        <w:tc>
          <w:tcPr>
            <w:tcW w:w="90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(23,721)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(23,721)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Issuance of 703,930 shares under stock-</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40"/>
              <w:spacing w:after="0" w:line="200" w:lineRule="exact"/>
              <w:rPr>
                <w:sz w:val="20"/>
                <w:szCs w:val="20"/>
                <w:color w:val="auto"/>
              </w:rPr>
            </w:pPr>
            <w:r>
              <w:rPr>
                <w:rFonts w:ascii="Arial" w:cs="Arial" w:eastAsia="Arial" w:hAnsi="Arial"/>
                <w:sz w:val="18"/>
                <w:szCs w:val="18"/>
                <w:color w:val="auto"/>
              </w:rPr>
              <w:t>based compensation plans</w:t>
            </w:r>
          </w:p>
        </w:tc>
        <w:tc>
          <w:tcPr>
            <w:tcW w:w="9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704</w:t>
            </w:r>
          </w:p>
        </w:tc>
        <w:tc>
          <w:tcPr>
            <w:tcW w:w="9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22,348</w:t>
            </w:r>
          </w:p>
        </w:tc>
        <w:tc>
          <w:tcPr>
            <w:tcW w:w="160" w:type="dxa"/>
            <w:vAlign w:val="bottom"/>
          </w:tcPr>
          <w:p>
            <w:pPr>
              <w:spacing w:after="0"/>
              <w:rPr>
                <w:sz w:val="17"/>
                <w:szCs w:val="17"/>
                <w:color w:val="auto"/>
              </w:rPr>
            </w:pPr>
          </w:p>
        </w:tc>
        <w:tc>
          <w:tcPr>
            <w:tcW w:w="11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23,052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Contribution of stock to a deferred</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compensation trust</w:t>
            </w:r>
          </w:p>
        </w:tc>
        <w:tc>
          <w:tcPr>
            <w:tcW w:w="90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Purchase of 2,678,474 shares of common</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40"/>
              <w:spacing w:after="0" w:line="200" w:lineRule="exact"/>
              <w:rPr>
                <w:sz w:val="20"/>
                <w:szCs w:val="20"/>
                <w:color w:val="auto"/>
              </w:rPr>
            </w:pPr>
            <w:r>
              <w:rPr>
                <w:rFonts w:ascii="Arial" w:cs="Arial" w:eastAsia="Arial" w:hAnsi="Arial"/>
                <w:sz w:val="18"/>
                <w:szCs w:val="18"/>
                <w:color w:val="auto"/>
              </w:rPr>
              <w:t>stock</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(2,678)</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(133,099)</w:t>
            </w:r>
          </w:p>
        </w:tc>
        <w:tc>
          <w:tcPr>
            <w:tcW w:w="160" w:type="dxa"/>
            <w:vAlign w:val="bottom"/>
          </w:tcPr>
          <w:p>
            <w:pPr>
              <w:spacing w:after="0"/>
              <w:rPr>
                <w:sz w:val="17"/>
                <w:szCs w:val="17"/>
                <w:color w:val="auto"/>
              </w:rPr>
            </w:pPr>
          </w:p>
        </w:tc>
        <w:tc>
          <w:tcPr>
            <w:tcW w:w="11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(135,777)</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Excess tax benefits from stock-based</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awards</w:t>
            </w:r>
          </w:p>
        </w:tc>
        <w:tc>
          <w:tcPr>
            <w:tcW w:w="90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line="200" w:lineRule="exact"/>
              <w:rPr>
                <w:sz w:val="20"/>
                <w:szCs w:val="20"/>
                <w:color w:val="auto"/>
              </w:rPr>
            </w:pPr>
            <w:r>
              <w:rPr>
                <w:rFonts w:ascii="Arial" w:cs="Arial" w:eastAsia="Arial" w:hAnsi="Arial"/>
                <w:sz w:val="18"/>
                <w:szCs w:val="18"/>
                <w:color w:val="auto"/>
              </w:rPr>
              <w:t>3,396</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3,396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Retirement benefits adjustment, net of tax</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681</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681</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6"/>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Unrealized gain on derivative instruments,</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40"/>
              <w:spacing w:after="0" w:line="200" w:lineRule="exact"/>
              <w:rPr>
                <w:sz w:val="20"/>
                <w:szCs w:val="20"/>
                <w:color w:val="auto"/>
              </w:rPr>
            </w:pPr>
            <w:r>
              <w:rPr>
                <w:rFonts w:ascii="Arial" w:cs="Arial" w:eastAsia="Arial" w:hAnsi="Arial"/>
                <w:sz w:val="18"/>
                <w:szCs w:val="18"/>
                <w:color w:val="auto"/>
              </w:rPr>
              <w:t>net of tax</w:t>
            </w:r>
          </w:p>
        </w:tc>
        <w:tc>
          <w:tcPr>
            <w:tcW w:w="9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300</w:t>
            </w:r>
          </w:p>
        </w:tc>
        <w:tc>
          <w:tcPr>
            <w:tcW w:w="16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300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300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93,237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93,237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w:t>
            </w: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93,578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31, 2010</w:t>
            </w:r>
          </w:p>
        </w:tc>
        <w:tc>
          <w:tcPr>
            <w:tcW w:w="90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$ 31,395</w:t>
            </w:r>
          </w:p>
        </w:tc>
        <w:tc>
          <w:tcPr>
            <w:tcW w:w="980" w:type="dxa"/>
            <w:vAlign w:val="bottom"/>
            <w:tcBorders>
              <w:top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$ 253,477</w:t>
            </w: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(9,062)</w:t>
            </w: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275,810</w:t>
            </w: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520" w:type="dxa"/>
            <w:vAlign w:val="bottom"/>
          </w:tcPr>
          <w:p>
            <w:pPr>
              <w:spacing w:after="0" w:line="177" w:lineRule="exact"/>
              <w:rPr>
                <w:sz w:val="20"/>
                <w:szCs w:val="20"/>
                <w:color w:val="auto"/>
              </w:rPr>
            </w:pPr>
            <w:r>
              <w:rPr>
                <w:rFonts w:ascii="Arial" w:cs="Arial" w:eastAsia="Arial" w:hAnsi="Arial"/>
                <w:sz w:val="18"/>
                <w:szCs w:val="18"/>
                <w:b w:val="1"/>
                <w:bCs w:val="1"/>
                <w:color w:val="auto"/>
              </w:rPr>
              <w:t>Cash dividends paid on common stock –</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ind w:left="140"/>
              <w:spacing w:after="0"/>
              <w:rPr>
                <w:sz w:val="20"/>
                <w:szCs w:val="20"/>
                <w:color w:val="auto"/>
              </w:rPr>
            </w:pPr>
            <w:r>
              <w:rPr>
                <w:rFonts w:ascii="Arial" w:cs="Arial" w:eastAsia="Arial" w:hAnsi="Arial"/>
                <w:sz w:val="18"/>
                <w:szCs w:val="18"/>
                <w:b w:val="1"/>
                <w:bCs w:val="1"/>
                <w:color w:val="auto"/>
              </w:rPr>
              <w:t>$0.80 per share</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(24,970)</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(24,970)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Issuance of 504,760 shares under stock-</w:t>
            </w:r>
          </w:p>
        </w:tc>
        <w:tc>
          <w:tcPr>
            <w:tcW w:w="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based compensation plans</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504</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22,364</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22,868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tcPr>
          <w:p>
            <w:pPr>
              <w:spacing w:after="0" w:line="184" w:lineRule="exact"/>
              <w:rPr>
                <w:sz w:val="20"/>
                <w:szCs w:val="20"/>
                <w:color w:val="auto"/>
              </w:rPr>
            </w:pPr>
            <w:r>
              <w:rPr>
                <w:rFonts w:ascii="Arial" w:cs="Arial" w:eastAsia="Arial" w:hAnsi="Arial"/>
                <w:sz w:val="18"/>
                <w:szCs w:val="18"/>
                <w:b w:val="1"/>
                <w:bCs w:val="1"/>
                <w:color w:val="auto"/>
              </w:rPr>
              <w:t>Contribution of stock to a deferred</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ind w:left="140"/>
              <w:spacing w:after="0"/>
              <w:rPr>
                <w:sz w:val="20"/>
                <w:szCs w:val="20"/>
                <w:color w:val="auto"/>
              </w:rPr>
            </w:pPr>
            <w:r>
              <w:rPr>
                <w:rFonts w:ascii="Arial" w:cs="Arial" w:eastAsia="Arial" w:hAnsi="Arial"/>
                <w:sz w:val="18"/>
                <w:szCs w:val="18"/>
                <w:b w:val="1"/>
                <w:bCs w:val="1"/>
                <w:color w:val="auto"/>
              </w:rPr>
              <w:t>compensation trust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132</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9"/>
              </w:rPr>
              <w:t>Purchase of 2,296,380 shares of common</w:t>
            </w:r>
          </w:p>
        </w:tc>
        <w:tc>
          <w:tcPr>
            <w:tcW w:w="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(127,659)</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(129,955)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tcPr>
          <w:p>
            <w:pPr>
              <w:spacing w:after="0" w:line="184" w:lineRule="exact"/>
              <w:rPr>
                <w:sz w:val="20"/>
                <w:szCs w:val="20"/>
                <w:color w:val="auto"/>
              </w:rPr>
            </w:pPr>
            <w:r>
              <w:rPr>
                <w:rFonts w:ascii="Arial" w:cs="Arial" w:eastAsia="Arial" w:hAnsi="Arial"/>
                <w:sz w:val="18"/>
                <w:szCs w:val="18"/>
                <w:b w:val="1"/>
                <w:bCs w:val="1"/>
                <w:color w:val="auto"/>
              </w:rPr>
              <w:t>Excess tax benefits from stock-based</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ind w:left="140"/>
              <w:spacing w:after="0"/>
              <w:rPr>
                <w:sz w:val="20"/>
                <w:szCs w:val="20"/>
                <w:color w:val="auto"/>
              </w:rPr>
            </w:pPr>
            <w:r>
              <w:rPr>
                <w:rFonts w:ascii="Arial" w:cs="Arial" w:eastAsia="Arial" w:hAnsi="Arial"/>
                <w:sz w:val="18"/>
                <w:szCs w:val="18"/>
                <w:b w:val="1"/>
                <w:bCs w:val="1"/>
                <w:color w:val="auto"/>
              </w:rPr>
              <w:t>awards</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2,988</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Retirement benefits adjustment, net of</w:t>
            </w:r>
          </w:p>
        </w:tc>
        <w:tc>
          <w:tcPr>
            <w:tcW w:w="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tax</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tcPr>
          <w:p>
            <w:pPr>
              <w:spacing w:after="0" w:line="184" w:lineRule="exact"/>
              <w:rPr>
                <w:sz w:val="20"/>
                <w:szCs w:val="20"/>
                <w:color w:val="auto"/>
              </w:rPr>
            </w:pPr>
            <w:r>
              <w:rPr>
                <w:rFonts w:ascii="Arial" w:cs="Arial" w:eastAsia="Arial" w:hAnsi="Arial"/>
                <w:sz w:val="18"/>
                <w:szCs w:val="18"/>
                <w:b w:val="1"/>
                <w:bCs w:val="1"/>
                <w:color w:val="auto"/>
              </w:rPr>
              <w:t>Foreign currency translation</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Unrealized gain on derivative</w:t>
            </w:r>
          </w:p>
        </w:tc>
        <w:tc>
          <w:tcPr>
            <w:tcW w:w="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instruments, net of tax</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2,671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117,658</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117,658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117,658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comprehensive income</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119,894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October 31, 2011</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$ 29,603</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$ 243,990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ectPr>
          <w:pgSz w:w="11900" w:h="16838" w:orient="portrait"/>
          <w:cols w:equalWidth="0" w:num="1">
            <w:col w:w="10320"/>
          </w:cols>
          <w:pgMar w:left="240" w:top="314" w:right="1339" w:bottom="1440" w:gutter="0" w:footer="0" w:header="0"/>
        </w:sect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314" w:right="1339" w:bottom="1440" w:gutter="0" w:footer="0" w:header="0"/>
          <w:type w:val="continuous"/>
        </w:sectPr>
      </w:pPr>
    </w:p>
    <w:bookmarkStart w:id="46" w:name="page47"/>
    <w:bookmarkEnd w:id="46"/>
    <w:p>
      <w:pPr>
        <w:jc w:val="center"/>
        <w:ind w:right="40"/>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42" w:lineRule="exact"/>
        <w:rPr>
          <w:sz w:val="20"/>
          <w:szCs w:val="20"/>
          <w:color w:val="auto"/>
        </w:rPr>
      </w:pPr>
    </w:p>
    <w:p>
      <w:pPr>
        <w:ind w:left="740" w:hanging="732"/>
        <w:spacing w:after="0"/>
        <w:tabs>
          <w:tab w:leader="none" w:pos="740" w:val="left"/>
        </w:tabs>
        <w:numPr>
          <w:ilvl w:val="0"/>
          <w:numId w:val="27"/>
        </w:numPr>
        <w:rPr>
          <w:rFonts w:ascii="Arial" w:cs="Arial" w:eastAsia="Arial" w:hAnsi="Arial"/>
          <w:sz w:val="43"/>
          <w:szCs w:val="43"/>
          <w:b w:val="1"/>
          <w:bCs w:val="1"/>
          <w:color w:val="auto"/>
        </w:rPr>
      </w:pPr>
      <w:r>
        <w:rPr>
          <w:rFonts w:ascii="Arial" w:cs="Arial" w:eastAsia="Arial" w:hAnsi="Arial"/>
          <w:sz w:val="22"/>
          <w:szCs w:val="22"/>
          <w:b w:val="1"/>
          <w:bCs w:val="1"/>
          <w:color w:val="auto"/>
        </w:rPr>
        <w:t>SUMMARY OF SIGNIFICANT ACCOUNTING POLICIES AND RELATED DATA</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These investments are recorded at cost. All intercompany accounts and transactions have been eliminated from the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4"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In preparing the consolidated financial statements in conformity with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 accruals, incentive compensation accruals, inventory valuation, warranty reserves, earnout liabilities, allowance for doubtful accounts, pension and postretirement accruals, self-insurance accruals, useful lives of tangible and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Part I, Item 1A, "Risk Factors" of this report, which include, among others, economic conditions, including consumer spending and confidence levels; foreign currency exchange rate impact; commodity costs; and credit conditions,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will be reflected in the consolidated financial statements in future periods.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and are stated at cost, which approximates fair value.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company's financial exposure to collection of accounts receivable is reduced due to its Red Iron Acceptance, LLC ("Red Iron") joint venture with TCF Inventory Finance, Inc. ("TCFIF"), as further discussed in Note 3. For receivables not serviced through Red Iron, the company grants credit to customers in the normal course of business and performs on-going credit evaluations of customers. Receivables are recorded at original carrying amount less reserves for estimated uncollectible accounts, as described below.</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company estimates the balance of allowance for doubtful accounts by analyzing the age of account and note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Valuations</w:t>
      </w: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most inventories. The first-in, first-out ("FIFO") method is used for all other inventories, constituting approximately 33 percent of total inventories as of October 31, 2011 and 2010.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 During fiscal 2011 and 2010, no LIFO inventory layers were reduced.</w:t>
      </w:r>
    </w:p>
    <w:p>
      <w:pPr>
        <w:sectPr>
          <w:pgSz w:w="11900" w:h="16838" w:orient="portrait"/>
          <w:cols w:equalWidth="0" w:num="1">
            <w:col w:w="11400"/>
          </w:cols>
          <w:pgMar w:left="240" w:top="314" w:right="2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type w:val="continuous"/>
        </w:sectPr>
      </w:pPr>
    </w:p>
    <w:bookmarkStart w:id="47" w:name="page48"/>
    <w:bookmarkEnd w:id="47"/>
    <w:p>
      <w:pPr>
        <w:ind w:left="160"/>
        <w:spacing w:after="0"/>
        <w:rPr>
          <w:sz w:val="20"/>
          <w:szCs w:val="20"/>
          <w:color w:val="auto"/>
        </w:rPr>
      </w:pPr>
      <w:r>
        <w:rPr>
          <w:rFonts w:ascii="Arial" w:cs="Arial" w:eastAsia="Arial" w:hAnsi="Arial"/>
          <w:sz w:val="18"/>
          <w:szCs w:val="18"/>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Raw materials and work in progress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94,176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66,152</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3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189,855</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183,992</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FIFO value</w:t>
            </w:r>
          </w:p>
        </w:tc>
        <w:tc>
          <w:tcPr>
            <w:tcW w:w="37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284,031</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250,144</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adjustment to LIFO value</w:t>
            </w:r>
          </w:p>
        </w:tc>
        <w:tc>
          <w:tcPr>
            <w:tcW w:w="3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61,001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55,742</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3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223,030</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194,402</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Depreciation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two to seven years. Tooling costs are generally depreciated over three to five years using the straight-line method. Software and web 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2011, 2010, and 2009, the company capitalized $230, $131, and $98 of interest, respectively.</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Land and land improvements</w:t>
            </w:r>
          </w:p>
        </w:tc>
        <w:tc>
          <w:tcPr>
            <w:tcW w:w="3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26,776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24,667</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36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129,252</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115,480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Machinery and equipment</w:t>
            </w:r>
          </w:p>
        </w:tc>
        <w:tc>
          <w:tcPr>
            <w:tcW w:w="3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434,796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396,228</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Computer hardware and software</w:t>
            </w:r>
          </w:p>
        </w:tc>
        <w:tc>
          <w:tcPr>
            <w:tcW w:w="3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63,826</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57,695</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Subtotal</w:t>
            </w:r>
          </w:p>
        </w:tc>
        <w:tc>
          <w:tcPr>
            <w:tcW w:w="36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654,650</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594,070</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accumulated depreciation</w:t>
            </w:r>
          </w:p>
        </w:tc>
        <w:tc>
          <w:tcPr>
            <w:tcW w:w="3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463,510</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420,663</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property, plant, and equipment, net</w:t>
            </w:r>
          </w:p>
        </w:tc>
        <w:tc>
          <w:tcPr>
            <w:tcW w:w="3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191,140</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173,407</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During fiscal years 2011, 2010, and 2009, the company recorded depreciation expense of $43,539, $42,108, and $42,031, respectively.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34"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Goodwill represents the cost of acquisitions in excess of the fair values assigned to identifiable net assets acquired. Goodwill is assigned to reporting units based upon the expected benefit of the synergies of the acquisition. Other intangible assets reflect identifiable assets that arose from purchase acquisitions. Other intangible assets with determinable lives consist primarily of patents, non-compete agreements, customer relationships, trade names, and developed technology, which are amortized on a straight-line basis over periods ranging from two to 15 years. Goodwill and some trade names, which are considered to have indefinite lives, are not amortized; however, both must be tested for impairment annually as discussed below.</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company reviews indefinite-life intangible assets and goodwill for impairment annually during each fourth fiscal quarter or more frequently if changes in circumstances or the occurrence of events suggest the remaining value may not be recoverable. An asset is deemed impaired and written down to its fair value if estimated related future cash flows are less than its carrying amount.</w:t>
      </w:r>
    </w:p>
    <w:p>
      <w:pPr>
        <w:spacing w:after="0" w:line="208" w:lineRule="exact"/>
        <w:rPr>
          <w:sz w:val="20"/>
          <w:szCs w:val="20"/>
          <w:color w:val="auto"/>
        </w:rPr>
      </w:pPr>
    </w:p>
    <w:p>
      <w:pPr>
        <w:jc w:val="both"/>
        <w:ind w:right="20" w:firstLine="143"/>
        <w:spacing w:after="0" w:line="271" w:lineRule="auto"/>
        <w:rPr>
          <w:sz w:val="20"/>
          <w:szCs w:val="20"/>
          <w:color w:val="auto"/>
        </w:rPr>
      </w:pPr>
      <w:r>
        <w:rPr>
          <w:rFonts w:ascii="Arial" w:cs="Arial" w:eastAsia="Arial" w:hAnsi="Arial"/>
          <w:sz w:val="16"/>
          <w:szCs w:val="16"/>
          <w:color w:val="auto"/>
        </w:rPr>
        <w:t>The company reviewed the fair value of its reporting units that have goodwill on their respective balance sheets with their corresponding carrying amount (with goodwill) during the fourth quarter of fiscal 2011. The company determined that it has eight reporting units, which are the same as its eight operating segments. Six reporting units contain goodwill on their respective balance sheets. As of August 26, 2011, the company performed an analysis of qualitative factors to determine whether it is more likely than not that the fair value of a reporting unit is less than its carrying amount as a basis for determining whether it is necessary to perform the two-step goodwill impairment test. Based on the company's analysis of qualitative factors, the company determined that is was not necessary to perform the two-step goodwill impairment test for any of its reporting units.</w:t>
      </w:r>
    </w:p>
    <w:p>
      <w:pPr>
        <w:spacing w:after="0" w:line="185" w:lineRule="exact"/>
        <w:rPr>
          <w:sz w:val="20"/>
          <w:szCs w:val="20"/>
          <w:color w:val="auto"/>
        </w:rPr>
      </w:pPr>
    </w:p>
    <w:p>
      <w:pPr>
        <w:jc w:val="both"/>
        <w:ind w:right="60" w:firstLine="143"/>
        <w:spacing w:after="0" w:line="237" w:lineRule="auto"/>
        <w:rPr>
          <w:sz w:val="20"/>
          <w:szCs w:val="20"/>
          <w:color w:val="auto"/>
        </w:rPr>
      </w:pPr>
      <w:r>
        <w:rPr>
          <w:rFonts w:ascii="Arial" w:cs="Arial" w:eastAsia="Arial" w:hAnsi="Arial"/>
          <w:sz w:val="18"/>
          <w:szCs w:val="18"/>
          <w:color w:val="auto"/>
        </w:rPr>
        <w:t>The company also performed an assessment of its indefinite-life intangible assets, which consist of certain trade names, as of October 31, 2011. The company's estimate of the fair value of its indefinite-life trade names are based on a discounted cash flow model using inputs which included: projected revenues from the company's annual plan; assumed royalty rates that could be payable if the company did not own the trade name; and a discount rate.</w:t>
      </w:r>
    </w:p>
    <w:p>
      <w:pPr>
        <w:spacing w:after="0" w:line="209" w:lineRule="exact"/>
        <w:rPr>
          <w:sz w:val="20"/>
          <w:szCs w:val="20"/>
          <w:color w:val="auto"/>
        </w:rPr>
      </w:pPr>
    </w:p>
    <w:p>
      <w:pPr>
        <w:ind w:firstLine="146"/>
        <w:spacing w:after="0" w:line="270" w:lineRule="auto"/>
        <w:rPr>
          <w:sz w:val="20"/>
          <w:szCs w:val="20"/>
          <w:color w:val="auto"/>
        </w:rPr>
      </w:pPr>
      <w:r>
        <w:rPr>
          <w:rFonts w:ascii="Arial" w:cs="Arial" w:eastAsia="Arial" w:hAnsi="Arial"/>
          <w:sz w:val="16"/>
          <w:szCs w:val="16"/>
          <w:color w:val="auto"/>
        </w:rPr>
        <w:t>Other long-lived assets, including property, plant, and equipment and definite-life intangible assets, are reviewed for impairment whenever events or changes in circumstances indicate that the carrying amount of an asset (or asset group) may not be recoverable. An impairment loss is recognized when estimated undiscounted future cash flows from the operation or disposition of the asset group are less than the carrying amount of the asset group. Asset groups have identifiable cash flows and are largely independent of other asset groups. Measurement of an impairment loss is based on the excess of the carrying amount of the asset group over its fair value. Fair value is measured using a discounted cash flow model or independent appraisals, as appropriate. For long-lived assets to be abandoned, the company tests for potential impairment. If the company commits to a plan to abandon a long-lived asset before the end of its previously estimated useful life, depreciation estimates are revised.</w:t>
      </w:r>
    </w:p>
    <w:p>
      <w:pPr>
        <w:spacing w:after="0" w:line="185" w:lineRule="exact"/>
        <w:rPr>
          <w:sz w:val="20"/>
          <w:szCs w:val="20"/>
          <w:color w:val="auto"/>
        </w:rPr>
      </w:pPr>
    </w:p>
    <w:p>
      <w:pPr>
        <w:ind w:right="260" w:firstLine="146"/>
        <w:spacing w:after="0" w:line="239" w:lineRule="auto"/>
        <w:rPr>
          <w:sz w:val="20"/>
          <w:szCs w:val="20"/>
          <w:color w:val="auto"/>
        </w:rPr>
      </w:pPr>
      <w:r>
        <w:rPr>
          <w:rFonts w:ascii="Arial" w:cs="Arial" w:eastAsia="Arial" w:hAnsi="Arial"/>
          <w:sz w:val="18"/>
          <w:szCs w:val="18"/>
          <w:color w:val="auto"/>
        </w:rPr>
        <w:t>Based on the company's impairment analysis, the company wrote down $109, $348, and $1,071 of long-lived assets during fiscal 2011, 2010, and 2009, respectively.</w:t>
      </w:r>
    </w:p>
    <w:p>
      <w:pPr>
        <w:sectPr>
          <w:pgSz w:w="11900" w:h="16838" w:orient="portrait"/>
          <w:cols w:equalWidth="0" w:num="1">
            <w:col w:w="11400"/>
          </w:cols>
          <w:pgMar w:left="240" w:top="143" w:right="259" w:bottom="105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05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Accounts Payable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fiscal 2009, the company entered into a customer-managed services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209" w:lineRule="exact"/>
        <w:rPr>
          <w:sz w:val="20"/>
          <w:szCs w:val="20"/>
          <w:color w:val="auto"/>
        </w:rPr>
      </w:pPr>
    </w:p>
    <w:p>
      <w:pPr>
        <w:ind w:right="80" w:firstLine="143"/>
        <w:spacing w:after="0" w:line="237" w:lineRule="auto"/>
        <w:rPr>
          <w:sz w:val="20"/>
          <w:szCs w:val="20"/>
          <w:color w:val="auto"/>
        </w:rPr>
      </w:pPr>
      <w:r>
        <w:rPr>
          <w:rFonts w:ascii="Arial" w:cs="Arial" w:eastAsia="Arial" w:hAnsi="Arial"/>
          <w:sz w:val="18"/>
          <w:szCs w:val="18"/>
          <w:color w:val="auto"/>
        </w:rPr>
        <w:t>The company's obligations to its suppliers, including amounts due and scheduled payment dates, are not affected by suppliers' decisions to finance amounts under this arrangement. However, the company's right to offset balances due from suppliers against payment obligations is restricted by this arrangement for those payment obligations that have been financed by suppliers. As of October 31, 2011 and 2010, $14,643 and $7,312, respectively, of the company's outstanding payment obligations had been placed on the accounts payable tracking system.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company is self-insured for certain losses relating to medical, dental, and workers' compensation claims, and product liability occurrences. Specific stop loss coverages are provided for catastrophic claims in order to limit exposure to significant claims. Losses and claims are charged to operations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Warranties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provides an accrual for estimated future warranty costs at the time of sale. The company also establishes accruals for major rework campaigns. The amount of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 experience indicates that adjustments are necessary.</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changes in accrued warranties were as follows:</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4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4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Beginning Balance</w:t>
            </w:r>
          </w:p>
        </w:tc>
        <w:tc>
          <w:tcPr>
            <w:tcW w:w="4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b w:val="1"/>
                <w:bCs w:val="1"/>
                <w:color w:val="auto"/>
              </w:rPr>
              <w:t>$ 56,934</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$ 54,273</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4280" w:type="dxa"/>
            <w:vAlign w:val="bottom"/>
          </w:tcPr>
          <w:p>
            <w:pPr>
              <w:jc w:val="right"/>
              <w:ind w:right="128"/>
              <w:spacing w:after="0"/>
              <w:rPr>
                <w:sz w:val="20"/>
                <w:szCs w:val="20"/>
                <w:color w:val="auto"/>
              </w:rPr>
            </w:pPr>
            <w:r>
              <w:rPr>
                <w:rFonts w:ascii="Arial" w:cs="Arial" w:eastAsia="Arial" w:hAnsi="Arial"/>
                <w:sz w:val="14"/>
                <w:szCs w:val="14"/>
                <w:b w:val="1"/>
                <w:bCs w:val="1"/>
                <w:color w:val="auto"/>
              </w:rPr>
              <w:t>40,144</w:t>
            </w:r>
          </w:p>
        </w:tc>
        <w:tc>
          <w:tcPr>
            <w:tcW w:w="720" w:type="dxa"/>
            <w:vAlign w:val="bottom"/>
          </w:tcPr>
          <w:p>
            <w:pPr>
              <w:jc w:val="right"/>
              <w:spacing w:after="0"/>
              <w:rPr>
                <w:sz w:val="20"/>
                <w:szCs w:val="20"/>
                <w:color w:val="auto"/>
              </w:rPr>
            </w:pPr>
            <w:r>
              <w:rPr>
                <w:rFonts w:ascii="Arial" w:cs="Arial" w:eastAsia="Arial" w:hAnsi="Arial"/>
                <w:sz w:val="14"/>
                <w:szCs w:val="14"/>
                <w:color w:val="auto"/>
              </w:rPr>
              <w:t>36,540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4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(33,774)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(32,570)</w:t>
            </w: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Changes in estimates</w:t>
            </w:r>
          </w:p>
        </w:tc>
        <w:tc>
          <w:tcPr>
            <w:tcW w:w="4280" w:type="dxa"/>
            <w:vAlign w:val="bottom"/>
          </w:tcPr>
          <w:p>
            <w:pPr>
              <w:jc w:val="right"/>
              <w:ind w:right="68"/>
              <w:spacing w:after="0"/>
              <w:rPr>
                <w:sz w:val="20"/>
                <w:szCs w:val="20"/>
                <w:color w:val="auto"/>
              </w:rPr>
            </w:pPr>
            <w:r>
              <w:rPr>
                <w:rFonts w:ascii="Arial" w:cs="Arial" w:eastAsia="Arial" w:hAnsi="Arial"/>
                <w:sz w:val="14"/>
                <w:szCs w:val="14"/>
                <w:b w:val="1"/>
                <w:bCs w:val="1"/>
                <w:color w:val="auto"/>
              </w:rPr>
              <w:t>(849)</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(1,334)</w:t>
            </w: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Addition from acquisitions</w:t>
            </w:r>
          </w:p>
        </w:tc>
        <w:tc>
          <w:tcPr>
            <w:tcW w:w="4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275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4"/>
                <w:szCs w:val="14"/>
                <w:color w:val="auto"/>
              </w:rPr>
            </w:pPr>
          </w:p>
        </w:tc>
      </w:tr>
      <w:tr>
        <w:trPr>
          <w:trHeight w:val="27"/>
        </w:trPr>
        <w:tc>
          <w:tcPr>
            <w:tcW w:w="5480" w:type="dxa"/>
            <w:vAlign w:val="bottom"/>
            <w:gridSpan w:val="2"/>
          </w:tcPr>
          <w:p>
            <w:pPr>
              <w:spacing w:after="0"/>
              <w:rPr>
                <w:sz w:val="2"/>
                <w:szCs w:val="2"/>
                <w:color w:val="auto"/>
              </w:rPr>
            </w:pPr>
          </w:p>
        </w:tc>
        <w:tc>
          <w:tcPr>
            <w:tcW w:w="4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Ending Balance</w:t>
            </w:r>
          </w:p>
        </w:tc>
        <w:tc>
          <w:tcPr>
            <w:tcW w:w="4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$ 62,730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$ 56,934</w:t>
            </w:r>
          </w:p>
        </w:tc>
        <w:tc>
          <w:tcPr>
            <w:tcW w:w="160" w:type="dxa"/>
            <w:vAlign w:val="bottom"/>
          </w:tcPr>
          <w:p>
            <w:pPr>
              <w:spacing w:after="0"/>
              <w:rPr>
                <w:sz w:val="15"/>
                <w:szCs w:val="15"/>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Derivatives, consisting mainly of forward currency contracts and cross currency swaps, are used to hedge most foreign currency transactions, including forecasted sales and purchases denominated in foreign currencies. Derivatives are recognized on the consolidated balance sheet at fair value. If the derivative is designated as a cash flow hedge, the effective portion of the change in the fair value of the derivative is recorded to a separate component of stockholders' equity, captioned accumulated other comprehensive loss, and recognized in earnings when the hedged item affects earnings. Derivatives that do not meet the requirements for hedge accounting are adjusted to fair value through other income (expense), net in the consolidated statements of earnings.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separate component of stockholders' equity captioned accumulated other comprehensive loss. Gains or losses resulting from transactions denominated in foreign currencies are included in other income (expense), net in the consolidated statements of earnings.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w:t>
      </w:r>
    </w:p>
    <w:p>
      <w:pPr>
        <w:sectPr>
          <w:pgSz w:w="11900" w:h="16838" w:orient="portrait"/>
          <w:cols w:equalWidth="0" w:num="1">
            <w:col w:w="11420"/>
          </w:cols>
          <w:pgMar w:left="240" w:top="32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49" w:name="page50"/>
    <w:bookmarkEnd w:id="49"/>
    <w:p>
      <w:pPr>
        <w:ind w:right="20"/>
        <w:spacing w:after="0" w:line="239" w:lineRule="auto"/>
        <w:rPr>
          <w:sz w:val="20"/>
          <w:szCs w:val="20"/>
          <w:color w:val="auto"/>
        </w:rPr>
      </w:pPr>
      <w:r>
        <w:rPr>
          <w:rFonts w:ascii="Arial" w:cs="Arial" w:eastAsia="Arial" w:hAnsi="Arial"/>
          <w:sz w:val="18"/>
          <w:szCs w:val="18"/>
          <w:color w:val="auto"/>
        </w:rPr>
        <w:t>realized principally through carryback to taxable income in prior years, future reversals of existing taxable temporary differences, and future taxable income.</w:t>
      </w:r>
    </w:p>
    <w:p>
      <w:pPr>
        <w:spacing w:after="0" w:line="209" w:lineRule="exact"/>
        <w:rPr>
          <w:sz w:val="20"/>
          <w:szCs w:val="20"/>
          <w:color w:val="auto"/>
        </w:rPr>
      </w:pPr>
    </w:p>
    <w:p>
      <w:pPr>
        <w:ind w:right="520" w:firstLine="143"/>
        <w:spacing w:after="0" w:line="23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also records interest and penalties related to unrecognized tax benefits in income tax expense.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recognizes revenue for product sales when persuasive evidence of an arrangement exists, title and risk of ownership passes to the customer, the sales price is fixed or determinable, and collectability is probable. These criteria are typically met at the time product is shipped, or in the case of certain agreements, when product is delivered. A provision is made at the time the related revenue is recognized for estimated product returns, floor plan costs, rebates, and other sales promotional expenses. Sales, use, value-added, and other excise taxes are not recognized in revenue. Freight revenue billed to customers is included in net sales.</w:t>
      </w:r>
    </w:p>
    <w:p>
      <w:pPr>
        <w:spacing w:after="0" w:line="211"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Retail customers may obtain financing through third-party financing companies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w:t>
      </w:r>
    </w:p>
    <w:p>
      <w:pPr>
        <w:spacing w:after="0" w:line="208"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company ships some of its products to a key retailer's seasonal distribution centers on a consignment basis. The company retains title of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The amount of consignment inventory as of October 31, 2011 and 2010 was $14,874 and $12,819, respectively.</w:t>
      </w:r>
    </w:p>
    <w:p>
      <w:pPr>
        <w:spacing w:after="0" w:line="210" w:lineRule="exact"/>
        <w:rPr>
          <w:sz w:val="20"/>
          <w:szCs w:val="20"/>
          <w:color w:val="auto"/>
        </w:rPr>
      </w:pPr>
    </w:p>
    <w:p>
      <w:pPr>
        <w:ind w:right="60" w:firstLine="146"/>
        <w:spacing w:after="0" w:line="299"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cooperative advertising,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either as a reduction from gross sales or as a component of selling, general, and administrative expense.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Financing Distributor/Dealer Inventory</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enters into limited inventory repurchase agreements with a third party financing company and Red Iron. The company has repurchased immaterial amounts of inventory under these repurchase agreements over the last three fiscal years. However, an adverse change in retail sales could cause this situation to change and thereby require the company to repurchase a portion of financed product. See Note 13 for additional information regarding the company's repurchase arrangements.</w:t>
      </w:r>
    </w:p>
    <w:p>
      <w:pPr>
        <w:spacing w:after="0" w:line="209" w:lineRule="exact"/>
        <w:rPr>
          <w:sz w:val="20"/>
          <w:szCs w:val="20"/>
          <w:color w:val="auto"/>
        </w:rPr>
      </w:pPr>
    </w:p>
    <w:p>
      <w:pPr>
        <w:ind w:right="300" w:firstLine="146"/>
        <w:spacing w:after="0" w:line="238" w:lineRule="auto"/>
        <w:rPr>
          <w:sz w:val="20"/>
          <w:szCs w:val="20"/>
          <w:color w:val="auto"/>
        </w:rPr>
      </w:pPr>
      <w:r>
        <w:rPr>
          <w:rFonts w:ascii="Arial" w:cs="Arial" w:eastAsia="Arial" w:hAnsi="Arial"/>
          <w:sz w:val="18"/>
          <w:szCs w:val="18"/>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 party financing sources to finance distributor and dealer inventory</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0" w:name="page51"/>
    <w:bookmarkEnd w:id="50"/>
    <w:p>
      <w:pPr>
        <w:ind w:right="140"/>
        <w:spacing w:after="0" w:line="238" w:lineRule="auto"/>
        <w:rPr>
          <w:sz w:val="20"/>
          <w:szCs w:val="20"/>
          <w:color w:val="auto"/>
        </w:rPr>
      </w:pPr>
      <w:r>
        <w:rPr>
          <w:rFonts w:ascii="Arial" w:cs="Arial" w:eastAsia="Arial" w:hAnsi="Arial"/>
          <w:sz w:val="18"/>
          <w:szCs w:val="18"/>
          <w:color w:val="auto"/>
        </w:rPr>
        <w:t>purchases. These financing arrangements are used by the company as a marketing tool to assist customers to buy inventory. The financing costs for distributor and dealer inventories were $16,394, $14,490, and $9,452 for the fiscal years ended October 31, 2011, 2010, and 2009,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General advertising expenditures and the related production costs are expensed in the period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programs established for various product lines. Advertising costs were $49,362, $39,281, and $33,496 for the fiscal years ended October 31, 2011, 2010, and 2009,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company's stock-based compensation awards generally include performance shares issued to key employees that are contingent on the achievement of performance goals of the company, non-qualified stock options, and restricted stock awards. Compensation expense equal to the grant date fair value is recognized for these awards over the vesting period. See Note 10 for additional information regarding stock-based compensation plans.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149860</wp:posOffset>
            </wp:positionV>
            <wp:extent cx="68433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27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translation adjustment</w:t>
            </w:r>
          </w:p>
        </w:tc>
        <w:tc>
          <w:tcPr>
            <w:tcW w:w="3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$ 2,904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b w:val="1"/>
                <w:bCs w:val="1"/>
                <w:color w:val="auto"/>
              </w:rPr>
              <w:t>Adjustments to employee retirement benefits, net of tax</w:t>
            </w:r>
          </w:p>
        </w:tc>
        <w:tc>
          <w:tcPr>
            <w:tcW w:w="3100" w:type="dxa"/>
            <w:vAlign w:val="bottom"/>
          </w:tcPr>
          <w:p>
            <w:pPr>
              <w:jc w:val="right"/>
              <w:ind w:right="8"/>
              <w:spacing w:after="0"/>
              <w:rPr>
                <w:sz w:val="20"/>
                <w:szCs w:val="20"/>
                <w:color w:val="auto"/>
              </w:rPr>
            </w:pPr>
            <w:r>
              <w:rPr>
                <w:rFonts w:ascii="Arial" w:cs="Arial" w:eastAsia="Arial" w:hAnsi="Arial"/>
                <w:sz w:val="14"/>
                <w:szCs w:val="14"/>
                <w:b w:val="1"/>
                <w:bCs w:val="1"/>
                <w:color w:val="auto"/>
              </w:rPr>
              <w:t>3,800</w:t>
            </w:r>
          </w:p>
        </w:tc>
        <w:tc>
          <w:tcPr>
            <w:tcW w:w="20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3,261</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3,942</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Unrealized loss on derivative instruments, net of tax</w:t>
            </w:r>
          </w:p>
        </w:tc>
        <w:tc>
          <w:tcPr>
            <w:tcW w:w="3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122</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2,793</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w:t>
            </w:r>
          </w:p>
        </w:tc>
        <w:tc>
          <w:tcPr>
            <w:tcW w:w="180" w:type="dxa"/>
            <w:vAlign w:val="bottom"/>
            <w:shd w:val="clear" w:color="auto" w:fill="CCEEFF"/>
          </w:tcPr>
          <w:p>
            <w:pPr>
              <w:spacing w:after="0"/>
              <w:rPr>
                <w:sz w:val="14"/>
                <w:szCs w:val="14"/>
                <w:color w:val="auto"/>
              </w:rPr>
            </w:pPr>
          </w:p>
        </w:tc>
      </w:tr>
      <w:tr>
        <w:trPr>
          <w:trHeight w:val="27"/>
        </w:trPr>
        <w:tc>
          <w:tcPr>
            <w:tcW w:w="636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accumulated other comprehensive loss</w:t>
            </w:r>
          </w:p>
        </w:tc>
        <w:tc>
          <w:tcPr>
            <w:tcW w:w="3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$ 6,826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9,062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9,403</w:t>
            </w:r>
          </w:p>
        </w:tc>
        <w:tc>
          <w:tcPr>
            <w:tcW w:w="180" w:type="dxa"/>
            <w:vAlign w:val="bottom"/>
          </w:tcPr>
          <w:p>
            <w:pPr>
              <w:spacing w:after="0"/>
              <w:rPr>
                <w:sz w:val="15"/>
                <w:szCs w:val="15"/>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common stock.</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2010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 common stock</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31,265</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32,980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35,784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Assumed issuance of contingent shares</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31,267</w:t>
            </w:r>
          </w:p>
        </w:tc>
        <w:tc>
          <w:tcPr>
            <w:tcW w:w="6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32,982</w:t>
            </w:r>
          </w:p>
        </w:tc>
        <w:tc>
          <w:tcPr>
            <w:tcW w:w="7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35,788</w:t>
            </w:r>
          </w:p>
        </w:tc>
        <w:tc>
          <w:tcPr>
            <w:tcW w:w="0" w:type="dxa"/>
            <w:vAlign w:val="bottom"/>
          </w:tcPr>
          <w:p>
            <w:pPr>
              <w:spacing w:after="0"/>
              <w:rPr>
                <w:sz w:val="1"/>
                <w:szCs w:val="1"/>
                <w:color w:val="auto"/>
              </w:rPr>
            </w:pPr>
          </w:p>
        </w:tc>
      </w:tr>
      <w:tr>
        <w:trPr>
          <w:trHeight w:val="27"/>
        </w:trPr>
        <w:tc>
          <w:tcPr>
            <w:tcW w:w="9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DILUTED</w:t>
            </w:r>
          </w:p>
        </w:tc>
        <w:tc>
          <w:tcPr>
            <w:tcW w:w="7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40" w:type="dxa"/>
            <w:vAlign w:val="bottom"/>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92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2010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31,267</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32,982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35,788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20" w:type="dxa"/>
            <w:vAlign w:val="bottom"/>
          </w:tcPr>
          <w:p>
            <w:pPr>
              <w:spacing w:after="0"/>
              <w:rPr>
                <w:sz w:val="20"/>
                <w:szCs w:val="20"/>
                <w:color w:val="auto"/>
              </w:rPr>
            </w:pPr>
            <w:r>
              <w:rPr>
                <w:rFonts w:ascii="Arial" w:cs="Arial" w:eastAsia="Arial" w:hAnsi="Arial"/>
                <w:sz w:val="14"/>
                <w:szCs w:val="14"/>
                <w:b w:val="1"/>
                <w:bCs w:val="1"/>
                <w:color w:val="auto"/>
              </w:rPr>
              <w:t>Effect of dilutive securities</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530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Weighted-average number of shares of common stock, assumed issuance of contingent and restricted shares, and effect of dilutive</w:t>
            </w:r>
          </w:p>
        </w:tc>
        <w:tc>
          <w:tcPr>
            <w:tcW w:w="7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securities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31,797</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20" w:firstLine="146"/>
        <w:spacing w:after="0" w:line="238" w:lineRule="auto"/>
        <w:rPr>
          <w:sz w:val="20"/>
          <w:szCs w:val="20"/>
          <w:color w:val="auto"/>
        </w:rPr>
      </w:pPr>
      <w:r>
        <w:rPr>
          <w:rFonts w:ascii="Arial" w:cs="Arial" w:eastAsia="Arial" w:hAnsi="Arial"/>
          <w:sz w:val="18"/>
          <w:szCs w:val="18"/>
          <w:color w:val="auto"/>
        </w:rPr>
        <w:t>Options to purchase an aggregate of 208,718, 330,555, and 1,406,871 shares of common stock outstanding during fiscal 2011, 2010, and 2009, respectively, were excluded from the diluted net earnings per share calculation because their exercise prices were greater than the average market price of the company's common stock during the same respective periods.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Presentation</w:t>
      </w:r>
    </w:p>
    <w:p>
      <w:pPr>
        <w:spacing w:after="0" w:line="23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Adopted</w:t>
      </w:r>
    </w:p>
    <w:p>
      <w:pPr>
        <w:spacing w:after="0" w:line="216"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 xml:space="preserve">In September 2011, the Financial Accounting Standards Board ("FASB") issued Accounting Standards Update ("ASU") No. 2011-08, </w:t>
      </w:r>
      <w:r>
        <w:rPr>
          <w:rFonts w:ascii="Arial" w:cs="Arial" w:eastAsia="Arial" w:hAnsi="Arial"/>
          <w:sz w:val="18"/>
          <w:szCs w:val="18"/>
          <w:i w:val="1"/>
          <w:iCs w:val="1"/>
          <w:color w:val="auto"/>
        </w:rPr>
        <w:t>Intangibles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Testing Goodwill for Impairment. </w:t>
      </w:r>
      <w:r>
        <w:rPr>
          <w:rFonts w:ascii="Arial" w:cs="Arial" w:eastAsia="Arial" w:hAnsi="Arial"/>
          <w:sz w:val="18"/>
          <w:szCs w:val="18"/>
          <w:color w:val="auto"/>
        </w:rPr>
        <w:t>ASU No. 2011-08 permits an entity to first assess qualitative factors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it is more likely</w:t>
      </w:r>
    </w:p>
    <w:p>
      <w:pPr>
        <w:sectPr>
          <w:pgSz w:w="11900" w:h="16838" w:orient="portrait"/>
          <w:cols w:equalWidth="0" w:num="1">
            <w:col w:w="11420"/>
          </w:cols>
          <w:pgMar w:left="240" w:top="143" w:right="239" w:bottom="146"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6" w:gutter="0" w:footer="0" w:header="0"/>
          <w:type w:val="continuous"/>
        </w:sectPr>
      </w:pPr>
    </w:p>
    <w:bookmarkStart w:id="51" w:name="page52"/>
    <w:bookmarkEnd w:id="51"/>
    <w:p>
      <w:pPr>
        <w:spacing w:after="0" w:line="236" w:lineRule="auto"/>
        <w:rPr>
          <w:sz w:val="20"/>
          <w:szCs w:val="20"/>
          <w:color w:val="auto"/>
        </w:rPr>
      </w:pPr>
      <w:r>
        <w:rPr>
          <w:rFonts w:ascii="Arial" w:cs="Arial" w:eastAsia="Arial" w:hAnsi="Arial"/>
          <w:sz w:val="18"/>
          <w:szCs w:val="18"/>
          <w:color w:val="auto"/>
        </w:rPr>
        <w:t xml:space="preserve">than not that the fair value of a reporting unit is less than its carrying amount as a basis for determining whether it is necessary to perform the two-step goodwill impairment test described in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The "more likely than not" threshold is defined as having a likelihood of more than 50 percent. ASU No.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The company adopted ASU No. 2011-08, as permitted, for its annual fiscal year ended October 31, 2011. The adoption did not have an impact on the company's consolidated financial statements.</w:t>
      </w:r>
    </w:p>
    <w:p>
      <w:pPr>
        <w:spacing w:after="0" w:line="191" w:lineRule="exact"/>
        <w:rPr>
          <w:sz w:val="20"/>
          <w:szCs w:val="20"/>
          <w:color w:val="auto"/>
        </w:rPr>
      </w:pPr>
    </w:p>
    <w:p>
      <w:pPr>
        <w:ind w:firstLine="146"/>
        <w:spacing w:after="0" w:line="241" w:lineRule="auto"/>
        <w:rPr>
          <w:sz w:val="20"/>
          <w:szCs w:val="20"/>
          <w:color w:val="auto"/>
        </w:rPr>
      </w:pPr>
      <w:r>
        <w:rPr>
          <w:rFonts w:ascii="Arial" w:cs="Arial" w:eastAsia="Arial" w:hAnsi="Arial"/>
          <w:sz w:val="18"/>
          <w:szCs w:val="18"/>
          <w:color w:val="auto"/>
        </w:rPr>
        <w:t xml:space="preserve">In January 2010, the FASB issued ASU No. 2010-06, </w:t>
      </w:r>
      <w:r>
        <w:rPr>
          <w:rFonts w:ascii="Arial" w:cs="Arial" w:eastAsia="Arial" w:hAnsi="Arial"/>
          <w:sz w:val="18"/>
          <w:szCs w:val="18"/>
          <w:i w:val="1"/>
          <w:iCs w:val="1"/>
          <w:color w:val="auto"/>
        </w:rPr>
        <w:t>Fair Value Measurements and Disclosures (Topic 820)</w:t>
      </w:r>
      <w:r>
        <w:rPr>
          <w:rFonts w:ascii="Arial" w:cs="Arial" w:eastAsia="Arial" w:hAnsi="Arial"/>
          <w:sz w:val="18"/>
          <w:szCs w:val="18"/>
          <w:color w:val="auto"/>
        </w:rPr>
        <w:t>. ASU No. 2010-06 requires new disclosures regarding activity in Level 3 fair value measurements, including information on purchases, sales, issuances, and settlements on a gross basis in the reconciliation of Level 3 fair-value measurements. The company adopted the provision of ASU No. 2010-06 for Level 3 fair-value measurements for its second fiscal quarter beginning on January 30, 2011, as required. The adoption of ASU No. 2010-06 for Level 3 fair value measurements did not have an impact on the company's disclosures.</w:t>
      </w:r>
    </w:p>
    <w:p>
      <w:pPr>
        <w:spacing w:after="0" w:line="190" w:lineRule="exact"/>
        <w:rPr>
          <w:sz w:val="20"/>
          <w:szCs w:val="20"/>
          <w:color w:val="auto"/>
        </w:rPr>
      </w:pPr>
    </w:p>
    <w:p>
      <w:pPr>
        <w:ind w:right="20" w:firstLine="146"/>
        <w:spacing w:after="0" w:line="239" w:lineRule="auto"/>
        <w:rPr>
          <w:sz w:val="20"/>
          <w:szCs w:val="20"/>
          <w:color w:val="auto"/>
        </w:rPr>
      </w:pPr>
      <w:r>
        <w:rPr>
          <w:rFonts w:ascii="Arial" w:cs="Arial" w:eastAsia="Arial" w:hAnsi="Arial"/>
          <w:sz w:val="18"/>
          <w:szCs w:val="18"/>
          <w:color w:val="auto"/>
        </w:rPr>
        <w:t xml:space="preserve">In December 2009, the FASB issued ASU No. 2009-16, </w:t>
      </w:r>
      <w:r>
        <w:rPr>
          <w:rFonts w:ascii="Arial" w:cs="Arial" w:eastAsia="Arial" w:hAnsi="Arial"/>
          <w:sz w:val="18"/>
          <w:szCs w:val="18"/>
          <w:i w:val="1"/>
          <w:iCs w:val="1"/>
          <w:color w:val="auto"/>
        </w:rPr>
        <w:t>Accounting for Transfers of Financial Assets</w:t>
      </w:r>
      <w:r>
        <w:rPr>
          <w:rFonts w:ascii="Arial" w:cs="Arial" w:eastAsia="Arial" w:hAnsi="Arial"/>
          <w:sz w:val="18"/>
          <w:szCs w:val="18"/>
          <w:color w:val="auto"/>
        </w:rPr>
        <w:t xml:space="preserve">, which amends Accounting Standards Codification ("ASC") 860, </w:t>
      </w:r>
      <w:r>
        <w:rPr>
          <w:rFonts w:ascii="Arial" w:cs="Arial" w:eastAsia="Arial" w:hAnsi="Arial"/>
          <w:sz w:val="18"/>
          <w:szCs w:val="18"/>
          <w:i w:val="1"/>
          <w:iCs w:val="1"/>
          <w:color w:val="auto"/>
        </w:rPr>
        <w:t>Transfers and Servicing (FASB Statement No. 166, Accounting for Transfers of Financial Assets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140)</w:t>
      </w:r>
      <w:r>
        <w:rPr>
          <w:rFonts w:ascii="Arial" w:cs="Arial" w:eastAsia="Arial" w:hAnsi="Arial"/>
          <w:sz w:val="18"/>
          <w:szCs w:val="18"/>
          <w:color w:val="auto"/>
        </w:rPr>
        <w:t>. ASU No. 2009-16 eliminates the qualifying special purpose entities from the consolidation guidance and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isolation and limitations on portions of financial assets that are eligible for sale accounting. It also requires additional disclosures about the risks from continuing involvement in transferred financial assets accounted for as sales. The company adopted ASU No. 2009-16 on November 1, 2010, as required. The adoption did not have an impact on the company's consolidated financial statements.</w:t>
      </w:r>
    </w:p>
    <w:p>
      <w:pPr>
        <w:spacing w:after="0" w:line="195" w:lineRule="exact"/>
        <w:rPr>
          <w:sz w:val="20"/>
          <w:szCs w:val="20"/>
          <w:color w:val="auto"/>
        </w:rPr>
      </w:pPr>
    </w:p>
    <w:p>
      <w:pPr>
        <w:ind w:right="40" w:firstLine="146"/>
        <w:spacing w:after="0" w:line="239" w:lineRule="auto"/>
        <w:rPr>
          <w:sz w:val="20"/>
          <w:szCs w:val="20"/>
          <w:color w:val="auto"/>
        </w:rPr>
      </w:pPr>
      <w:r>
        <w:rPr>
          <w:rFonts w:ascii="Arial" w:cs="Arial" w:eastAsia="Arial" w:hAnsi="Arial"/>
          <w:sz w:val="18"/>
          <w:szCs w:val="18"/>
          <w:color w:val="auto"/>
        </w:rPr>
        <w:t xml:space="preserve">In December 2009, the FASB issued ASU No. 2009-17, </w:t>
      </w:r>
      <w:r>
        <w:rPr>
          <w:rFonts w:ascii="Arial" w:cs="Arial" w:eastAsia="Arial" w:hAnsi="Arial"/>
          <w:sz w:val="18"/>
          <w:szCs w:val="18"/>
          <w:i w:val="1"/>
          <w:iCs w:val="1"/>
          <w:color w:val="auto"/>
        </w:rPr>
        <w:t>Improvements to Financial Reporting by Enterprises Involved with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 which amends ASC 810,</w:t>
      </w:r>
      <w:r>
        <w:rPr>
          <w:rFonts w:ascii="Arial" w:cs="Arial" w:eastAsia="Arial" w:hAnsi="Arial"/>
          <w:sz w:val="18"/>
          <w:szCs w:val="18"/>
          <w:i w:val="1"/>
          <w:iCs w:val="1"/>
          <w:color w:val="auto"/>
        </w:rPr>
        <w:t xml:space="preserve"> Consolidation (FASB Statement No. 167, Amendments to FASB Interpretation No. 46(R))</w:t>
      </w:r>
      <w:r>
        <w:rPr>
          <w:rFonts w:ascii="Arial" w:cs="Arial" w:eastAsia="Arial" w:hAnsi="Arial"/>
          <w:sz w:val="18"/>
          <w:szCs w:val="18"/>
          <w:color w:val="auto"/>
        </w:rPr>
        <w:t>. ASU No. 2009-17</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 qualitative analysis to determine the primary beneficiary of a variable interest entity ("VIE"). The analysis identifies the primary beneficiary as the enterprise that has both the power to direct the activities of a VIE that most significantly impact the VIE's economic performance and the obligation to absorb losses or the right to receive benefits that could be significant to the VIE. ASU No. 2009-17 also requires additional disclosures about an enterprise's involvement in a VIE. The company adopted ASU No. 2009-17 on November 1, 2010, as required. The adoption did not have an impact on the company's consolidated financial statements.</w:t>
      </w:r>
    </w:p>
    <w:p>
      <w:pPr>
        <w:spacing w:after="0" w:line="221" w:lineRule="exact"/>
        <w:rPr>
          <w:sz w:val="20"/>
          <w:szCs w:val="20"/>
          <w:color w:val="auto"/>
        </w:rPr>
      </w:pPr>
    </w:p>
    <w:p>
      <w:pPr>
        <w:ind w:left="740" w:hanging="732"/>
        <w:spacing w:after="0"/>
        <w:tabs>
          <w:tab w:leader="none" w:pos="740" w:val="left"/>
        </w:tabs>
        <w:numPr>
          <w:ilvl w:val="0"/>
          <w:numId w:val="28"/>
        </w:numPr>
        <w:rPr>
          <w:rFonts w:ascii="Arial" w:cs="Arial" w:eastAsia="Arial" w:hAnsi="Arial"/>
          <w:sz w:val="43"/>
          <w:szCs w:val="43"/>
          <w:b w:val="1"/>
          <w:bCs w:val="1"/>
          <w:color w:val="auto"/>
        </w:rPr>
      </w:pPr>
      <w:r>
        <w:rPr>
          <w:rFonts w:ascii="Arial" w:cs="Arial" w:eastAsia="Arial" w:hAnsi="Arial"/>
          <w:sz w:val="22"/>
          <w:szCs w:val="22"/>
          <w:b w:val="1"/>
          <w:bCs w:val="1"/>
          <w:color w:val="auto"/>
        </w:rPr>
        <w:t>ACQUISITIONS AND DIVESTITURE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On June 24, 2011, the company completed the acquisition of certain assets of, and assumed certain liabilities from, Lawn Solutions Commercial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Products, Inc. ("Lawn Solutions"), a manufacturer of turf renovation equipment, including aerators, seeders, power rakes, and brush cutters, for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landscape, rental, municipal, and golf markets. On January 17, 2011, the company completed the acquisition of certain assets of, and assumed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certain liabilities from, Unique Lighting Systems, Inc. ("Unique Lighting"), a leading manufacturer of professionally installed landscape lighting</w:t>
      </w:r>
    </w:p>
    <w:p>
      <w:pPr>
        <w:spacing w:after="0" w:line="234" w:lineRule="auto"/>
        <w:rPr>
          <w:sz w:val="20"/>
          <w:szCs w:val="20"/>
          <w:color w:val="auto"/>
        </w:rPr>
      </w:pPr>
      <w:r>
        <w:rPr>
          <w:rFonts w:ascii="Arial" w:cs="Arial" w:eastAsia="Arial" w:hAnsi="Arial"/>
          <w:sz w:val="18"/>
          <w:szCs w:val="18"/>
          <w:color w:val="auto"/>
        </w:rPr>
        <w:t>fixtures and transformers for residential and commercial use. The aggregate net purchase price of these acquisitions during fiscal 2011 was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$24,150, which included cash payments, the issuance of long-term notes, and estimated earnout considerations. The earnout considerations 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based on annual financial results over certain thresholds as defined in the acquisition agreements.</w:t>
      </w:r>
    </w:p>
    <w:p>
      <w:pPr>
        <w:spacing w:after="0" w:line="212" w:lineRule="exact"/>
        <w:rPr>
          <w:sz w:val="20"/>
          <w:szCs w:val="20"/>
          <w:color w:val="auto"/>
        </w:rPr>
      </w:pPr>
    </w:p>
    <w:p>
      <w:pPr>
        <w:ind w:right="180" w:firstLine="146"/>
        <w:spacing w:after="0" w:line="236" w:lineRule="auto"/>
        <w:rPr>
          <w:sz w:val="20"/>
          <w:szCs w:val="20"/>
          <w:color w:val="auto"/>
        </w:rPr>
      </w:pPr>
      <w:r>
        <w:rPr>
          <w:rFonts w:ascii="Arial" w:cs="Arial" w:eastAsia="Arial" w:hAnsi="Arial"/>
          <w:sz w:val="18"/>
          <w:szCs w:val="18"/>
          <w:color w:val="auto"/>
        </w:rPr>
        <w:t>On October 29, 2010, the company completed the acquisition of certain assets of, and assumed certain liabilities from, one of its independent U.S. Western-based distribution companies. On April 30, 2010, the company completed the purchase of certain assets of, and assumed certain liabilities from, USPraxis, Inc., a manufacturer of stump grinders, wood chippers, and log splitters for rental centers and landscape professionals. On December 1, 2009, the company's wholly owned domestic distribution company completed the acquisition of certain assets of, and assumed certain liabilities from, one of the company's independent U.S. Midwestern-based distribution companies. The aggregate net purchase price of these acquisitions during fiscal 2010 was $9,137, which included cash payments, the issuance of a long-term note, and an estimated earnout consideration.</w:t>
      </w:r>
    </w:p>
    <w:p>
      <w:pPr>
        <w:spacing w:after="0" w:line="209" w:lineRule="exact"/>
        <w:rPr>
          <w:sz w:val="20"/>
          <w:szCs w:val="20"/>
          <w:color w:val="auto"/>
        </w:rPr>
      </w:pPr>
    </w:p>
    <w:p>
      <w:pPr>
        <w:ind w:right="420" w:firstLine="146"/>
        <w:spacing w:after="0" w:line="237" w:lineRule="auto"/>
        <w:rPr>
          <w:sz w:val="20"/>
          <w:szCs w:val="20"/>
          <w:color w:val="auto"/>
        </w:rPr>
      </w:pPr>
      <w:r>
        <w:rPr>
          <w:rFonts w:ascii="Arial" w:cs="Arial" w:eastAsia="Arial" w:hAnsi="Arial"/>
          <w:sz w:val="18"/>
          <w:szCs w:val="18"/>
          <w:color w:val="auto"/>
        </w:rPr>
        <w:t>On October 13, 2009, the company completed the purchase of certain assets of, and assumed certain liabilities from, Ty-Crop Manufacturing Ltd., a leading manufacturer of topdressing and material handling equipment for golf course and sports fields applications. The purchase price was $7,900, which included a cash payment and a long-term note. During the first quarter of fiscal 2009, the company also completed the sale of a portion of the operations of its Midwestern-based company-owned distributorship.</w:t>
      </w:r>
    </w:p>
    <w:p>
      <w:pPr>
        <w:spacing w:after="0" w:line="209" w:lineRule="exact"/>
        <w:rPr>
          <w:sz w:val="20"/>
          <w:szCs w:val="20"/>
          <w:color w:val="auto"/>
        </w:rPr>
      </w:pPr>
    </w:p>
    <w:p>
      <w:pPr>
        <w:jc w:val="both"/>
        <w:ind w:right="60" w:firstLine="143"/>
        <w:spacing w:after="0" w:line="238" w:lineRule="auto"/>
        <w:rPr>
          <w:sz w:val="20"/>
          <w:szCs w:val="20"/>
          <w:color w:val="auto"/>
        </w:rPr>
      </w:pPr>
      <w:r>
        <w:rPr>
          <w:rFonts w:ascii="Arial" w:cs="Arial" w:eastAsia="Arial" w:hAnsi="Arial"/>
          <w:sz w:val="18"/>
          <w:szCs w:val="18"/>
          <w:color w:val="auto"/>
        </w:rPr>
        <w:t>The purchase price of these acquisitions was allocated to the identifiable assets acquired and liabilities assumed based on estimates of their fair value, with the excess purchase price for acquisitions recorded as goodwill. Additional purchase accounting disclosures have been omitted given the immateriality of these acquisitions as compared to the company's consolidated financial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condition and results of operations. See Note 5 for further details related to the acquired intangible assets.</w:t>
      </w:r>
    </w:p>
    <w:p>
      <w:pPr>
        <w:spacing w:after="0" w:line="224" w:lineRule="exact"/>
        <w:rPr>
          <w:sz w:val="20"/>
          <w:szCs w:val="20"/>
          <w:color w:val="auto"/>
        </w:rPr>
      </w:pPr>
    </w:p>
    <w:p>
      <w:pPr>
        <w:ind w:left="740" w:hanging="732"/>
        <w:spacing w:after="0"/>
        <w:tabs>
          <w:tab w:leader="none" w:pos="740" w:val="left"/>
        </w:tabs>
        <w:numPr>
          <w:ilvl w:val="0"/>
          <w:numId w:val="29"/>
        </w:numPr>
        <w:rPr>
          <w:rFonts w:ascii="Arial" w:cs="Arial" w:eastAsia="Arial" w:hAnsi="Arial"/>
          <w:sz w:val="43"/>
          <w:szCs w:val="43"/>
          <w:b w:val="1"/>
          <w:bCs w:val="1"/>
          <w:color w:val="auto"/>
        </w:rPr>
      </w:pPr>
      <w:r>
        <w:rPr>
          <w:rFonts w:ascii="Arial" w:cs="Arial" w:eastAsia="Arial" w:hAnsi="Arial"/>
          <w:sz w:val="22"/>
          <w:szCs w:val="22"/>
          <w:b w:val="1"/>
          <w:bCs w:val="1"/>
          <w:color w:val="auto"/>
        </w:rPr>
        <w:t>INVESTMENT IN JOINT VENTURE</w:t>
      </w:r>
    </w:p>
    <w:p>
      <w:pPr>
        <w:spacing w:after="0" w:line="209"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On August 12, 2009, the company and TCFIF, a subsidiary of TCF National Bank, established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2014,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 During the first quarter of fiscal 2010, Red Iron began financing open account receivables, as well as floor plan receivables previously financed by such third party financing company. Red Iron also began financing floor plan receivables during the company's fourth quarter of fiscal 2009.</w:t>
      </w:r>
    </w:p>
    <w:p>
      <w:pPr>
        <w:spacing w:after="0" w:line="393" w:lineRule="exact"/>
        <w:rPr>
          <w:sz w:val="20"/>
          <w:szCs w:val="20"/>
          <w:color w:val="auto"/>
        </w:rPr>
      </w:pPr>
    </w:p>
    <w:p>
      <w:pPr>
        <w:ind w:right="40" w:firstLine="143"/>
        <w:spacing w:after="0" w:line="235"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$450,000 secured revolving credit facility established under a credit agreement between Red Iron and TCFIF. The company's total investment in Red Iron as of October 31, 2011 and 2010 was $11,640 and $9,693, respectively. The company has not guaranteed the outstanding indebtedness of Red Iron. The company has agreed to repurchase products repossessed by Red Iron and the TCFIF Canadian affiliate, up to a maximum aggregate amount of $7,500 in a calendar year. In addition, the company has provided recourse to Red Iron for certain outstanding receivables, which amounted to a maximum amount of $190 and $731 as of October 31, 2011 and 2010, respectively.</w:t>
      </w:r>
    </w:p>
    <w:p>
      <w:pPr>
        <w:spacing w:after="0" w:line="215"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On October 29, 2010, the company and Red Iron amended their repurchase agreement under which Red Iron provides financing for certain dealers and distributors. Instead of transactions under the agreements being characterized as a sale of receivables from the company to Red Iron, the transactions are structured as an advance in the form of a payment by Red Iron to the company on behalf of a distributor or dealer with respect to invoices financed by Red Iron, which extinguishes the obligation of the dealer or distributor to make payment to the company under the terms of the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during fiscal 2011 was $1,111,778. In fiscal 2010, prior to this amended repurchase agreement, the company sold receivables to Red Iron and derecognized receivables from its books upon receipt of cash from Red Iron for receivables sold. Red Iron purchased $804,083 of receivables from the company during fiscal 2010.</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Summarized financial information for Red Iron is presented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For the twelve months ended October 31</w:t>
            </w:r>
          </w:p>
        </w:tc>
        <w:tc>
          <w:tcPr>
            <w:tcW w:w="3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w:t>
            </w:r>
          </w:p>
        </w:tc>
        <w:tc>
          <w:tcPr>
            <w:tcW w:w="3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$ 17,116</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$ 12,056</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$ 393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3900" w:type="dxa"/>
            <w:vAlign w:val="bottom"/>
          </w:tcPr>
          <w:p>
            <w:pPr>
              <w:jc w:val="right"/>
              <w:spacing w:after="0"/>
              <w:rPr>
                <w:sz w:val="20"/>
                <w:szCs w:val="20"/>
                <w:color w:val="auto"/>
              </w:rPr>
            </w:pPr>
            <w:r>
              <w:rPr>
                <w:rFonts w:ascii="Arial" w:cs="Arial" w:eastAsia="Arial" w:hAnsi="Arial"/>
                <w:sz w:val="14"/>
                <w:szCs w:val="14"/>
                <w:b w:val="1"/>
                <w:bCs w:val="1"/>
                <w:color w:val="auto"/>
              </w:rPr>
              <w:t>11,070</w:t>
            </w:r>
          </w:p>
        </w:tc>
        <w:tc>
          <w:tcPr>
            <w:tcW w:w="700" w:type="dxa"/>
            <w:vAlign w:val="bottom"/>
          </w:tcPr>
          <w:p>
            <w:pPr>
              <w:jc w:val="right"/>
              <w:spacing w:after="0"/>
              <w:rPr>
                <w:sz w:val="20"/>
                <w:szCs w:val="20"/>
                <w:color w:val="auto"/>
              </w:rPr>
            </w:pPr>
            <w:r>
              <w:rPr>
                <w:rFonts w:ascii="Arial" w:cs="Arial" w:eastAsia="Arial" w:hAnsi="Arial"/>
                <w:sz w:val="14"/>
                <w:szCs w:val="14"/>
                <w:color w:val="auto"/>
              </w:rPr>
              <w:t>5,552</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6"/>
                <w:szCs w:val="16"/>
                <w:color w:val="auto"/>
              </w:rPr>
            </w:pPr>
          </w:p>
        </w:tc>
      </w:tr>
      <w:tr>
        <w:trPr>
          <w:trHeight w:val="615"/>
        </w:trPr>
        <w:tc>
          <w:tcPr>
            <w:tcW w:w="20" w:type="dxa"/>
            <w:vAlign w:val="bottom"/>
          </w:tcPr>
          <w:p>
            <w:pPr>
              <w:spacing w:after="0"/>
              <w:rPr>
                <w:sz w:val="24"/>
                <w:szCs w:val="24"/>
                <w:color w:val="auto"/>
              </w:rPr>
            </w:pPr>
          </w:p>
        </w:tc>
        <w:tc>
          <w:tcPr>
            <w:tcW w:w="5960" w:type="dxa"/>
            <w:vAlign w:val="bottom"/>
            <w:tcBorders>
              <w:top w:val="single" w:sz="8" w:color="auto"/>
              <w:bottom w:val="single" w:sz="8" w:color="auto"/>
            </w:tcBorders>
            <w:gridSpan w:val="2"/>
          </w:tcPr>
          <w:p>
            <w:pPr>
              <w:spacing w:after="0"/>
              <w:rPr>
                <w:sz w:val="24"/>
                <w:szCs w:val="24"/>
                <w:color w:val="auto"/>
              </w:rPr>
            </w:pPr>
          </w:p>
        </w:tc>
        <w:tc>
          <w:tcPr>
            <w:tcW w:w="39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3"/>
        </w:trPr>
        <w:tc>
          <w:tcPr>
            <w:tcW w:w="5980" w:type="dxa"/>
            <w:vAlign w:val="bottom"/>
            <w:gridSpan w:val="3"/>
          </w:tcPr>
          <w:p>
            <w:pPr>
              <w:spacing w:after="0"/>
              <w:rPr>
                <w:sz w:val="20"/>
                <w:szCs w:val="20"/>
                <w:color w:val="auto"/>
              </w:rPr>
            </w:pPr>
            <w:r>
              <w:rPr>
                <w:rFonts w:ascii="Arial" w:cs="Arial" w:eastAsia="Arial" w:hAnsi="Arial"/>
                <w:sz w:val="14"/>
                <w:szCs w:val="14"/>
                <w:color w:val="auto"/>
              </w:rPr>
              <w:t>As of October 31</w:t>
            </w:r>
          </w:p>
        </w:tc>
        <w:tc>
          <w:tcPr>
            <w:tcW w:w="390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2011</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9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Finance receivables, net</w:t>
            </w:r>
          </w:p>
        </w:tc>
        <w:tc>
          <w:tcPr>
            <w:tcW w:w="4600" w:type="dxa"/>
            <w:vAlign w:val="bottom"/>
            <w:tcBorders>
              <w:top w:val="single" w:sz="8" w:color="auto"/>
            </w:tcBorders>
            <w:gridSpan w:val="2"/>
            <w:shd w:val="clear" w:color="auto" w:fill="CCEEFF"/>
          </w:tcPr>
          <w:p>
            <w:pPr>
              <w:jc w:val="right"/>
              <w:ind w:right="88"/>
              <w:spacing w:after="0" w:line="155" w:lineRule="exact"/>
              <w:rPr>
                <w:sz w:val="20"/>
                <w:szCs w:val="20"/>
                <w:color w:val="auto"/>
              </w:rPr>
            </w:pPr>
            <w:r>
              <w:rPr>
                <w:rFonts w:ascii="Arial" w:cs="Arial" w:eastAsia="Arial" w:hAnsi="Arial"/>
                <w:sz w:val="14"/>
                <w:szCs w:val="14"/>
                <w:b w:val="1"/>
                <w:bCs w:val="1"/>
                <w:color w:val="auto"/>
              </w:rPr>
              <w:t>$232,600</w:t>
            </w:r>
          </w:p>
        </w:tc>
        <w:tc>
          <w:tcPr>
            <w:tcW w:w="620" w:type="dxa"/>
            <w:vAlign w:val="bottom"/>
            <w:tcBorders>
              <w:top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w w:val="99"/>
              </w:rPr>
              <w:t>$185,741</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Other assets</w:t>
            </w:r>
          </w:p>
        </w:tc>
        <w:tc>
          <w:tcPr>
            <w:tcW w:w="39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6,960</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4,991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39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213,693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169,193</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hanging="732"/>
        <w:spacing w:after="0"/>
        <w:tabs>
          <w:tab w:leader="none" w:pos="740" w:val="left"/>
        </w:tabs>
        <w:numPr>
          <w:ilvl w:val="0"/>
          <w:numId w:val="30"/>
        </w:numPr>
        <w:rPr>
          <w:rFonts w:ascii="Arial" w:cs="Arial" w:eastAsia="Arial" w:hAnsi="Arial"/>
          <w:sz w:val="43"/>
          <w:szCs w:val="43"/>
          <w:b w:val="1"/>
          <w:bCs w:val="1"/>
          <w:color w:val="auto"/>
        </w:rPr>
      </w:pPr>
      <w:r>
        <w:rPr>
          <w:rFonts w:ascii="Arial" w:cs="Arial" w:eastAsia="Arial" w:hAnsi="Arial"/>
          <w:sz w:val="22"/>
          <w:szCs w:val="22"/>
          <w:b w:val="1"/>
          <w:bCs w:val="1"/>
          <w:color w:val="auto"/>
        </w:rPr>
        <w:t>OTHER INCOME (EXPENSE), NET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is as follows:</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6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r>
      <w:tr>
        <w:trPr>
          <w:trHeight w:val="156"/>
        </w:trPr>
        <w:tc>
          <w:tcPr>
            <w:tcW w:w="60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Interest income</w:t>
            </w:r>
          </w:p>
        </w:tc>
        <w:tc>
          <w:tcPr>
            <w:tcW w:w="37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$ 1,072</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$ 1,056</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898</w:t>
            </w:r>
          </w:p>
        </w:tc>
      </w:tr>
      <w:tr>
        <w:trPr>
          <w:trHeight w:val="162"/>
        </w:trPr>
        <w:tc>
          <w:tcPr>
            <w:tcW w:w="6040" w:type="dxa"/>
            <w:vAlign w:val="bottom"/>
          </w:tcPr>
          <w:p>
            <w:pPr>
              <w:spacing w:after="0"/>
              <w:rPr>
                <w:sz w:val="20"/>
                <w:szCs w:val="20"/>
                <w:color w:val="auto"/>
              </w:rPr>
            </w:pPr>
            <w:r>
              <w:rPr>
                <w:rFonts w:ascii="Arial" w:cs="Arial" w:eastAsia="Arial" w:hAnsi="Arial"/>
                <w:sz w:val="14"/>
                <w:szCs w:val="14"/>
                <w:b w:val="1"/>
                <w:bCs w:val="1"/>
                <w:color w:val="auto"/>
              </w:rPr>
              <w:t>Gross finance charge revenue</w:t>
            </w:r>
          </w:p>
        </w:tc>
        <w:tc>
          <w:tcPr>
            <w:tcW w:w="37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543</w:t>
            </w:r>
          </w:p>
        </w:tc>
      </w:tr>
      <w:tr>
        <w:trPr>
          <w:trHeight w:val="162"/>
        </w:trPr>
        <w:tc>
          <w:tcPr>
            <w:tcW w:w="6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Retail financing revenue</w:t>
            </w:r>
          </w:p>
        </w:tc>
        <w:tc>
          <w:tcPr>
            <w:tcW w:w="3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966</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779</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1,716</w:t>
            </w:r>
          </w:p>
        </w:tc>
      </w:tr>
      <w:tr>
        <w:trPr>
          <w:trHeight w:val="162"/>
        </w:trPr>
        <w:tc>
          <w:tcPr>
            <w:tcW w:w="6040" w:type="dxa"/>
            <w:vAlign w:val="bottom"/>
          </w:tcPr>
          <w:p>
            <w:pPr>
              <w:spacing w:after="0"/>
              <w:rPr>
                <w:sz w:val="20"/>
                <w:szCs w:val="20"/>
                <w:color w:val="auto"/>
              </w:rPr>
            </w:pPr>
            <w:r>
              <w:rPr>
                <w:rFonts w:ascii="Arial" w:cs="Arial" w:eastAsia="Arial" w:hAnsi="Arial"/>
                <w:sz w:val="14"/>
                <w:szCs w:val="14"/>
                <w:b w:val="1"/>
                <w:bCs w:val="1"/>
                <w:color w:val="auto"/>
              </w:rPr>
              <w:t>Foreign currency exchange rate (loss) gain</w:t>
            </w:r>
          </w:p>
        </w:tc>
        <w:tc>
          <w:tcPr>
            <w:tcW w:w="3700" w:type="dxa"/>
            <w:vAlign w:val="bottom"/>
          </w:tcPr>
          <w:p>
            <w:pPr>
              <w:jc w:val="right"/>
              <w:spacing w:after="0"/>
              <w:rPr>
                <w:sz w:val="20"/>
                <w:szCs w:val="20"/>
                <w:color w:val="auto"/>
              </w:rPr>
            </w:pPr>
            <w:r>
              <w:rPr>
                <w:rFonts w:ascii="Arial" w:cs="Arial" w:eastAsia="Arial" w:hAnsi="Arial"/>
                <w:sz w:val="14"/>
                <w:szCs w:val="14"/>
                <w:b w:val="1"/>
                <w:bCs w:val="1"/>
                <w:color w:val="auto"/>
              </w:rPr>
              <w:t>(1,751)</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1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641</w:t>
            </w:r>
          </w:p>
        </w:tc>
      </w:tr>
      <w:tr>
        <w:trPr>
          <w:trHeight w:val="162"/>
        </w:trPr>
        <w:tc>
          <w:tcPr>
            <w:tcW w:w="6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(loss) from affiliates</w:t>
            </w:r>
          </w:p>
        </w:tc>
        <w:tc>
          <w:tcPr>
            <w:tcW w:w="3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5,682</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2,599</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(136)</w:t>
            </w:r>
          </w:p>
        </w:tc>
      </w:tr>
      <w:tr>
        <w:trPr>
          <w:trHeight w:val="162"/>
        </w:trPr>
        <w:tc>
          <w:tcPr>
            <w:tcW w:w="6040" w:type="dxa"/>
            <w:vAlign w:val="bottom"/>
          </w:tcPr>
          <w:p>
            <w:pPr>
              <w:spacing w:after="0"/>
              <w:rPr>
                <w:sz w:val="20"/>
                <w:szCs w:val="20"/>
                <w:color w:val="auto"/>
              </w:rPr>
            </w:pPr>
            <w:r>
              <w:rPr>
                <w:rFonts w:ascii="Arial" w:cs="Arial" w:eastAsia="Arial" w:hAnsi="Arial"/>
                <w:sz w:val="14"/>
                <w:szCs w:val="14"/>
                <w:b w:val="1"/>
                <w:bCs w:val="1"/>
                <w:color w:val="auto"/>
              </w:rPr>
              <w:t>Litigation recovery (settlements), net</w:t>
            </w:r>
          </w:p>
        </w:tc>
        <w:tc>
          <w:tcPr>
            <w:tcW w:w="3700" w:type="dxa"/>
            <w:vAlign w:val="bottom"/>
          </w:tcPr>
          <w:p>
            <w:pPr>
              <w:jc w:val="right"/>
              <w:ind w:right="28"/>
              <w:spacing w:after="0"/>
              <w:rPr>
                <w:sz w:val="20"/>
                <w:szCs w:val="20"/>
                <w:color w:val="auto"/>
              </w:rPr>
            </w:pPr>
            <w:r>
              <w:rPr>
                <w:rFonts w:ascii="Arial" w:cs="Arial" w:eastAsia="Arial" w:hAnsi="Arial"/>
                <w:sz w:val="14"/>
                <w:szCs w:val="14"/>
                <w:b w:val="1"/>
                <w:bCs w:val="1"/>
                <w:color w:val="auto"/>
              </w:rPr>
              <w:t>543</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(6,811)</w:t>
            </w:r>
          </w:p>
        </w:tc>
      </w:tr>
      <w:tr>
        <w:trPr>
          <w:trHeight w:val="162"/>
        </w:trPr>
        <w:tc>
          <w:tcPr>
            <w:tcW w:w="6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Miscellaneous</w:t>
            </w:r>
          </w:p>
        </w:tc>
        <w:tc>
          <w:tcPr>
            <w:tcW w:w="3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797</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1,811</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1,318</w:t>
            </w:r>
          </w:p>
        </w:tc>
      </w:tr>
      <w:tr>
        <w:trPr>
          <w:trHeight w:val="27"/>
        </w:trPr>
        <w:tc>
          <w:tcPr>
            <w:tcW w:w="60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6040" w:type="dxa"/>
            <w:vAlign w:val="bottom"/>
          </w:tcPr>
          <w:p>
            <w:pPr>
              <w:spacing w:after="0"/>
              <w:rPr>
                <w:sz w:val="20"/>
                <w:szCs w:val="20"/>
                <w:color w:val="auto"/>
              </w:rPr>
            </w:pPr>
            <w:r>
              <w:rPr>
                <w:rFonts w:ascii="Arial" w:cs="Arial" w:eastAsia="Arial" w:hAnsi="Arial"/>
                <w:sz w:val="14"/>
                <w:szCs w:val="14"/>
                <w:b w:val="1"/>
                <w:bCs w:val="1"/>
                <w:color w:val="auto"/>
              </w:rPr>
              <w:t>Total other income (expense), net</w:t>
            </w:r>
          </w:p>
        </w:tc>
        <w:tc>
          <w:tcPr>
            <w:tcW w:w="3700" w:type="dxa"/>
            <w:vAlign w:val="bottom"/>
          </w:tcPr>
          <w:p>
            <w:pPr>
              <w:jc w:val="right"/>
              <w:ind w:right="28"/>
              <w:spacing w:after="0"/>
              <w:rPr>
                <w:sz w:val="20"/>
                <w:szCs w:val="20"/>
                <w:color w:val="auto"/>
              </w:rPr>
            </w:pPr>
            <w:r>
              <w:rPr>
                <w:rFonts w:ascii="Arial" w:cs="Arial" w:eastAsia="Arial" w:hAnsi="Arial"/>
                <w:sz w:val="14"/>
                <w:szCs w:val="14"/>
                <w:b w:val="1"/>
                <w:bCs w:val="1"/>
                <w:color w:val="auto"/>
              </w:rPr>
              <w:t>$ 7,309</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$ 7,115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(1,831)</w:t>
            </w:r>
          </w:p>
        </w:tc>
      </w:tr>
      <w:tr>
        <w:trPr>
          <w:trHeight w:val="20"/>
        </w:trPr>
        <w:tc>
          <w:tcPr>
            <w:tcW w:w="604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575"/>
        </w:trPr>
        <w:tc>
          <w:tcPr>
            <w:tcW w:w="320" w:type="dxa"/>
            <w:vAlign w:val="bottom"/>
            <w:gridSpan w:val="2"/>
          </w:tcPr>
          <w:p>
            <w:pPr>
              <w:spacing w:after="0"/>
              <w:rPr>
                <w:sz w:val="20"/>
                <w:szCs w:val="20"/>
                <w:color w:val="auto"/>
              </w:rPr>
            </w:pPr>
            <w:r>
              <w:rPr>
                <w:rFonts w:ascii="Arial" w:cs="Arial" w:eastAsia="Arial" w:hAnsi="Arial"/>
                <w:sz w:val="43"/>
                <w:szCs w:val="43"/>
                <w:b w:val="1"/>
                <w:bCs w:val="1"/>
                <w:color w:val="auto"/>
              </w:rPr>
              <w:t>5</w:t>
            </w:r>
          </w:p>
        </w:tc>
        <w:tc>
          <w:tcPr>
            <w:tcW w:w="20" w:type="dxa"/>
            <w:vAlign w:val="bottom"/>
          </w:tcPr>
          <w:p>
            <w:pPr>
              <w:spacing w:after="0"/>
              <w:rPr>
                <w:sz w:val="24"/>
                <w:szCs w:val="24"/>
                <w:color w:val="auto"/>
              </w:rPr>
            </w:pPr>
          </w:p>
        </w:tc>
        <w:tc>
          <w:tcPr>
            <w:tcW w:w="7080" w:type="dxa"/>
            <w:vAlign w:val="bottom"/>
          </w:tcPr>
          <w:p>
            <w:pPr>
              <w:ind w:left="400"/>
              <w:spacing w:after="0"/>
              <w:rPr>
                <w:sz w:val="20"/>
                <w:szCs w:val="20"/>
                <w:color w:val="auto"/>
              </w:rPr>
            </w:pPr>
            <w:r>
              <w:rPr>
                <w:rFonts w:ascii="Arial" w:cs="Arial" w:eastAsia="Arial" w:hAnsi="Arial"/>
                <w:sz w:val="22"/>
                <w:szCs w:val="22"/>
                <w:b w:val="1"/>
                <w:bCs w:val="1"/>
                <w:color w:val="auto"/>
              </w:rPr>
              <w:t>GOODWILL AND OTHER INTANGIBLE ASSETS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8"/>
        </w:trPr>
        <w:tc>
          <w:tcPr>
            <w:tcW w:w="876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The changes in the net carrying amount of goodwill for fiscal 2011 and 2010 were as follows: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spacing w:after="0"/>
              <w:rPr>
                <w:sz w:val="20"/>
                <w:szCs w:val="20"/>
                <w:color w:val="auto"/>
              </w:rPr>
            </w:pPr>
          </w:p>
        </w:tc>
        <w:tc>
          <w:tcPr>
            <w:tcW w:w="740" w:type="dxa"/>
            <w:vAlign w:val="bottom"/>
            <w:tcBorders>
              <w:bottom w:val="single" w:sz="8" w:color="auto"/>
            </w:tcBorders>
            <w:gridSpan w:val="2"/>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100" w:type="dxa"/>
            <w:vAlign w:val="bottom"/>
            <w:gridSpan w:val="3"/>
          </w:tcPr>
          <w:p>
            <w:pPr>
              <w:jc w:val="right"/>
              <w:ind w:right="68"/>
              <w:spacing w:after="0"/>
              <w:rPr>
                <w:sz w:val="20"/>
                <w:szCs w:val="20"/>
                <w:color w:val="auto"/>
              </w:rPr>
            </w:pPr>
            <w:r>
              <w:rPr>
                <w:rFonts w:ascii="Arial" w:cs="Arial" w:eastAsia="Arial" w:hAnsi="Arial"/>
                <w:sz w:val="14"/>
                <w:szCs w:val="14"/>
                <w:color w:val="auto"/>
              </w:rPr>
              <w:t>Professional</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Segment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Segment</w:t>
            </w:r>
          </w:p>
        </w:tc>
        <w:tc>
          <w:tcPr>
            <w:tcW w:w="380" w:type="dxa"/>
            <w:vAlign w:val="bottom"/>
          </w:tcPr>
          <w:p>
            <w:pPr>
              <w:spacing w:after="0"/>
              <w:rPr>
                <w:sz w:val="15"/>
                <w:szCs w:val="15"/>
                <w:color w:val="auto"/>
              </w:rPr>
            </w:pPr>
          </w:p>
        </w:tc>
        <w:tc>
          <w:tcPr>
            <w:tcW w:w="780" w:type="dxa"/>
            <w:vAlign w:val="bottom"/>
            <w:gridSpan w:val="6"/>
          </w:tcPr>
          <w:p>
            <w:pPr>
              <w:ind w:left="20"/>
              <w:spacing w:after="0"/>
              <w:rPr>
                <w:sz w:val="20"/>
                <w:szCs w:val="20"/>
                <w:color w:val="auto"/>
              </w:rPr>
            </w:pPr>
            <w:r>
              <w:rPr>
                <w:rFonts w:ascii="Arial" w:cs="Arial" w:eastAsia="Arial" w:hAnsi="Arial"/>
                <w:sz w:val="14"/>
                <w:szCs w:val="14"/>
                <w:color w:val="auto"/>
              </w:rPr>
              <w:t>Total</w:t>
            </w: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 2009</w:t>
            </w:r>
          </w:p>
        </w:tc>
        <w:tc>
          <w:tcPr>
            <w:tcW w:w="13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$75,514</w:t>
            </w:r>
          </w:p>
        </w:tc>
        <w:tc>
          <w:tcPr>
            <w:tcW w:w="2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$10,893</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$ 86,407</w:t>
            </w:r>
          </w:p>
        </w:tc>
        <w:tc>
          <w:tcPr>
            <w:tcW w:w="16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100" w:type="dxa"/>
            <w:vAlign w:val="bottom"/>
            <w:gridSpan w:val="2"/>
          </w:tcPr>
          <w:p>
            <w:pPr>
              <w:spacing w:after="0"/>
              <w:rPr>
                <w:sz w:val="20"/>
                <w:szCs w:val="20"/>
                <w:color w:val="auto"/>
              </w:rPr>
            </w:pPr>
            <w:r>
              <w:rPr>
                <w:rFonts w:ascii="Arial" w:cs="Arial" w:eastAsia="Arial" w:hAnsi="Arial"/>
                <w:sz w:val="14"/>
                <w:szCs w:val="14"/>
                <w:color w:val="auto"/>
              </w:rPr>
              <w:t>Translation and other adjustments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 2010</w:t>
            </w:r>
          </w:p>
        </w:tc>
        <w:tc>
          <w:tcPr>
            <w:tcW w:w="13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$75,422</w:t>
            </w:r>
          </w:p>
        </w:tc>
        <w:tc>
          <w:tcPr>
            <w:tcW w:w="2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$10,978</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$ 86,400</w:t>
            </w:r>
          </w:p>
        </w:tc>
        <w:tc>
          <w:tcPr>
            <w:tcW w:w="16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color w:val="auto"/>
              </w:rPr>
              <w:t>Addition from acquisitions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5,765</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5,765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4"/>
                <w:szCs w:val="14"/>
                <w:color w:val="auto"/>
              </w:rPr>
              <w:t>Translation and other adjustments</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3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10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2011</w:t>
            </w:r>
          </w:p>
        </w:tc>
        <w:tc>
          <w:tcPr>
            <w:tcW w:w="1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$80,990</w:t>
            </w:r>
          </w:p>
        </w:tc>
        <w:tc>
          <w:tcPr>
            <w:tcW w:w="2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$11,030</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$ 92,020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24"/>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Other Intangible Assets </w:t>
            </w:r>
            <w:r>
              <w:rPr>
                <w:rFonts w:ascii="Arial" w:cs="Arial" w:eastAsia="Arial" w:hAnsi="Arial"/>
                <w:sz w:val="18"/>
                <w:szCs w:val="18"/>
                <w:color w:val="auto"/>
              </w:rPr>
              <w:t>– The components of other intangible assets were as follows: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Estimated</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Life</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w w:val="98"/>
              </w:rPr>
              <w:t>Accumulated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7420" w:type="dxa"/>
            <w:vAlign w:val="bottom"/>
            <w:gridSpan w:val="4"/>
          </w:tcPr>
          <w:p>
            <w:pPr>
              <w:spacing w:after="0"/>
              <w:rPr>
                <w:sz w:val="20"/>
                <w:szCs w:val="20"/>
                <w:color w:val="auto"/>
              </w:rPr>
            </w:pPr>
            <w:r>
              <w:rPr>
                <w:rFonts w:ascii="Arial" w:cs="Arial" w:eastAsia="Arial" w:hAnsi="Arial"/>
                <w:sz w:val="14"/>
                <w:szCs w:val="14"/>
                <w:color w:val="auto"/>
              </w:rPr>
              <w:t>October 31, 2011</w:t>
            </w:r>
          </w:p>
        </w:tc>
        <w:tc>
          <w:tcPr>
            <w:tcW w:w="1340" w:type="dxa"/>
            <w:vAlign w:val="bottom"/>
          </w:tcPr>
          <w:p>
            <w:pPr>
              <w:jc w:val="right"/>
              <w:spacing w:after="0"/>
              <w:rPr>
                <w:sz w:val="20"/>
                <w:szCs w:val="20"/>
                <w:color w:val="auto"/>
              </w:rPr>
            </w:pPr>
            <w:r>
              <w:rPr>
                <w:rFonts w:ascii="Arial" w:cs="Arial" w:eastAsia="Arial" w:hAnsi="Arial"/>
                <w:sz w:val="14"/>
                <w:szCs w:val="14"/>
                <w:color w:val="auto"/>
              </w:rPr>
              <w:t>(Years)</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4"/>
          </w:tcPr>
          <w:p>
            <w:pPr>
              <w:ind w:left="80"/>
              <w:spacing w:after="0"/>
              <w:rPr>
                <w:sz w:val="20"/>
                <w:szCs w:val="20"/>
                <w:color w:val="auto"/>
              </w:rPr>
            </w:pPr>
            <w:r>
              <w:rPr>
                <w:rFonts w:ascii="Arial" w:cs="Arial" w:eastAsia="Arial" w:hAnsi="Arial"/>
                <w:sz w:val="14"/>
                <w:szCs w:val="14"/>
                <w:color w:val="auto"/>
              </w:rPr>
              <w:t>Net</w:t>
            </w:r>
          </w:p>
        </w:tc>
      </w:tr>
      <w:tr>
        <w:trPr>
          <w:trHeight w:val="162"/>
        </w:trPr>
        <w:tc>
          <w:tcPr>
            <w:tcW w:w="20" w:type="dxa"/>
            <w:vAlign w:val="bottom"/>
          </w:tcPr>
          <w:p>
            <w:pPr>
              <w:spacing w:after="0"/>
              <w:rPr>
                <w:sz w:val="14"/>
                <w:szCs w:val="14"/>
                <w:color w:val="auto"/>
              </w:rPr>
            </w:pPr>
          </w:p>
        </w:tc>
        <w:tc>
          <w:tcPr>
            <w:tcW w:w="7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Patents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9,403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(7,505)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1,898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Non-compete agreements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6,250</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(2,685)</w:t>
            </w:r>
          </w:p>
        </w:tc>
        <w:tc>
          <w:tcPr>
            <w:tcW w:w="160" w:type="dxa"/>
            <w:vAlign w:val="bottom"/>
          </w:tcPr>
          <w:p>
            <w:pPr>
              <w:spacing w:after="0"/>
              <w:rPr>
                <w:sz w:val="14"/>
                <w:szCs w:val="14"/>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3,565</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5-13</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8,189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(2,857)</w:t>
            </w:r>
          </w:p>
        </w:tc>
        <w:tc>
          <w:tcPr>
            <w:tcW w:w="16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5,332</w:t>
            </w: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Developed technology</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25,236</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(7,016)</w:t>
            </w:r>
          </w:p>
        </w:tc>
        <w:tc>
          <w:tcPr>
            <w:tcW w:w="160" w:type="dxa"/>
            <w:vAlign w:val="bottom"/>
          </w:tcPr>
          <w:p>
            <w:pPr>
              <w:spacing w:after="0"/>
              <w:rPr>
                <w:sz w:val="14"/>
                <w:szCs w:val="14"/>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18,220</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Trade name</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1,500</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w:t>
            </w:r>
          </w:p>
        </w:tc>
        <w:tc>
          <w:tcPr>
            <w:tcW w:w="16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1,250</w:t>
            </w:r>
          </w:p>
        </w:tc>
        <w:tc>
          <w:tcPr>
            <w:tcW w:w="1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Other</w:t>
            </w: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40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amortizable</w:t>
            </w: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51,378</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(21,113)</w:t>
            </w:r>
          </w:p>
        </w:tc>
        <w:tc>
          <w:tcPr>
            <w:tcW w:w="16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30,265</w:t>
            </w:r>
          </w:p>
        </w:tc>
        <w:tc>
          <w:tcPr>
            <w:tcW w:w="140" w:type="dxa"/>
            <w:vAlign w:val="bottom"/>
            <w:shd w:val="clear" w:color="auto" w:fill="CCEEFF"/>
          </w:tcPr>
          <w:p>
            <w:pPr>
              <w:spacing w:after="0"/>
              <w:rPr>
                <w:sz w:val="13"/>
                <w:szCs w:val="13"/>
                <w:color w:val="auto"/>
              </w:rPr>
            </w:pPr>
          </w:p>
        </w:tc>
      </w:tr>
      <w:tr>
        <w:trPr>
          <w:trHeight w:val="27"/>
        </w:trPr>
        <w:tc>
          <w:tcPr>
            <w:tcW w:w="7420" w:type="dxa"/>
            <w:vAlign w:val="bottom"/>
            <w:gridSpan w:val="4"/>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4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Non-amortizable – trade names</w:t>
            </w:r>
          </w:p>
        </w:tc>
        <w:tc>
          <w:tcPr>
            <w:tcW w:w="13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5,281</w:t>
            </w:r>
          </w:p>
        </w:tc>
        <w:tc>
          <w:tcPr>
            <w:tcW w:w="2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5,281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40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intangible assets, net</w:t>
            </w: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56,659</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(21,113)</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gridSpan w:val="4"/>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35,546</w:t>
            </w:r>
          </w:p>
        </w:tc>
        <w:tc>
          <w:tcPr>
            <w:tcW w:w="14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615"/>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Estimated</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Life</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Carrying</w:t>
            </w:r>
          </w:p>
        </w:tc>
        <w:tc>
          <w:tcPr>
            <w:tcW w:w="2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w w:val="98"/>
              </w:rPr>
              <w:t>Accumulated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7420" w:type="dxa"/>
            <w:vAlign w:val="bottom"/>
            <w:gridSpan w:val="4"/>
          </w:tcPr>
          <w:p>
            <w:pPr>
              <w:spacing w:after="0"/>
              <w:rPr>
                <w:sz w:val="20"/>
                <w:szCs w:val="20"/>
                <w:color w:val="auto"/>
              </w:rPr>
            </w:pPr>
            <w:r>
              <w:rPr>
                <w:rFonts w:ascii="Arial" w:cs="Arial" w:eastAsia="Arial" w:hAnsi="Arial"/>
                <w:sz w:val="14"/>
                <w:szCs w:val="14"/>
                <w:color w:val="auto"/>
              </w:rPr>
              <w:t>October 31, 2010</w:t>
            </w:r>
          </w:p>
        </w:tc>
        <w:tc>
          <w:tcPr>
            <w:tcW w:w="1340" w:type="dxa"/>
            <w:vAlign w:val="bottom"/>
          </w:tcPr>
          <w:p>
            <w:pPr>
              <w:jc w:val="right"/>
              <w:spacing w:after="0"/>
              <w:rPr>
                <w:sz w:val="20"/>
                <w:szCs w:val="20"/>
                <w:color w:val="auto"/>
              </w:rPr>
            </w:pPr>
            <w:r>
              <w:rPr>
                <w:rFonts w:ascii="Arial" w:cs="Arial" w:eastAsia="Arial" w:hAnsi="Arial"/>
                <w:sz w:val="14"/>
                <w:szCs w:val="14"/>
                <w:color w:val="auto"/>
              </w:rPr>
              <w:t>(Years)</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4"/>
          </w:tcPr>
          <w:p>
            <w:pPr>
              <w:ind w:left="80"/>
              <w:spacing w:after="0"/>
              <w:rPr>
                <w:sz w:val="20"/>
                <w:szCs w:val="20"/>
                <w:color w:val="auto"/>
              </w:rPr>
            </w:pPr>
            <w:r>
              <w:rPr>
                <w:rFonts w:ascii="Arial" w:cs="Arial" w:eastAsia="Arial" w:hAnsi="Arial"/>
                <w:sz w:val="14"/>
                <w:szCs w:val="14"/>
                <w:color w:val="auto"/>
              </w:rPr>
              <w:t>Net</w:t>
            </w:r>
          </w:p>
        </w:tc>
      </w:tr>
      <w:tr>
        <w:trPr>
          <w:trHeight w:val="162"/>
        </w:trPr>
        <w:tc>
          <w:tcPr>
            <w:tcW w:w="20" w:type="dxa"/>
            <w:vAlign w:val="bottom"/>
          </w:tcPr>
          <w:p>
            <w:pPr>
              <w:spacing w:after="0"/>
              <w:rPr>
                <w:sz w:val="14"/>
                <w:szCs w:val="14"/>
                <w:color w:val="auto"/>
              </w:rPr>
            </w:pPr>
          </w:p>
        </w:tc>
        <w:tc>
          <w:tcPr>
            <w:tcW w:w="7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Patents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(7,034)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7420" w:type="dxa"/>
            <w:vAlign w:val="bottom"/>
            <w:gridSpan w:val="4"/>
          </w:tcPr>
          <w:p>
            <w:pPr>
              <w:spacing w:after="0"/>
              <w:rPr>
                <w:sz w:val="20"/>
                <w:szCs w:val="20"/>
                <w:color w:val="auto"/>
              </w:rPr>
            </w:pPr>
            <w:r>
              <w:rPr>
                <w:rFonts w:ascii="Arial" w:cs="Arial" w:eastAsia="Arial" w:hAnsi="Arial"/>
                <w:sz w:val="14"/>
                <w:szCs w:val="14"/>
                <w:color w:val="auto"/>
              </w:rPr>
              <w:t>Non-compete Agreements</w:t>
            </w:r>
          </w:p>
        </w:tc>
        <w:tc>
          <w:tcPr>
            <w:tcW w:w="1340" w:type="dxa"/>
            <w:vAlign w:val="bottom"/>
          </w:tcPr>
          <w:p>
            <w:pPr>
              <w:jc w:val="right"/>
              <w:spacing w:after="0"/>
              <w:rPr>
                <w:sz w:val="20"/>
                <w:szCs w:val="20"/>
                <w:color w:val="auto"/>
              </w:rPr>
            </w:pPr>
            <w:r>
              <w:rPr>
                <w:rFonts w:ascii="Arial" w:cs="Arial" w:eastAsia="Arial" w:hAnsi="Arial"/>
                <w:sz w:val="14"/>
                <w:szCs w:val="14"/>
                <w:color w:val="auto"/>
              </w:rPr>
              <w:t>2-10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3,039</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(1,910)</w:t>
            </w:r>
          </w:p>
        </w:tc>
        <w:tc>
          <w:tcPr>
            <w:tcW w:w="160" w:type="dxa"/>
            <w:vAlign w:val="bottom"/>
          </w:tcPr>
          <w:p>
            <w:pPr>
              <w:spacing w:after="0"/>
              <w:rPr>
                <w:sz w:val="14"/>
                <w:szCs w:val="14"/>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4"/>
                <w:szCs w:val="14"/>
                <w:color w:val="auto"/>
              </w:rPr>
              <w:t>1,129</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Customer-related</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7,471</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(2,061)</w:t>
            </w:r>
          </w:p>
        </w:tc>
        <w:tc>
          <w:tcPr>
            <w:tcW w:w="16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5,410</w:t>
            </w:r>
          </w:p>
        </w:tc>
        <w:tc>
          <w:tcPr>
            <w:tcW w:w="140" w:type="dxa"/>
            <w:vAlign w:val="bottom"/>
            <w:shd w:val="clear" w:color="auto" w:fill="CCEEFF"/>
          </w:tcPr>
          <w:p>
            <w:pPr>
              <w:spacing w:after="0"/>
              <w:rPr>
                <w:sz w:val="14"/>
                <w:szCs w:val="14"/>
                <w:color w:val="auto"/>
              </w:rPr>
            </w:pPr>
          </w:p>
        </w:tc>
      </w:tr>
      <w:tr>
        <w:trPr>
          <w:trHeight w:val="162"/>
        </w:trPr>
        <w:tc>
          <w:tcPr>
            <w:tcW w:w="7420" w:type="dxa"/>
            <w:vAlign w:val="bottom"/>
            <w:gridSpan w:val="4"/>
          </w:tcPr>
          <w:p>
            <w:pPr>
              <w:spacing w:after="0"/>
              <w:rPr>
                <w:sz w:val="20"/>
                <w:szCs w:val="20"/>
                <w:color w:val="auto"/>
              </w:rPr>
            </w:pPr>
            <w:r>
              <w:rPr>
                <w:rFonts w:ascii="Arial" w:cs="Arial" w:eastAsia="Arial" w:hAnsi="Arial"/>
                <w:sz w:val="14"/>
                <w:szCs w:val="14"/>
                <w:color w:val="auto"/>
              </w:rPr>
              <w:t>Developed Technology</w:t>
            </w:r>
          </w:p>
        </w:tc>
        <w:tc>
          <w:tcPr>
            <w:tcW w:w="1340" w:type="dxa"/>
            <w:vAlign w:val="bottom"/>
          </w:tcPr>
          <w:p>
            <w:pPr>
              <w:jc w:val="right"/>
              <w:spacing w:after="0"/>
              <w:rPr>
                <w:sz w:val="20"/>
                <w:szCs w:val="20"/>
                <w:color w:val="auto"/>
              </w:rPr>
            </w:pPr>
            <w:r>
              <w:rPr>
                <w:rFonts w:ascii="Arial" w:cs="Arial" w:eastAsia="Arial" w:hAnsi="Arial"/>
                <w:sz w:val="14"/>
                <w:szCs w:val="14"/>
                <w:color w:val="auto"/>
              </w:rPr>
              <w:t>2-10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13,984</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(4,511)</w:t>
            </w:r>
          </w:p>
        </w:tc>
        <w:tc>
          <w:tcPr>
            <w:tcW w:w="160" w:type="dxa"/>
            <w:vAlign w:val="bottom"/>
          </w:tcPr>
          <w:p>
            <w:pPr>
              <w:spacing w:after="0"/>
              <w:rPr>
                <w:sz w:val="14"/>
                <w:szCs w:val="14"/>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4"/>
                <w:szCs w:val="14"/>
                <w:color w:val="auto"/>
              </w:rPr>
              <w:t>9,473</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7"/>
        </w:trPr>
        <w:tc>
          <w:tcPr>
            <w:tcW w:w="7420" w:type="dxa"/>
            <w:vAlign w:val="bottom"/>
            <w:gridSpan w:val="4"/>
          </w:tcPr>
          <w:p>
            <w:pPr>
              <w:spacing w:after="0"/>
              <w:rPr>
                <w:sz w:val="20"/>
                <w:szCs w:val="20"/>
                <w:color w:val="auto"/>
              </w:rPr>
            </w:pPr>
            <w:r>
              <w:rPr>
                <w:rFonts w:ascii="Arial" w:cs="Arial" w:eastAsia="Arial" w:hAnsi="Arial"/>
                <w:sz w:val="14"/>
                <w:szCs w:val="14"/>
                <w:color w:val="auto"/>
              </w:rPr>
              <w:t>Total amortizable</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33,997</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(16,316)</w:t>
            </w:r>
          </w:p>
        </w:tc>
        <w:tc>
          <w:tcPr>
            <w:tcW w:w="160" w:type="dxa"/>
            <w:vAlign w:val="bottom"/>
          </w:tcPr>
          <w:p>
            <w:pPr>
              <w:spacing w:after="0"/>
              <w:rPr>
                <w:sz w:val="15"/>
                <w:szCs w:val="15"/>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4"/>
                <w:szCs w:val="14"/>
                <w:color w:val="auto"/>
              </w:rPr>
              <w:t>17,681</w:t>
            </w: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Non-amortizable – trade names</w:t>
            </w:r>
          </w:p>
        </w:tc>
        <w:tc>
          <w:tcPr>
            <w:tcW w:w="1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5,281</w:t>
            </w:r>
          </w:p>
        </w:tc>
        <w:tc>
          <w:tcPr>
            <w:tcW w:w="2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5,281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7"/>
        </w:trPr>
        <w:tc>
          <w:tcPr>
            <w:tcW w:w="7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Total other intangible assets, net</w:t>
            </w:r>
          </w:p>
        </w:tc>
        <w:tc>
          <w:tcPr>
            <w:tcW w:w="1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(16,316)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22,962</w:t>
            </w:r>
          </w:p>
        </w:tc>
        <w:tc>
          <w:tcPr>
            <w:tcW w:w="140" w:type="dxa"/>
            <w:vAlign w:val="bottom"/>
          </w:tcPr>
          <w:p>
            <w:pPr>
              <w:spacing w:after="0"/>
              <w:rPr>
                <w:sz w:val="15"/>
                <w:szCs w:val="15"/>
                <w:color w:val="auto"/>
              </w:rPr>
            </w:pPr>
          </w:p>
        </w:tc>
      </w:tr>
    </w:tbl>
    <w:p>
      <w:pPr>
        <w:spacing w:after="0" w:line="219" w:lineRule="exact"/>
        <w:rPr>
          <w:sz w:val="20"/>
          <w:szCs w:val="20"/>
          <w:color w:val="auto"/>
        </w:rPr>
      </w:pPr>
    </w:p>
    <w:p>
      <w:pPr>
        <w:jc w:val="both"/>
        <w:ind w:right="600" w:firstLine="137"/>
        <w:spacing w:after="0" w:line="238" w:lineRule="auto"/>
        <w:rPr>
          <w:sz w:val="20"/>
          <w:szCs w:val="20"/>
          <w:color w:val="auto"/>
        </w:rPr>
      </w:pPr>
      <w:r>
        <w:rPr>
          <w:rFonts w:ascii="Arial" w:cs="Arial" w:eastAsia="Arial" w:hAnsi="Arial"/>
          <w:sz w:val="18"/>
          <w:szCs w:val="18"/>
          <w:color w:val="auto"/>
        </w:rPr>
        <w:t>Amortization expense for intangible assets for the fiscal years ended October 31, 2011, 2010, and 2009 was $4,967, $2,903, and $2,504, respectively. Estimated amortization expense for the succeeding fiscal years is as follows: 2012, $5,504; 2013, $5,311; 2014, $4,976; 2015, $4,761; 2016, $4,233; and after 2016, $5,480.</w:t>
      </w:r>
    </w:p>
    <w:p>
      <w:pPr>
        <w:spacing w:after="0" w:line="220" w:lineRule="exact"/>
        <w:rPr>
          <w:sz w:val="20"/>
          <w:szCs w:val="20"/>
          <w:color w:val="auto"/>
        </w:rPr>
      </w:pPr>
    </w:p>
    <w:p>
      <w:pPr>
        <w:ind w:left="740" w:hanging="732"/>
        <w:spacing w:after="0"/>
        <w:tabs>
          <w:tab w:leader="none" w:pos="740" w:val="left"/>
        </w:tabs>
        <w:numPr>
          <w:ilvl w:val="0"/>
          <w:numId w:val="31"/>
        </w:numPr>
        <w:rPr>
          <w:rFonts w:ascii="Arial" w:cs="Arial" w:eastAsia="Arial" w:hAnsi="Arial"/>
          <w:sz w:val="43"/>
          <w:szCs w:val="43"/>
          <w:b w:val="1"/>
          <w:bCs w:val="1"/>
          <w:color w:val="auto"/>
        </w:rPr>
      </w:pPr>
      <w:r>
        <w:rPr>
          <w:rFonts w:ascii="Arial" w:cs="Arial" w:eastAsia="Arial" w:hAnsi="Arial"/>
          <w:sz w:val="22"/>
          <w:szCs w:val="22"/>
          <w:b w:val="1"/>
          <w:bCs w:val="1"/>
          <w:color w:val="auto"/>
        </w:rPr>
        <w:t>SHORT-TERM CAPITAL RESOURCES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October 31, 2011, the company had a $150,000 unsecured senior four-year revolving credit facility that expires in July 2015. Included in this $150,000 revolving credit facility is a sublimit for standby letters of credit and a sublimit for swingline loans. At the election of the company, and the approval of the named borrowers on the revolving credit facility, the aggregate maximum principal amount available under the facility may be increased by an amount up to $100,000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The company had no outstanding short-term debt as of October 31, 2011 and 2010 under this line of credit. The company's non-U.S. operations also maintain unsecured short-term lines of credit in the aggregate amount of $14,785. These facilities bear interest at various rates depending on the rates in their respective countries of operation. The company had $0 and $776 of outstanding short-term debt as of October 31, 2011 and 2010, respectively, under these lines of credit. Additionally, the company had $41 and $258 in short-term debt for certain receivables the company had provided recourse with Red Iron as of October 31, 2011 and 2010, respectively.</w:t>
      </w:r>
    </w:p>
    <w:p>
      <w:pPr>
        <w:spacing w:after="0" w:line="215" w:lineRule="exact"/>
        <w:rPr>
          <w:sz w:val="20"/>
          <w:szCs w:val="20"/>
          <w:color w:val="auto"/>
        </w:rPr>
      </w:pPr>
    </w:p>
    <w:p>
      <w:pPr>
        <w:ind w:right="120" w:firstLine="143"/>
        <w:spacing w:after="0" w:line="235" w:lineRule="auto"/>
        <w:rPr>
          <w:sz w:val="20"/>
          <w:szCs w:val="20"/>
          <w:color w:val="auto"/>
        </w:rPr>
      </w:pPr>
      <w:r>
        <w:rPr>
          <w:rFonts w:ascii="Arial" w:cs="Arial" w:eastAsia="Arial" w:hAnsi="Arial"/>
          <w:sz w:val="18"/>
          <w:szCs w:val="18"/>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the company is not limited to payments of cash dividends and stock repurchases as long as the debt to earnings before interest, tax, depreciation, and amortization ("EBITDA") ratio from the previous quarter compliance certificate is less than or equal to 2.75; however, the company is limited to $50,000 per fiscal year if the debt to EBITDA ratio from the previous quarter compliance certificate is greater than 2.75. As of October 31, 2011, the company was not limited to payments of cash dividends and stock repurchases as its debt to EBITDA ratio was below 2.75. The company was in compliance with all covenants related to the lines of credit described above as of October 31, 2011 and 2010.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027" w:gutter="0" w:footer="0" w:header="0"/>
        </w:sectPr>
      </w:pPr>
    </w:p>
    <w:bookmarkStart w:id="54" w:name="page55"/>
    <w:bookmarkEnd w:id="54"/>
    <w:p>
      <w:pPr>
        <w:ind w:left="740" w:hanging="732"/>
        <w:spacing w:after="0"/>
        <w:tabs>
          <w:tab w:leader="none" w:pos="740" w:val="left"/>
        </w:tabs>
        <w:numPr>
          <w:ilvl w:val="0"/>
          <w:numId w:val="32"/>
        </w:numPr>
        <w:rPr>
          <w:rFonts w:ascii="Arial" w:cs="Arial" w:eastAsia="Arial" w:hAnsi="Arial"/>
          <w:sz w:val="43"/>
          <w:szCs w:val="43"/>
          <w:b w:val="1"/>
          <w:bCs w:val="1"/>
          <w:color w:val="auto"/>
        </w:rPr>
      </w:pPr>
      <w:r>
        <w:rPr>
          <w:rFonts w:ascii="Arial" w:cs="Arial" w:eastAsia="Arial" w:hAnsi="Arial"/>
          <w:sz w:val="22"/>
          <w:szCs w:val="22"/>
          <w:b w:val="1"/>
          <w:bCs w:val="1"/>
          <w:color w:val="auto"/>
        </w:rPr>
        <w:t>LONG-TERM 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6"/>
              </w:rPr>
              <w:t>7.800%</w:t>
            </w:r>
          </w:p>
        </w:tc>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Debentures, due June 15, 2027</w:t>
            </w:r>
          </w:p>
        </w:tc>
        <w:tc>
          <w:tcPr>
            <w:tcW w:w="4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$100,000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6"/>
              </w:rPr>
              <w:t>6.625%</w:t>
            </w:r>
          </w:p>
        </w:tc>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Senior Notes, due May 1, 2037</w:t>
            </w:r>
          </w:p>
        </w:tc>
        <w:tc>
          <w:tcPr>
            <w:tcW w:w="4280" w:type="dxa"/>
            <w:vAlign w:val="bottom"/>
          </w:tcPr>
          <w:p>
            <w:pPr>
              <w:jc w:val="right"/>
              <w:ind w:right="8"/>
              <w:spacing w:after="0"/>
              <w:rPr>
                <w:sz w:val="20"/>
                <w:szCs w:val="20"/>
                <w:color w:val="auto"/>
              </w:rPr>
            </w:pPr>
            <w:r>
              <w:rPr>
                <w:rFonts w:ascii="Arial" w:cs="Arial" w:eastAsia="Arial" w:hAnsi="Arial"/>
                <w:sz w:val="14"/>
                <w:szCs w:val="14"/>
                <w:b w:val="1"/>
                <w:bCs w:val="1"/>
                <w:color w:val="auto"/>
              </w:rPr>
              <w:t>123,420</w:t>
            </w:r>
          </w:p>
        </w:tc>
        <w:tc>
          <w:tcPr>
            <w:tcW w:w="700" w:type="dxa"/>
            <w:vAlign w:val="bottom"/>
          </w:tcPr>
          <w:p>
            <w:pPr>
              <w:jc w:val="right"/>
              <w:spacing w:after="0"/>
              <w:rPr>
                <w:sz w:val="20"/>
                <w:szCs w:val="20"/>
                <w:color w:val="auto"/>
              </w:rPr>
            </w:pPr>
            <w:r>
              <w:rPr>
                <w:rFonts w:ascii="Arial" w:cs="Arial" w:eastAsia="Arial" w:hAnsi="Arial"/>
                <w:sz w:val="14"/>
                <w:szCs w:val="14"/>
                <w:color w:val="auto"/>
              </w:rPr>
              <w:t>123,358</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5720" w:type="dxa"/>
            <w:vAlign w:val="bottom"/>
            <w:shd w:val="clear" w:color="auto" w:fill="CCEEFF"/>
          </w:tcPr>
          <w:p>
            <w:pPr>
              <w:spacing w:after="0"/>
              <w:rPr>
                <w:sz w:val="14"/>
                <w:szCs w:val="14"/>
                <w:color w:val="auto"/>
              </w:rPr>
            </w:pPr>
          </w:p>
        </w:tc>
        <w:tc>
          <w:tcPr>
            <w:tcW w:w="4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3,736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60" w:type="dxa"/>
            <w:vAlign w:val="bottom"/>
            <w:shd w:val="clear" w:color="auto" w:fill="CCEEFF"/>
          </w:tcPr>
          <w:p>
            <w:pPr>
              <w:spacing w:after="0"/>
              <w:rPr>
                <w:sz w:val="14"/>
                <w:szCs w:val="14"/>
                <w:color w:val="auto"/>
              </w:rPr>
            </w:pPr>
          </w:p>
        </w:tc>
      </w:tr>
      <w:tr>
        <w:trPr>
          <w:trHeight w:val="27"/>
        </w:trPr>
        <w:tc>
          <w:tcPr>
            <w:tcW w:w="6220" w:type="dxa"/>
            <w:vAlign w:val="bottom"/>
            <w:gridSpan w:val="3"/>
          </w:tcPr>
          <w:p>
            <w:pPr>
              <w:spacing w:after="0"/>
              <w:rPr>
                <w:sz w:val="2"/>
                <w:szCs w:val="2"/>
                <w:color w:val="auto"/>
              </w:rPr>
            </w:pPr>
          </w:p>
        </w:tc>
        <w:tc>
          <w:tcPr>
            <w:tcW w:w="4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62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 long-term debt</w:t>
            </w:r>
          </w:p>
        </w:tc>
        <w:tc>
          <w:tcPr>
            <w:tcW w:w="42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227,156</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225,548</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Less current portion</w:t>
            </w:r>
          </w:p>
        </w:tc>
        <w:tc>
          <w:tcPr>
            <w:tcW w:w="4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60" w:type="dxa"/>
            <w:vAlign w:val="bottom"/>
            <w:shd w:val="clear" w:color="auto" w:fill="CCEEFF"/>
          </w:tcPr>
          <w:p>
            <w:pPr>
              <w:spacing w:after="0"/>
              <w:rPr>
                <w:sz w:val="14"/>
                <w:szCs w:val="14"/>
                <w:color w:val="auto"/>
              </w:rPr>
            </w:pPr>
          </w:p>
        </w:tc>
      </w:tr>
      <w:tr>
        <w:trPr>
          <w:trHeight w:val="27"/>
        </w:trPr>
        <w:tc>
          <w:tcPr>
            <w:tcW w:w="6220" w:type="dxa"/>
            <w:vAlign w:val="bottom"/>
            <w:gridSpan w:val="3"/>
          </w:tcPr>
          <w:p>
            <w:pPr>
              <w:spacing w:after="0"/>
              <w:rPr>
                <w:sz w:val="2"/>
                <w:szCs w:val="2"/>
                <w:color w:val="auto"/>
              </w:rPr>
            </w:pPr>
          </w:p>
        </w:tc>
        <w:tc>
          <w:tcPr>
            <w:tcW w:w="4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Long-term debt, less current portion</w:t>
            </w:r>
          </w:p>
        </w:tc>
        <w:tc>
          <w:tcPr>
            <w:tcW w:w="4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$225,178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$223,578</w:t>
            </w:r>
          </w:p>
        </w:tc>
        <w:tc>
          <w:tcPr>
            <w:tcW w:w="160" w:type="dxa"/>
            <w:vAlign w:val="bottom"/>
          </w:tcPr>
          <w:p>
            <w:pPr>
              <w:spacing w:after="0"/>
              <w:rPr>
                <w:sz w:val="15"/>
                <w:szCs w:val="15"/>
                <w:color w:val="auto"/>
              </w:rPr>
            </w:pPr>
          </w:p>
        </w:tc>
      </w:tr>
    </w:tbl>
    <w:p>
      <w:pPr>
        <w:spacing w:after="0" w:line="219" w:lineRule="exact"/>
        <w:rPr>
          <w:sz w:val="20"/>
          <w:szCs w:val="20"/>
          <w:color w:val="auto"/>
        </w:rPr>
      </w:pPr>
    </w:p>
    <w:p>
      <w:pPr>
        <w:ind w:right="20" w:firstLine="146"/>
        <w:spacing w:after="0" w:line="267" w:lineRule="auto"/>
        <w:rPr>
          <w:sz w:val="20"/>
          <w:szCs w:val="20"/>
          <w:color w:val="auto"/>
        </w:rPr>
      </w:pPr>
      <w:r>
        <w:rPr>
          <w:rFonts w:ascii="Arial" w:cs="Arial" w:eastAsia="Arial" w:hAnsi="Arial"/>
          <w:sz w:val="16"/>
          <w:szCs w:val="16"/>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from time to time outstanding.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393" w:lineRule="exact"/>
        <w:rPr>
          <w:sz w:val="20"/>
          <w:szCs w:val="20"/>
          <w:color w:val="auto"/>
        </w:rPr>
      </w:pPr>
    </w:p>
    <w:p>
      <w:pPr>
        <w:ind w:right="200" w:firstLine="146"/>
        <w:spacing w:after="0" w:line="236" w:lineRule="auto"/>
        <w:rPr>
          <w:sz w:val="20"/>
          <w:szCs w:val="20"/>
          <w:color w:val="auto"/>
        </w:rPr>
      </w:pPr>
      <w:r>
        <w:rPr>
          <w:rFonts w:ascii="Arial" w:cs="Arial" w:eastAsia="Arial" w:hAnsi="Arial"/>
          <w:sz w:val="18"/>
          <w:szCs w:val="18"/>
          <w:color w:val="auto"/>
        </w:rPr>
        <w:t>In connection with the issuance in June 1997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w:t>
      </w:r>
    </w:p>
    <w:p>
      <w:pPr>
        <w:spacing w:after="0" w:line="209" w:lineRule="exact"/>
        <w:rPr>
          <w:sz w:val="20"/>
          <w:szCs w:val="20"/>
          <w:color w:val="auto"/>
        </w:rPr>
      </w:pPr>
    </w:p>
    <w:p>
      <w:pPr>
        <w:ind w:firstLine="146"/>
        <w:spacing w:after="0" w:line="239"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2012, $1,978; 2013, $1,758; 2014, $0; 2015, $0; 2016, $0; and after 2016, $225,000.</w:t>
      </w:r>
    </w:p>
    <w:p>
      <w:pPr>
        <w:spacing w:after="0" w:line="221" w:lineRule="exact"/>
        <w:rPr>
          <w:sz w:val="20"/>
          <w:szCs w:val="20"/>
          <w:color w:val="auto"/>
        </w:rPr>
      </w:pPr>
    </w:p>
    <w:p>
      <w:pPr>
        <w:ind w:left="740" w:hanging="732"/>
        <w:spacing w:after="0"/>
        <w:tabs>
          <w:tab w:leader="none" w:pos="740" w:val="left"/>
        </w:tabs>
        <w:numPr>
          <w:ilvl w:val="0"/>
          <w:numId w:val="33"/>
        </w:numPr>
        <w:rPr>
          <w:rFonts w:ascii="Arial" w:cs="Arial" w:eastAsia="Arial" w:hAnsi="Arial"/>
          <w:sz w:val="43"/>
          <w:szCs w:val="43"/>
          <w:b w:val="1"/>
          <w:bCs w:val="1"/>
          <w:color w:val="auto"/>
        </w:rPr>
      </w:pPr>
      <w:r>
        <w:rPr>
          <w:rFonts w:ascii="Arial" w:cs="Arial" w:eastAsia="Arial" w:hAnsi="Arial"/>
          <w:sz w:val="22"/>
          <w:szCs w:val="22"/>
          <w:b w:val="1"/>
          <w:bCs w:val="1"/>
          <w:color w:val="auto"/>
        </w:rPr>
        <w:t>STOCKHOLDERS' EQUITY</w:t>
      </w:r>
    </w:p>
    <w:p>
      <w:pPr>
        <w:spacing w:after="0" w:line="18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i w:val="1"/>
          <w:iCs w:val="1"/>
          <w:color w:val="auto"/>
        </w:rPr>
        <w:t xml:space="preserve">Stock Repurchase Program. </w:t>
      </w:r>
      <w:r>
        <w:rPr>
          <w:rFonts w:ascii="Arial" w:cs="Arial" w:eastAsia="Arial" w:hAnsi="Arial"/>
          <w:sz w:val="18"/>
          <w:szCs w:val="18"/>
          <w:color w:val="auto"/>
        </w:rPr>
        <w:t>The company's Board of Directors authorized the repurchase of shares of the company's common stock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May 2008, 4,000,000 shares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July 2009, 5,000,000 shares</w:t>
      </w: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December 2010, 3,000,000 shares</w:t>
      </w:r>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During fiscal 2011, 2010, and 2009, the company paid $129,955, $135,777, and $115,283 to repurchase an aggregate of 2,296,380, 2,678,474 shares, and 3,316,536 shares, respectively. As of October 31, 2011, 2,032,858 shares remained authorized for repurchase.</w:t>
      </w:r>
    </w:p>
    <w:p>
      <w:pPr>
        <w:spacing w:after="0" w:line="18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 xml:space="preserve">Treasury Shares. </w:t>
      </w:r>
      <w:r>
        <w:rPr>
          <w:rFonts w:ascii="Arial" w:cs="Arial" w:eastAsia="Arial" w:hAnsi="Arial"/>
          <w:sz w:val="18"/>
          <w:szCs w:val="18"/>
          <w:color w:val="auto"/>
        </w:rPr>
        <w:t>As of October 31, 2011, the company had 24,429,125 treasury shares at a cost of $984,583. As of October 31, 2010,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had 22,637,278 treasury shares at a cost of $876,620.</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November 30, 2011, the company's Board of Directors authorized the retirement of 15,000,000 treasury shares.</w:t>
      </w:r>
    </w:p>
    <w:p>
      <w:pPr>
        <w:spacing w:after="0" w:line="224" w:lineRule="exact"/>
        <w:rPr>
          <w:sz w:val="20"/>
          <w:szCs w:val="20"/>
          <w:color w:val="auto"/>
        </w:rPr>
      </w:pPr>
    </w:p>
    <w:p>
      <w:pPr>
        <w:ind w:left="740" w:hanging="732"/>
        <w:spacing w:after="0"/>
        <w:tabs>
          <w:tab w:leader="none" w:pos="740" w:val="left"/>
        </w:tabs>
        <w:numPr>
          <w:ilvl w:val="0"/>
          <w:numId w:val="35"/>
        </w:numPr>
        <w:rPr>
          <w:rFonts w:ascii="Arial" w:cs="Arial" w:eastAsia="Arial" w:hAnsi="Arial"/>
          <w:sz w:val="43"/>
          <w:szCs w:val="43"/>
          <w:b w:val="1"/>
          <w:bCs w:val="1"/>
          <w:color w:val="auto"/>
        </w:rPr>
      </w:pPr>
      <w:r>
        <w:rPr>
          <w:rFonts w:ascii="Arial" w:cs="Arial" w:eastAsia="Arial" w:hAnsi="Arial"/>
          <w:sz w:val="22"/>
          <w:szCs w:val="22"/>
          <w:b w:val="1"/>
          <w:bCs w:val="1"/>
          <w:color w:val="auto"/>
        </w:rPr>
        <w:t>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8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19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2010</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8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Statutory federal income tax rate</w:t>
            </w:r>
          </w:p>
        </w:tc>
        <w:tc>
          <w:tcPr>
            <w:tcW w:w="19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35.0%</w:t>
            </w:r>
          </w:p>
        </w:tc>
        <w:tc>
          <w:tcPr>
            <w:tcW w:w="7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35.0%</w:t>
            </w:r>
          </w:p>
        </w:tc>
        <w:tc>
          <w:tcPr>
            <w:tcW w:w="6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Increase (reduction) in income taxes resulting from:</w:t>
            </w: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Domestic manufacturer's deduction</w:t>
            </w:r>
          </w:p>
        </w:tc>
        <w:tc>
          <w:tcPr>
            <w:tcW w:w="1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(1.8)</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Arial" w:cs="Arial" w:eastAsia="Arial" w:hAnsi="Arial"/>
                <w:sz w:val="14"/>
                <w:szCs w:val="14"/>
                <w:b w:val="1"/>
                <w:bCs w:val="1"/>
                <w:color w:val="auto"/>
              </w:rPr>
              <w:t>State and local income taxes, net of federal income tax benefit</w:t>
            </w:r>
          </w:p>
        </w:tc>
        <w:tc>
          <w:tcPr>
            <w:tcW w:w="1940" w:type="dxa"/>
            <w:vAlign w:val="bottom"/>
          </w:tcPr>
          <w:p>
            <w:pPr>
              <w:jc w:val="right"/>
              <w:ind w:right="188"/>
              <w:spacing w:after="0"/>
              <w:rPr>
                <w:sz w:val="20"/>
                <w:szCs w:val="20"/>
                <w:color w:val="auto"/>
              </w:rPr>
            </w:pPr>
            <w:r>
              <w:rPr>
                <w:rFonts w:ascii="Arial" w:cs="Arial" w:eastAsia="Arial" w:hAnsi="Arial"/>
                <w:sz w:val="14"/>
                <w:szCs w:val="14"/>
                <w:b w:val="1"/>
                <w:bCs w:val="1"/>
                <w:color w:val="auto"/>
              </w:rPr>
              <w:t>1.4</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1.4</w:t>
            </w: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Effect of foreign source income</w:t>
            </w:r>
          </w:p>
        </w:tc>
        <w:tc>
          <w:tcPr>
            <w:tcW w:w="19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0.2</w:t>
            </w:r>
          </w:p>
        </w:tc>
        <w:tc>
          <w:tcPr>
            <w:tcW w:w="7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Arial" w:cs="Arial" w:eastAsia="Arial" w:hAnsi="Arial"/>
                <w:sz w:val="14"/>
                <w:szCs w:val="14"/>
                <w:b w:val="1"/>
                <w:bCs w:val="1"/>
                <w:color w:val="auto"/>
              </w:rPr>
              <w:t>Domestic research tax credit</w:t>
            </w:r>
          </w:p>
        </w:tc>
        <w:tc>
          <w:tcPr>
            <w:tcW w:w="1940" w:type="dxa"/>
            <w:vAlign w:val="bottom"/>
          </w:tcPr>
          <w:p>
            <w:pPr>
              <w:jc w:val="right"/>
              <w:ind w:right="128"/>
              <w:spacing w:after="0"/>
              <w:rPr>
                <w:sz w:val="20"/>
                <w:szCs w:val="20"/>
                <w:color w:val="auto"/>
              </w:rPr>
            </w:pPr>
            <w:r>
              <w:rPr>
                <w:rFonts w:ascii="Arial" w:cs="Arial" w:eastAsia="Arial" w:hAnsi="Arial"/>
                <w:sz w:val="14"/>
                <w:szCs w:val="14"/>
                <w:b w:val="1"/>
                <w:bCs w:val="1"/>
                <w:color w:val="auto"/>
              </w:rPr>
              <w:t>(2.4)</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(0.2)</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Other, net</w:t>
            </w:r>
          </w:p>
        </w:tc>
        <w:tc>
          <w:tcPr>
            <w:tcW w:w="19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0.3</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Consolidated effective tax rate</w:t>
            </w:r>
          </w:p>
        </w:tc>
        <w:tc>
          <w:tcPr>
            <w:tcW w:w="1940" w:type="dxa"/>
            <w:vAlign w:val="bottom"/>
          </w:tcPr>
          <w:p>
            <w:pPr>
              <w:jc w:val="right"/>
              <w:ind w:right="48"/>
              <w:spacing w:after="0"/>
              <w:rPr>
                <w:sz w:val="20"/>
                <w:szCs w:val="20"/>
                <w:color w:val="auto"/>
              </w:rPr>
            </w:pPr>
            <w:r>
              <w:rPr>
                <w:rFonts w:ascii="Arial" w:cs="Arial" w:eastAsia="Arial" w:hAnsi="Arial"/>
                <w:sz w:val="14"/>
                <w:szCs w:val="14"/>
                <w:b w:val="1"/>
                <w:bCs w:val="1"/>
                <w:color w:val="auto"/>
              </w:rPr>
              <w:t>32.7%</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34.0%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55" w:right="259" w:bottom="1440" w:gutter="0" w:footer="0" w:header="0"/>
        </w:sectPr>
      </w:pP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55" w:right="259" w:bottom="1440" w:gutter="0" w:footer="0" w:header="0"/>
          <w:type w:val="continuous"/>
        </w:sectPr>
      </w:pPr>
    </w:p>
    <w:bookmarkStart w:id="55" w:name="page56"/>
    <w:bookmarkEnd w:id="55"/>
    <w:p>
      <w:pPr>
        <w:ind w:left="160"/>
        <w:spacing w:after="0"/>
        <w:rPr>
          <w:sz w:val="20"/>
          <w:szCs w:val="20"/>
          <w:color w:val="auto"/>
        </w:rPr>
      </w:pPr>
      <w:r>
        <w:rPr>
          <w:rFonts w:ascii="Arial" w:cs="Arial" w:eastAsia="Arial" w:hAnsi="Arial"/>
          <w:sz w:val="18"/>
          <w:szCs w:val="18"/>
          <w:color w:val="auto"/>
        </w:rPr>
        <w:t>Components of the provision for income taxes were as follows: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4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4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33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Federal</w:t>
            </w:r>
          </w:p>
        </w:tc>
        <w:tc>
          <w:tcPr>
            <w:tcW w:w="3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7"/>
              </w:rPr>
              <w:t>47,922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34,582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23,954</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State</w:t>
            </w:r>
          </w:p>
        </w:tc>
        <w:tc>
          <w:tcPr>
            <w:tcW w:w="3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3,963</w:t>
            </w:r>
          </w:p>
        </w:tc>
        <w:tc>
          <w:tcPr>
            <w:tcW w:w="14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2,918</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1,951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Non-U.S.</w:t>
            </w:r>
          </w:p>
        </w:tc>
        <w:tc>
          <w:tcPr>
            <w:tcW w:w="33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7,103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4,436</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16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Current provision</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58,988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30,877</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w:t>
            </w:r>
          </w:p>
        </w:tc>
        <w:tc>
          <w:tcPr>
            <w:tcW w:w="3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Federal</w:t>
            </w:r>
          </w:p>
        </w:tc>
        <w:tc>
          <w:tcPr>
            <w:tcW w:w="3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5,305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1,948</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State</w:t>
            </w:r>
          </w:p>
        </w:tc>
        <w:tc>
          <w:tcPr>
            <w:tcW w:w="3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w:t>
            </w:r>
          </w:p>
        </w:tc>
      </w:tr>
      <w:tr>
        <w:trPr>
          <w:trHeight w:val="189"/>
        </w:trPr>
        <w:tc>
          <w:tcPr>
            <w:tcW w:w="20" w:type="dxa"/>
            <w:vAlign w:val="bottom"/>
          </w:tcPr>
          <w:p>
            <w:pPr>
              <w:spacing w:after="0"/>
              <w:rPr>
                <w:sz w:val="16"/>
                <w:szCs w:val="16"/>
                <w:color w:val="auto"/>
              </w:rPr>
            </w:pPr>
          </w:p>
        </w:tc>
        <w:tc>
          <w:tcPr>
            <w:tcW w:w="5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Non-U.S.</w:t>
            </w:r>
          </w:p>
        </w:tc>
        <w:tc>
          <w:tcPr>
            <w:tcW w:w="3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(1,578)</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592</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42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Deferred benefit</w:t>
            </w:r>
          </w:p>
        </w:tc>
        <w:tc>
          <w:tcPr>
            <w:tcW w:w="33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(1,820)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6,095</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2,074</w:t>
            </w:r>
          </w:p>
        </w:tc>
        <w:tc>
          <w:tcPr>
            <w:tcW w:w="160" w:type="dxa"/>
            <w:vAlign w:val="bottom"/>
            <w:shd w:val="clear" w:color="auto" w:fill="CCEEFF"/>
          </w:tcPr>
          <w:p>
            <w:pPr>
              <w:spacing w:after="0"/>
              <w:rPr>
                <w:sz w:val="13"/>
                <w:szCs w:val="13"/>
                <w:color w:val="auto"/>
              </w:rPr>
            </w:pPr>
          </w:p>
        </w:tc>
      </w:tr>
      <w:tr>
        <w:trPr>
          <w:trHeight w:val="27"/>
        </w:trPr>
        <w:tc>
          <w:tcPr>
            <w:tcW w:w="5440" w:type="dxa"/>
            <w:vAlign w:val="bottom"/>
            <w:gridSpan w:val="2"/>
          </w:tcPr>
          <w:p>
            <w:pPr>
              <w:spacing w:after="0"/>
              <w:rPr>
                <w:sz w:val="2"/>
                <w:szCs w:val="2"/>
                <w:color w:val="auto"/>
              </w:rPr>
            </w:pPr>
          </w:p>
        </w:tc>
        <w:tc>
          <w:tcPr>
            <w:tcW w:w="3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provision for income taxes</w:t>
            </w:r>
          </w:p>
        </w:tc>
        <w:tc>
          <w:tcPr>
            <w:tcW w:w="3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57,168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48,031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32,951</w:t>
            </w:r>
          </w:p>
        </w:tc>
        <w:tc>
          <w:tcPr>
            <w:tcW w:w="160" w:type="dxa"/>
            <w:vAlign w:val="bottom"/>
          </w:tcPr>
          <w:p>
            <w:pPr>
              <w:spacing w:after="0"/>
              <w:rPr>
                <w:sz w:val="15"/>
                <w:szCs w:val="15"/>
                <w:color w:val="auto"/>
              </w:rPr>
            </w:pPr>
          </w:p>
        </w:tc>
      </w:tr>
    </w:tbl>
    <w:p>
      <w:pPr>
        <w:spacing w:after="0" w:line="219" w:lineRule="exact"/>
        <w:rPr>
          <w:sz w:val="20"/>
          <w:szCs w:val="20"/>
          <w:color w:val="auto"/>
        </w:rPr>
      </w:pPr>
    </w:p>
    <w:p>
      <w:pPr>
        <w:ind w:right="600" w:firstLine="137"/>
        <w:spacing w:after="0" w:line="239" w:lineRule="auto"/>
        <w:rPr>
          <w:sz w:val="20"/>
          <w:szCs w:val="20"/>
          <w:color w:val="auto"/>
        </w:rPr>
      </w:pPr>
      <w:r>
        <w:rPr>
          <w:rFonts w:ascii="Arial" w:cs="Arial" w:eastAsia="Arial" w:hAnsi="Arial"/>
          <w:sz w:val="18"/>
          <w:szCs w:val="18"/>
          <w:color w:val="auto"/>
        </w:rPr>
        <w:t>As of October 31, 2011, the company had net operating loss carryforwards of approximately $13,822 in foreign jurisdictions with unlimited expiration.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before income taxes were as follows:</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5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r>
      <w:tr>
        <w:trPr>
          <w:trHeight w:val="156"/>
        </w:trPr>
        <w:tc>
          <w:tcPr>
            <w:tcW w:w="53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Earnings before income taxes:</w:t>
            </w:r>
          </w:p>
        </w:tc>
        <w:tc>
          <w:tcPr>
            <w:tcW w:w="3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538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3980" w:type="dxa"/>
            <w:vAlign w:val="bottom"/>
          </w:tcPr>
          <w:p>
            <w:pPr>
              <w:jc w:val="right"/>
              <w:ind w:right="8"/>
              <w:spacing w:after="0"/>
              <w:rPr>
                <w:sz w:val="20"/>
                <w:szCs w:val="20"/>
                <w:color w:val="auto"/>
              </w:rPr>
            </w:pPr>
            <w:r>
              <w:rPr>
                <w:rFonts w:ascii="Arial" w:cs="Arial" w:eastAsia="Arial" w:hAnsi="Arial"/>
                <w:sz w:val="14"/>
                <w:szCs w:val="14"/>
                <w:b w:val="1"/>
                <w:bCs w:val="1"/>
                <w:color w:val="auto"/>
              </w:rPr>
              <w:t>$160,444</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$127,508</w:t>
            </w:r>
          </w:p>
        </w:tc>
        <w:tc>
          <w:tcPr>
            <w:tcW w:w="620" w:type="dxa"/>
            <w:vAlign w:val="bottom"/>
          </w:tcPr>
          <w:p>
            <w:pPr>
              <w:jc w:val="right"/>
              <w:spacing w:after="0"/>
              <w:rPr>
                <w:sz w:val="20"/>
                <w:szCs w:val="20"/>
                <w:color w:val="auto"/>
              </w:rPr>
            </w:pPr>
            <w:r>
              <w:rPr>
                <w:rFonts w:ascii="Arial" w:cs="Arial" w:eastAsia="Arial" w:hAnsi="Arial"/>
                <w:sz w:val="14"/>
                <w:szCs w:val="14"/>
                <w:color w:val="auto"/>
              </w:rPr>
              <w:t>$ 83,357</w:t>
            </w:r>
          </w:p>
        </w:tc>
        <w:tc>
          <w:tcPr>
            <w:tcW w:w="160" w:type="dxa"/>
            <w:vAlign w:val="bottom"/>
          </w:tcPr>
          <w:p>
            <w:pPr>
              <w:spacing w:after="0"/>
              <w:rPr>
                <w:sz w:val="14"/>
                <w:szCs w:val="14"/>
                <w:color w:val="auto"/>
              </w:rPr>
            </w:pPr>
          </w:p>
        </w:tc>
      </w:tr>
      <w:tr>
        <w:trPr>
          <w:trHeight w:val="162"/>
        </w:trPr>
        <w:tc>
          <w:tcPr>
            <w:tcW w:w="53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Non-U.S.</w:t>
            </w:r>
          </w:p>
        </w:tc>
        <w:tc>
          <w:tcPr>
            <w:tcW w:w="3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14,382</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13,760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12,431</w:t>
            </w:r>
          </w:p>
        </w:tc>
        <w:tc>
          <w:tcPr>
            <w:tcW w:w="160" w:type="dxa"/>
            <w:vAlign w:val="bottom"/>
            <w:shd w:val="clear" w:color="auto" w:fill="CCEEFF"/>
          </w:tcPr>
          <w:p>
            <w:pPr>
              <w:spacing w:after="0"/>
              <w:rPr>
                <w:sz w:val="14"/>
                <w:szCs w:val="14"/>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3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$174,826</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$141,268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$ 95,788</w:t>
            </w:r>
          </w:p>
        </w:tc>
        <w:tc>
          <w:tcPr>
            <w:tcW w:w="160" w:type="dxa"/>
            <w:vAlign w:val="bottom"/>
          </w:tcPr>
          <w:p>
            <w:pPr>
              <w:spacing w:after="0"/>
              <w:rPr>
                <w:sz w:val="15"/>
                <w:szCs w:val="15"/>
                <w:color w:val="auto"/>
              </w:rPr>
            </w:pPr>
          </w:p>
        </w:tc>
      </w:tr>
    </w:tbl>
    <w:p>
      <w:pPr>
        <w:spacing w:after="0" w:line="219" w:lineRule="exact"/>
        <w:rPr>
          <w:sz w:val="20"/>
          <w:szCs w:val="20"/>
          <w:color w:val="auto"/>
        </w:rPr>
      </w:pPr>
    </w:p>
    <w:p>
      <w:pPr>
        <w:ind w:right="340" w:firstLine="146"/>
        <w:spacing w:after="0" w:line="239" w:lineRule="auto"/>
        <w:rPr>
          <w:sz w:val="20"/>
          <w:szCs w:val="20"/>
          <w:color w:val="auto"/>
        </w:rPr>
      </w:pPr>
      <w:r>
        <w:rPr>
          <w:rFonts w:ascii="Arial" w:cs="Arial" w:eastAsia="Arial" w:hAnsi="Arial"/>
          <w:sz w:val="18"/>
          <w:szCs w:val="18"/>
          <w:color w:val="auto"/>
        </w:rPr>
        <w:t>During the fiscal years ended October 31, 2011, 2010, and 2009, respectively, $2,988, $3,396, and $7,403 was added to stockholders' equity reflecting the permanent book to tax difference in accounting for tax benefits related to employee stock-based award transactions.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9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October 31</w:t>
            </w:r>
          </w:p>
        </w:tc>
        <w:tc>
          <w:tcPr>
            <w:tcW w:w="33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9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tax assets (liabilities):</w:t>
            </w:r>
          </w:p>
        </w:tc>
        <w:tc>
          <w:tcPr>
            <w:tcW w:w="33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rPr>
                <w:sz w:val="20"/>
                <w:szCs w:val="20"/>
                <w:color w:val="auto"/>
              </w:rPr>
            </w:pPr>
            <w:r>
              <w:rPr>
                <w:rFonts w:ascii="Arial" w:cs="Arial" w:eastAsia="Arial" w:hAnsi="Arial"/>
                <w:sz w:val="14"/>
                <w:szCs w:val="14"/>
                <w:b w:val="1"/>
                <w:bCs w:val="1"/>
                <w:color w:val="auto"/>
              </w:rPr>
              <w:t>Allowance for doubtful accounts</w:t>
            </w:r>
          </w:p>
        </w:tc>
        <w:tc>
          <w:tcPr>
            <w:tcW w:w="3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1,156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1,865</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Inventory items</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5,121</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rPr>
                <w:sz w:val="20"/>
                <w:szCs w:val="20"/>
                <w:color w:val="auto"/>
              </w:rPr>
            </w:pPr>
            <w:r>
              <w:rPr>
                <w:rFonts w:ascii="Arial" w:cs="Arial" w:eastAsia="Arial" w:hAnsi="Arial"/>
                <w:sz w:val="14"/>
                <w:szCs w:val="14"/>
                <w:b w:val="1"/>
                <w:bCs w:val="1"/>
                <w:color w:val="auto"/>
              </w:rPr>
              <w:t>Warranty reserves and other accruals</w:t>
            </w:r>
          </w:p>
        </w:tc>
        <w:tc>
          <w:tcPr>
            <w:tcW w:w="33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38,370</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40,156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Employee benefits</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16,831</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16,159</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rPr>
                <w:sz w:val="20"/>
                <w:szCs w:val="20"/>
                <w:color w:val="auto"/>
              </w:rPr>
            </w:pPr>
            <w:r>
              <w:rPr>
                <w:rFonts w:ascii="Arial" w:cs="Arial" w:eastAsia="Arial" w:hAnsi="Arial"/>
                <w:sz w:val="14"/>
                <w:szCs w:val="14"/>
                <w:b w:val="1"/>
                <w:bCs w:val="1"/>
                <w:color w:val="auto"/>
              </w:rPr>
              <w:t>Depreciation</w:t>
            </w:r>
          </w:p>
        </w:tc>
        <w:tc>
          <w:tcPr>
            <w:tcW w:w="33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(3,909)</w:t>
            </w:r>
          </w:p>
        </w:tc>
        <w:tc>
          <w:tcPr>
            <w:tcW w:w="2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(2,411)</w:t>
            </w: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Other</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8,514</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7,399</w:t>
            </w:r>
          </w:p>
        </w:tc>
        <w:tc>
          <w:tcPr>
            <w:tcW w:w="160" w:type="dxa"/>
            <w:vAlign w:val="bottom"/>
            <w:shd w:val="clear" w:color="auto" w:fill="CCEEFF"/>
          </w:tcPr>
          <w:p>
            <w:pPr>
              <w:spacing w:after="0"/>
              <w:rPr>
                <w:sz w:val="14"/>
                <w:szCs w:val="14"/>
                <w:color w:val="auto"/>
              </w:rPr>
            </w:pPr>
          </w:p>
        </w:tc>
      </w:tr>
      <w:tr>
        <w:trPr>
          <w:trHeight w:val="27"/>
        </w:trPr>
        <w:tc>
          <w:tcPr>
            <w:tcW w:w="5940" w:type="dxa"/>
            <w:vAlign w:val="bottom"/>
            <w:gridSpan w:val="2"/>
          </w:tcPr>
          <w:p>
            <w:pPr>
              <w:spacing w:after="0"/>
              <w:rPr>
                <w:sz w:val="2"/>
                <w:szCs w:val="2"/>
                <w:color w:val="auto"/>
              </w:rPr>
            </w:pPr>
          </w:p>
        </w:tc>
        <w:tc>
          <w:tcPr>
            <w:tcW w:w="3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59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Deferred tax assets</w:t>
            </w:r>
          </w:p>
        </w:tc>
        <w:tc>
          <w:tcPr>
            <w:tcW w:w="3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66,083</w:t>
            </w: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64,918</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Valuation allowance</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(4,928)</w:t>
            </w: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(4,538)</w:t>
            </w:r>
          </w:p>
        </w:tc>
      </w:tr>
      <w:tr>
        <w:trPr>
          <w:trHeight w:val="27"/>
        </w:trPr>
        <w:tc>
          <w:tcPr>
            <w:tcW w:w="5940" w:type="dxa"/>
            <w:vAlign w:val="bottom"/>
            <w:gridSpan w:val="2"/>
          </w:tcPr>
          <w:p>
            <w:pPr>
              <w:spacing w:after="0"/>
              <w:rPr>
                <w:sz w:val="2"/>
                <w:szCs w:val="2"/>
                <w:color w:val="auto"/>
              </w:rPr>
            </w:pPr>
          </w:p>
        </w:tc>
        <w:tc>
          <w:tcPr>
            <w:tcW w:w="3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deferred tax assets</w:t>
            </w:r>
          </w:p>
        </w:tc>
        <w:tc>
          <w:tcPr>
            <w:tcW w:w="3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61,155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60,380</w:t>
            </w:r>
          </w:p>
        </w:tc>
        <w:tc>
          <w:tcPr>
            <w:tcW w:w="160" w:type="dxa"/>
            <w:vAlign w:val="bottom"/>
          </w:tcPr>
          <w:p>
            <w:pPr>
              <w:spacing w:after="0"/>
              <w:rPr>
                <w:sz w:val="15"/>
                <w:szCs w:val="15"/>
                <w:color w:val="auto"/>
              </w:rPr>
            </w:pPr>
          </w:p>
        </w:tc>
      </w:tr>
    </w:tbl>
    <w:p>
      <w:pPr>
        <w:spacing w:after="0" w:line="219" w:lineRule="exact"/>
        <w:rPr>
          <w:sz w:val="20"/>
          <w:szCs w:val="20"/>
          <w:color w:val="auto"/>
        </w:rPr>
      </w:pPr>
    </w:p>
    <w:p>
      <w:pPr>
        <w:ind w:right="740" w:firstLine="143"/>
        <w:spacing w:after="0" w:line="239" w:lineRule="auto"/>
        <w:rPr>
          <w:sz w:val="20"/>
          <w:szCs w:val="20"/>
          <w:color w:val="auto"/>
        </w:rPr>
      </w:pPr>
      <w:r>
        <w:rPr>
          <w:rFonts w:ascii="Arial" w:cs="Arial" w:eastAsia="Arial" w:hAnsi="Arial"/>
          <w:sz w:val="18"/>
          <w:szCs w:val="18"/>
          <w:color w:val="auto"/>
        </w:rPr>
        <w:t>The valuation allowance as of October 31, 2011 and 2010 principally applies to capital loss carryforwards and foreign net operating loss carryforwards that are expected to expire prior to utilization.</w:t>
      </w:r>
    </w:p>
    <w:p>
      <w:pPr>
        <w:spacing w:after="0" w:line="209" w:lineRule="exact"/>
        <w:rPr>
          <w:sz w:val="20"/>
          <w:szCs w:val="20"/>
          <w:color w:val="auto"/>
        </w:rPr>
      </w:pPr>
    </w:p>
    <w:p>
      <w:pPr>
        <w:ind w:right="340" w:firstLine="137"/>
        <w:spacing w:after="0" w:line="239" w:lineRule="auto"/>
        <w:rPr>
          <w:sz w:val="20"/>
          <w:szCs w:val="20"/>
          <w:color w:val="auto"/>
        </w:rPr>
      </w:pPr>
      <w:r>
        <w:rPr>
          <w:rFonts w:ascii="Arial" w:cs="Arial" w:eastAsia="Arial" w:hAnsi="Arial"/>
          <w:sz w:val="18"/>
          <w:szCs w:val="18"/>
          <w:color w:val="auto"/>
        </w:rPr>
        <w:t>As of October 31, 2011, the company had approximately $48,690 of accumulated undistributed earnings from subsidiaries outside the United States that are considered to be reinvested indefinitely. No deferred tax liability has been provided for such earnings.</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October 31, 2010</w:t>
            </w:r>
          </w:p>
        </w:tc>
        <w:tc>
          <w:tcPr>
            <w:tcW w:w="3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$ 5,752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b w:val="1"/>
                <w:bCs w:val="1"/>
                <w:color w:val="auto"/>
              </w:rPr>
              <w:t>Increase as a result of tax positions</w:t>
            </w:r>
          </w:p>
        </w:tc>
        <w:tc>
          <w:tcPr>
            <w:tcW w:w="3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7680" w:type="dxa"/>
            <w:vAlign w:val="bottom"/>
          </w:tcPr>
          <w:p>
            <w:pPr>
              <w:ind w:left="100"/>
              <w:spacing w:after="0"/>
              <w:rPr>
                <w:sz w:val="20"/>
                <w:szCs w:val="20"/>
                <w:color w:val="auto"/>
              </w:rPr>
            </w:pPr>
            <w:r>
              <w:rPr>
                <w:rFonts w:ascii="Arial" w:cs="Arial" w:eastAsia="Arial" w:hAnsi="Arial"/>
                <w:sz w:val="14"/>
                <w:szCs w:val="14"/>
                <w:b w:val="1"/>
                <w:bCs w:val="1"/>
                <w:color w:val="auto"/>
              </w:rPr>
              <w:t>taken during a prior period</w:t>
            </w:r>
          </w:p>
        </w:tc>
        <w:tc>
          <w:tcPr>
            <w:tcW w:w="3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175</w:t>
            </w: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Increase as a result of tax positions taken during the current period</w:t>
            </w: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846</w:t>
            </w: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b w:val="1"/>
                <w:bCs w:val="1"/>
                <w:color w:val="auto"/>
              </w:rPr>
              <w:t>Decrease relating to settlements with taxing authorities</w:t>
            </w:r>
          </w:p>
        </w:tc>
        <w:tc>
          <w:tcPr>
            <w:tcW w:w="3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(1,245)</w:t>
            </w: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Reduction as a result of a lapse</w:t>
            </w:r>
          </w:p>
        </w:tc>
        <w:tc>
          <w:tcPr>
            <w:tcW w:w="3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76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of the applicable statute of limitations</w:t>
            </w:r>
          </w:p>
        </w:tc>
        <w:tc>
          <w:tcPr>
            <w:tcW w:w="3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(199)</w:t>
            </w:r>
          </w:p>
        </w:tc>
      </w:tr>
      <w:tr>
        <w:trPr>
          <w:trHeight w:val="27"/>
        </w:trPr>
        <w:tc>
          <w:tcPr>
            <w:tcW w:w="7700" w:type="dxa"/>
            <w:vAlign w:val="bottom"/>
            <w:gridSpan w:val="2"/>
          </w:tcPr>
          <w:p>
            <w:pPr>
              <w:spacing w:after="0"/>
              <w:rPr>
                <w:sz w:val="2"/>
                <w:szCs w:val="2"/>
                <w:color w:val="auto"/>
              </w:rPr>
            </w:pPr>
          </w:p>
        </w:tc>
        <w:tc>
          <w:tcPr>
            <w:tcW w:w="3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7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2011</w:t>
            </w:r>
          </w:p>
        </w:tc>
        <w:tc>
          <w:tcPr>
            <w:tcW w:w="3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$ 5,329</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219" w:lineRule="exact"/>
        <w:rPr>
          <w:sz w:val="20"/>
          <w:szCs w:val="20"/>
          <w:color w:val="auto"/>
        </w:rPr>
      </w:pPr>
    </w:p>
    <w:p>
      <w:pPr>
        <w:ind w:right="160" w:firstLine="146"/>
        <w:spacing w:after="0" w:line="239" w:lineRule="auto"/>
        <w:rPr>
          <w:sz w:val="20"/>
          <w:szCs w:val="20"/>
          <w:color w:val="auto"/>
        </w:rPr>
      </w:pPr>
      <w:r>
        <w:rPr>
          <w:rFonts w:ascii="Arial" w:cs="Arial" w:eastAsia="Arial" w:hAnsi="Arial"/>
          <w:sz w:val="18"/>
          <w:szCs w:val="18"/>
          <w:color w:val="auto"/>
        </w:rPr>
        <w:t>Included in the balance of unrecognized tax benefits as of October 31, 2011 are potential benefits of $3,774 that, if recognized, would affect the effective tax rate from continuing operations.</w:t>
      </w:r>
    </w:p>
    <w:p>
      <w:pPr>
        <w:spacing w:after="0" w:line="209" w:lineRule="exact"/>
        <w:rPr>
          <w:sz w:val="20"/>
          <w:szCs w:val="20"/>
          <w:color w:val="auto"/>
        </w:rPr>
      </w:pPr>
    </w:p>
    <w:p>
      <w:pPr>
        <w:ind w:right="140" w:firstLine="143"/>
        <w:spacing w:after="0" w:line="237" w:lineRule="auto"/>
        <w:rPr>
          <w:sz w:val="20"/>
          <w:szCs w:val="20"/>
          <w:color w:val="auto"/>
        </w:rPr>
      </w:pPr>
      <w:r>
        <w:rPr>
          <w:rFonts w:ascii="Arial" w:cs="Arial" w:eastAsia="Arial" w:hAnsi="Arial"/>
          <w:sz w:val="18"/>
          <w:szCs w:val="18"/>
          <w:color w:val="auto"/>
        </w:rPr>
        <w:t>The company recognizes potential accrued interest and penalties related to unrecognized tax benefits as a component of the provision for income taxes. In addition to the liability of $5,329 for unrecognized tax benefits as of October 31, 2011 was an amount of approximately $760 for accrued interest and penalties. To the extent interest and penalties are not assessed with respect to uncertain tax positions, the amounts accrued will be revised and reflected as an adjustment to the provision for income taxes.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anticipates that total unrecognized tax benefits will not change significantly within the next 12 months.</w:t>
      </w:r>
    </w:p>
    <w:p>
      <w:pPr>
        <w:spacing w:after="0" w:line="212" w:lineRule="exact"/>
        <w:rPr>
          <w:sz w:val="20"/>
          <w:szCs w:val="20"/>
          <w:color w:val="auto"/>
        </w:rPr>
      </w:pPr>
    </w:p>
    <w:p>
      <w:pPr>
        <w:ind w:right="200" w:firstLine="143"/>
        <w:spacing w:after="0" w:line="238" w:lineRule="auto"/>
        <w:rPr>
          <w:sz w:val="20"/>
          <w:szCs w:val="20"/>
          <w:color w:val="auto"/>
        </w:rPr>
      </w:pPr>
      <w:r>
        <w:rPr>
          <w:rFonts w:ascii="Arial" w:cs="Arial" w:eastAsia="Arial" w:hAnsi="Arial"/>
          <w:sz w:val="18"/>
          <w:szCs w:val="18"/>
          <w:color w:val="auto"/>
        </w:rPr>
        <w:t>The company is subject to U.S. federal income tax as well as income tax of numerous state and foreign jurisdictions. The company is generally no longer subject to U.S. federal tax examinations for taxable years before fiscal 2008 and with limited exceptions, state and foreign income tax examinations for fiscal years before 2006.</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10</w:t>
      </w:r>
      <w:r>
        <w:rPr>
          <w:sz w:val="20"/>
          <w:szCs w:val="20"/>
          <w:color w:val="auto"/>
        </w:rPr>
        <w:tab/>
      </w:r>
      <w:r>
        <w:rPr>
          <w:rFonts w:ascii="Arial" w:cs="Arial" w:eastAsia="Arial" w:hAnsi="Arial"/>
          <w:sz w:val="21"/>
          <w:szCs w:val="21"/>
          <w:b w:val="1"/>
          <w:bCs w:val="1"/>
          <w:color w:val="auto"/>
        </w:rPr>
        <w:t>STOCK-BASED COMPENSATION PLANS</w:t>
      </w:r>
    </w:p>
    <w:p>
      <w:pPr>
        <w:spacing w:after="0" w:line="278"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The company maintains The Toro Company 2010 Equity and Incentive Plan for officers, other employees, and non-employee members of the company's Board of Directors. The company's incentive plan allows it to grant equity-based compensation awards, including stock options, restricted stock awards, and performance share awards.</w:t>
      </w:r>
    </w:p>
    <w:p>
      <w:pPr>
        <w:sectPr>
          <w:pgSz w:w="11900" w:h="16838" w:orient="portrait"/>
          <w:cols w:equalWidth="0" w:num="1">
            <w:col w:w="11420"/>
          </w:cols>
          <w:pgMar w:left="240" w:top="143" w:right="239" w:bottom="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43" w:right="239" w:bottom="0" w:gutter="0" w:footer="0" w:header="0"/>
          <w:type w:val="continuous"/>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ind w:left="160"/>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6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r>
      <w:tr>
        <w:trPr>
          <w:trHeight w:val="156"/>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Stock option awards</w:t>
            </w:r>
          </w:p>
        </w:tc>
        <w:tc>
          <w:tcPr>
            <w:tcW w:w="27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$ 4,654</w:t>
            </w: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$ 4,117</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$ 3,531</w:t>
            </w:r>
          </w:p>
        </w:tc>
        <w:tc>
          <w:tcPr>
            <w:tcW w:w="160" w:type="dxa"/>
            <w:vAlign w:val="bottom"/>
            <w:shd w:val="clear" w:color="auto" w:fill="CCEEFF"/>
          </w:tcPr>
          <w:p>
            <w:pPr>
              <w:spacing w:after="0"/>
              <w:rPr>
                <w:sz w:val="13"/>
                <w:szCs w:val="13"/>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b w:val="1"/>
                <w:bCs w:val="1"/>
                <w:color w:val="auto"/>
              </w:rPr>
              <w:t>Restricted stock awards</w:t>
            </w:r>
          </w:p>
        </w:tc>
        <w:tc>
          <w:tcPr>
            <w:tcW w:w="2740" w:type="dxa"/>
            <w:vAlign w:val="bottom"/>
          </w:tcPr>
          <w:p>
            <w:pPr>
              <w:jc w:val="right"/>
              <w:ind w:right="8"/>
              <w:spacing w:after="0"/>
              <w:rPr>
                <w:sz w:val="20"/>
                <w:szCs w:val="20"/>
                <w:color w:val="auto"/>
              </w:rPr>
            </w:pPr>
            <w:r>
              <w:rPr>
                <w:rFonts w:ascii="Arial" w:cs="Arial" w:eastAsia="Arial" w:hAnsi="Arial"/>
                <w:sz w:val="14"/>
                <w:szCs w:val="14"/>
                <w:b w:val="1"/>
                <w:bCs w:val="1"/>
                <w:color w:val="auto"/>
              </w:rPr>
              <w:t>699</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Performance share awards</w:t>
            </w:r>
          </w:p>
        </w:tc>
        <w:tc>
          <w:tcPr>
            <w:tcW w:w="2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3,180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581</w:t>
            </w:r>
          </w:p>
        </w:tc>
      </w:tr>
      <w:tr>
        <w:trPr>
          <w:trHeight w:val="27"/>
        </w:trPr>
        <w:tc>
          <w:tcPr>
            <w:tcW w:w="6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compensation cost for stock-based awards</w:t>
            </w:r>
          </w:p>
        </w:tc>
        <w:tc>
          <w:tcPr>
            <w:tcW w:w="2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$ 8,533</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$ 6,442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$ 4,116</w:t>
            </w:r>
          </w:p>
        </w:tc>
        <w:tc>
          <w:tcPr>
            <w:tcW w:w="160" w:type="dxa"/>
            <w:vAlign w:val="bottom"/>
          </w:tcPr>
          <w:p>
            <w:pPr>
              <w:spacing w:after="0"/>
              <w:rPr>
                <w:sz w:val="15"/>
                <w:szCs w:val="15"/>
                <w:color w:val="auto"/>
              </w:rPr>
            </w:pPr>
          </w:p>
        </w:tc>
      </w:tr>
      <w:tr>
        <w:trPr>
          <w:trHeight w:val="156"/>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Tax benefit realized for tax deductions from stock-based awards</w:t>
            </w:r>
          </w:p>
        </w:tc>
        <w:tc>
          <w:tcPr>
            <w:tcW w:w="27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$ 4,469</w:t>
            </w: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$ 4,933</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$ 8,490</w:t>
            </w:r>
          </w:p>
        </w:tc>
        <w:tc>
          <w:tcPr>
            <w:tcW w:w="160" w:type="dxa"/>
            <w:vAlign w:val="bottom"/>
            <w:shd w:val="clear" w:color="auto" w:fill="CCEEFF"/>
          </w:tcPr>
          <w:p>
            <w:pPr>
              <w:spacing w:after="0"/>
              <w:rPr>
                <w:sz w:val="13"/>
                <w:szCs w:val="13"/>
                <w:color w:val="auto"/>
              </w:rPr>
            </w:pPr>
          </w:p>
        </w:tc>
      </w:tr>
      <w:tr>
        <w:trPr>
          <w:trHeight w:val="27"/>
        </w:trPr>
        <w:tc>
          <w:tcPr>
            <w:tcW w:w="6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100" w:firstLine="143"/>
        <w:spacing w:after="0" w:line="239" w:lineRule="auto"/>
        <w:rPr>
          <w:sz w:val="20"/>
          <w:szCs w:val="20"/>
          <w:color w:val="auto"/>
        </w:rPr>
      </w:pPr>
      <w:r>
        <w:rPr>
          <w:rFonts w:ascii="Arial" w:cs="Arial" w:eastAsia="Arial" w:hAnsi="Arial"/>
          <w:sz w:val="18"/>
          <w:szCs w:val="18"/>
          <w:color w:val="auto"/>
        </w:rPr>
        <w:t>The number of unissued shares of common stock available for future equity-based grants under the company's equity-based compensation plan was 2,498,262 as of October 31, 2011.</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Stock Option Awards. </w:t>
      </w:r>
      <w:r>
        <w:rPr>
          <w:rFonts w:ascii="Arial" w:cs="Arial" w:eastAsia="Arial" w:hAnsi="Arial"/>
          <w:sz w:val="18"/>
          <w:szCs w:val="18"/>
          <w:color w:val="auto"/>
        </w:rPr>
        <w:t>Under the company's equity and incentive plan, stock options are granted with an exercise price equal to the closing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key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fair value of the options granted is fully expensed on the date of the grant.</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presents stock option activity for fiscal 2011: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Price</w:t>
            </w:r>
            <w:r>
              <w:rPr>
                <w:rFonts w:ascii="Arial" w:cs="Arial" w:eastAsia="Arial" w:hAnsi="Arial"/>
                <w:sz w:val="21"/>
                <w:szCs w:val="21"/>
                <w:color w:val="auto"/>
                <w:vertAlign w:val="superscript"/>
              </w:rPr>
              <w:t>1</w:t>
            </w:r>
          </w:p>
        </w:tc>
        <w:tc>
          <w:tcPr>
            <w:tcW w:w="4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Life</w:t>
            </w:r>
            <w:r>
              <w:rPr>
                <w:rFonts w:ascii="Arial" w:cs="Arial" w:eastAsia="Arial" w:hAnsi="Arial"/>
                <w:sz w:val="21"/>
                <w:szCs w:val="21"/>
                <w:color w:val="auto"/>
                <w:vertAlign w:val="superscript"/>
              </w:rPr>
              <w:t>2</w:t>
            </w: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Intrinsic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Awards</w:t>
            </w:r>
          </w:p>
        </w:tc>
        <w:tc>
          <w:tcPr>
            <w:tcW w:w="6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Value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Outstanding as of October 31, 2010</w:t>
            </w:r>
          </w:p>
        </w:tc>
        <w:tc>
          <w:tcPr>
            <w:tcW w:w="8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b w:val="1"/>
                <w:bCs w:val="1"/>
                <w:color w:val="auto"/>
              </w:rPr>
              <w:t>2,093,234</w:t>
            </w:r>
          </w:p>
        </w:tc>
        <w:tc>
          <w:tcPr>
            <w:tcW w:w="6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$ 37.91</w:t>
            </w:r>
          </w:p>
        </w:tc>
        <w:tc>
          <w:tcPr>
            <w:tcW w:w="4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5.4</w:t>
            </w:r>
          </w:p>
        </w:tc>
        <w:tc>
          <w:tcPr>
            <w:tcW w:w="820" w:type="dxa"/>
            <w:vAlign w:val="bottom"/>
            <w:gridSpan w:val="3"/>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$ 39,461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Granted</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235,739</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62.89</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Exercised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(425,557)</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33.27</w:t>
            </w: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Cancelled</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(21,724)</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60.13</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Outstanding as of October 31, 2011</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1,881,692</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41.83</w:t>
            </w:r>
          </w:p>
        </w:tc>
        <w:tc>
          <w:tcPr>
            <w:tcW w:w="4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5.6</w:t>
            </w:r>
          </w:p>
        </w:tc>
        <w:tc>
          <w:tcPr>
            <w:tcW w:w="820" w:type="dxa"/>
            <w:vAlign w:val="bottom"/>
            <w:gridSpan w:val="3"/>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$ 25,117</w:t>
            </w:r>
          </w:p>
        </w:tc>
        <w:tc>
          <w:tcPr>
            <w:tcW w:w="0" w:type="dxa"/>
            <w:vAlign w:val="bottom"/>
          </w:tcPr>
          <w:p>
            <w:pPr>
              <w:spacing w:after="0"/>
              <w:rPr>
                <w:sz w:val="1"/>
                <w:szCs w:val="1"/>
                <w:color w:val="auto"/>
              </w:rPr>
            </w:pPr>
          </w:p>
        </w:tc>
      </w:tr>
      <w:tr>
        <w:trPr>
          <w:trHeight w:val="27"/>
        </w:trPr>
        <w:tc>
          <w:tcPr>
            <w:tcW w:w="870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8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Exercisable as of October 31, 2011</w:t>
            </w:r>
          </w:p>
        </w:tc>
        <w:tc>
          <w:tcPr>
            <w:tcW w:w="8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1,283,862</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39.78</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$ 18,543</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8400" w:type="dxa"/>
            <w:vAlign w:val="bottom"/>
            <w:vMerge w:val="restart"/>
          </w:tcPr>
          <w:p>
            <w:pPr>
              <w:ind w:left="240"/>
              <w:spacing w:after="0"/>
              <w:rPr>
                <w:sz w:val="20"/>
                <w:szCs w:val="20"/>
                <w:color w:val="auto"/>
              </w:rPr>
            </w:pPr>
            <w:r>
              <w:rPr>
                <w:rFonts w:ascii="Arial" w:cs="Arial" w:eastAsia="Arial" w:hAnsi="Arial"/>
                <w:sz w:val="14"/>
                <w:szCs w:val="14"/>
                <w:color w:val="auto"/>
              </w:rPr>
              <w:t>Weighted-average exercise price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2</w:t>
            </w:r>
          </w:p>
        </w:tc>
        <w:tc>
          <w:tcPr>
            <w:tcW w:w="2940" w:type="dxa"/>
            <w:vAlign w:val="bottom"/>
            <w:vMerge w:val="restart"/>
          </w:tcPr>
          <w:p>
            <w:pPr>
              <w:ind w:left="240"/>
              <w:spacing w:after="0"/>
              <w:rPr>
                <w:sz w:val="20"/>
                <w:szCs w:val="20"/>
                <w:color w:val="auto"/>
              </w:rPr>
            </w:pPr>
            <w:r>
              <w:rPr>
                <w:rFonts w:ascii="Arial" w:cs="Arial" w:eastAsia="Arial" w:hAnsi="Arial"/>
                <w:sz w:val="14"/>
                <w:szCs w:val="14"/>
                <w:color w:val="auto"/>
              </w:rPr>
              <w:t>Weighted-average contractual life in years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firstLine="137"/>
        <w:spacing w:after="0" w:line="239" w:lineRule="auto"/>
        <w:rPr>
          <w:sz w:val="20"/>
          <w:szCs w:val="20"/>
          <w:color w:val="auto"/>
        </w:rPr>
      </w:pPr>
      <w:r>
        <w:rPr>
          <w:rFonts w:ascii="Arial" w:cs="Arial" w:eastAsia="Arial" w:hAnsi="Arial"/>
          <w:sz w:val="18"/>
          <w:szCs w:val="18"/>
          <w:color w:val="auto"/>
        </w:rPr>
        <w:t>As of October 31, 2011, there was $1,595 of total unrecognized compensation expense related to unvested stock options. That cost is expected to be recognized over a weighted-average period of 1.8 years.</w:t>
      </w:r>
    </w:p>
    <w:p>
      <w:pPr>
        <w:spacing w:after="0" w:line="209" w:lineRule="exact"/>
        <w:rPr>
          <w:sz w:val="20"/>
          <w:szCs w:val="20"/>
          <w:color w:val="auto"/>
        </w:rPr>
      </w:pPr>
    </w:p>
    <w:p>
      <w:pPr>
        <w:ind w:right="720" w:firstLine="143"/>
        <w:spacing w:after="0" w:line="239" w:lineRule="auto"/>
        <w:rPr>
          <w:sz w:val="20"/>
          <w:szCs w:val="20"/>
          <w:color w:val="auto"/>
        </w:rPr>
      </w:pPr>
      <w:r>
        <w:rPr>
          <w:rFonts w:ascii="Arial" w:cs="Arial" w:eastAsia="Arial" w:hAnsi="Arial"/>
          <w:sz w:val="18"/>
          <w:szCs w:val="18"/>
          <w:color w:val="auto"/>
        </w:rPr>
        <w:t>The following table presents the total market value of stock options exercised and the total intrinsic value of options exercised during the following fiscal years:</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7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Market value of stock options exercised</w:t>
            </w:r>
          </w:p>
        </w:tc>
        <w:tc>
          <w:tcPr>
            <w:tcW w:w="3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$ 25,592</w:t>
            </w:r>
          </w:p>
        </w:tc>
        <w:tc>
          <w:tcPr>
            <w:tcW w:w="7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$ 24,588</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$ 31,774</w:t>
            </w:r>
          </w:p>
        </w:tc>
        <w:tc>
          <w:tcPr>
            <w:tcW w:w="160" w:type="dxa"/>
            <w:vAlign w:val="bottom"/>
            <w:shd w:val="clear" w:color="auto" w:fill="CCEEFF"/>
          </w:tcPr>
          <w:p>
            <w:pPr>
              <w:spacing w:after="0"/>
              <w:rPr>
                <w:sz w:val="13"/>
                <w:szCs w:val="13"/>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line="216" w:lineRule="exact"/>
              <w:rPr>
                <w:sz w:val="20"/>
                <w:szCs w:val="20"/>
                <w:color w:val="auto"/>
              </w:rPr>
            </w:pPr>
            <w:r>
              <w:rPr>
                <w:rFonts w:ascii="Arial" w:cs="Arial" w:eastAsia="Arial" w:hAnsi="Arial"/>
                <w:sz w:val="14"/>
                <w:szCs w:val="14"/>
                <w:b w:val="1"/>
                <w:bCs w:val="1"/>
                <w:color w:val="auto"/>
              </w:rPr>
              <w:t>Intrinsic value of options exercised</w:t>
            </w:r>
            <w:r>
              <w:rPr>
                <w:rFonts w:ascii="Arial" w:cs="Arial" w:eastAsia="Arial" w:hAnsi="Arial"/>
                <w:sz w:val="21"/>
                <w:szCs w:val="21"/>
                <w:b w:val="1"/>
                <w:bCs w:val="1"/>
                <w:color w:val="auto"/>
                <w:vertAlign w:val="superscript"/>
              </w:rPr>
              <w:t>1</w:t>
            </w:r>
          </w:p>
        </w:tc>
        <w:tc>
          <w:tcPr>
            <w:tcW w:w="3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11,434</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8,198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18,394</w:t>
            </w:r>
          </w:p>
        </w:tc>
        <w:tc>
          <w:tcPr>
            <w:tcW w:w="160" w:type="dxa"/>
            <w:vAlign w:val="bottom"/>
          </w:tcPr>
          <w:p>
            <w:pPr>
              <w:spacing w:after="0"/>
              <w:rPr>
                <w:sz w:val="18"/>
                <w:szCs w:val="18"/>
                <w:color w:val="auto"/>
              </w:rPr>
            </w:pPr>
          </w:p>
        </w:tc>
      </w:tr>
    </w:tbl>
    <w:p>
      <w:pPr>
        <w:spacing w:after="0" w:line="140"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Intrinsic value is calculated as amount by which the stock price at exercise date exceeded the option exercise price</w:t>
      </w:r>
    </w:p>
    <w:p>
      <w:pPr>
        <w:spacing w:after="0" w:line="204" w:lineRule="exact"/>
        <w:rPr>
          <w:sz w:val="20"/>
          <w:szCs w:val="20"/>
          <w:color w:val="auto"/>
        </w:rPr>
      </w:pPr>
    </w:p>
    <w:p>
      <w:pPr>
        <w:ind w:right="60" w:firstLine="143"/>
        <w:spacing w:after="0" w:line="235" w:lineRule="auto"/>
        <w:rPr>
          <w:sz w:val="20"/>
          <w:szCs w:val="20"/>
          <w:color w:val="auto"/>
        </w:rPr>
      </w:pPr>
      <w:r>
        <w:rPr>
          <w:rFonts w:ascii="Arial" w:cs="Arial" w:eastAsia="Arial" w:hAnsi="Arial"/>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that officers, other key employees, and non-employee members of the Board of Directors are expected to exercise their stock options, which is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cash dividends paid, expected future cash dividends, and expected changes in the company's stock price.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illustrates the valuation assumptions of stock-based compensation for the following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840" w:type="dxa"/>
            <w:vAlign w:val="bottom"/>
            <w:tcBorders>
              <w:top w:val="single" w:sz="8" w:color="auto"/>
            </w:tcBorders>
          </w:tcPr>
          <w:p>
            <w:pPr>
              <w:jc w:val="center"/>
              <w:ind w:left="2568"/>
              <w:spacing w:after="0"/>
              <w:rPr>
                <w:sz w:val="20"/>
                <w:szCs w:val="20"/>
                <w:color w:val="auto"/>
              </w:rPr>
            </w:pPr>
            <w:r>
              <w:rPr>
                <w:rFonts w:ascii="Arial" w:cs="Arial" w:eastAsia="Arial" w:hAnsi="Arial"/>
                <w:sz w:val="14"/>
                <w:szCs w:val="14"/>
                <w:b w:val="1"/>
                <w:bCs w:val="1"/>
                <w:color w:val="auto"/>
              </w:rPr>
              <w:t>2011</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2010</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Expected life of option in years</w:t>
            </w:r>
          </w:p>
        </w:tc>
        <w:tc>
          <w:tcPr>
            <w:tcW w:w="3840" w:type="dxa"/>
            <w:vAlign w:val="bottom"/>
            <w:tcBorders>
              <w:top w:val="single" w:sz="8" w:color="auto"/>
            </w:tcBorders>
            <w:shd w:val="clear" w:color="auto" w:fill="CCEEFF"/>
          </w:tcPr>
          <w:p>
            <w:pPr>
              <w:jc w:val="center"/>
              <w:ind w:left="2568"/>
              <w:spacing w:after="0" w:line="155" w:lineRule="exact"/>
              <w:rPr>
                <w:sz w:val="20"/>
                <w:szCs w:val="20"/>
                <w:color w:val="auto"/>
              </w:rPr>
            </w:pPr>
            <w:r>
              <w:rPr>
                <w:rFonts w:ascii="Arial" w:cs="Arial" w:eastAsia="Arial" w:hAnsi="Arial"/>
                <w:sz w:val="14"/>
                <w:szCs w:val="14"/>
                <w:b w:val="1"/>
                <w:bCs w:val="1"/>
                <w:color w:val="auto"/>
              </w:rPr>
              <w:t>6</w:t>
            </w:r>
          </w:p>
        </w:tc>
        <w:tc>
          <w:tcPr>
            <w:tcW w:w="126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6</w:t>
            </w:r>
          </w:p>
        </w:tc>
        <w:tc>
          <w:tcPr>
            <w:tcW w:w="90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840" w:type="dxa"/>
            <w:vAlign w:val="bottom"/>
          </w:tcPr>
          <w:p>
            <w:pPr>
              <w:jc w:val="center"/>
              <w:ind w:left="2568"/>
              <w:spacing w:after="0" w:line="149" w:lineRule="exact"/>
              <w:rPr>
                <w:sz w:val="20"/>
                <w:szCs w:val="20"/>
                <w:color w:val="auto"/>
              </w:rPr>
            </w:pPr>
            <w:r>
              <w:rPr>
                <w:rFonts w:ascii="Arial" w:cs="Arial" w:eastAsia="Arial" w:hAnsi="Arial"/>
                <w:sz w:val="14"/>
                <w:szCs w:val="14"/>
                <w:b w:val="1"/>
                <w:bCs w:val="1"/>
                <w:color w:val="auto"/>
              </w:rPr>
              <w:t>33.34% –</w:t>
            </w:r>
          </w:p>
        </w:tc>
        <w:tc>
          <w:tcPr>
            <w:tcW w:w="1260" w:type="dxa"/>
            <w:vAlign w:val="bottom"/>
          </w:tcPr>
          <w:p>
            <w:pPr>
              <w:jc w:val="center"/>
              <w:ind w:right="8"/>
              <w:spacing w:after="0" w:line="149" w:lineRule="exact"/>
              <w:rPr>
                <w:sz w:val="20"/>
                <w:szCs w:val="20"/>
                <w:color w:val="auto"/>
              </w:rPr>
            </w:pPr>
            <w:r>
              <w:rPr>
                <w:rFonts w:ascii="Arial" w:cs="Arial" w:eastAsia="Arial" w:hAnsi="Arial"/>
                <w:sz w:val="14"/>
                <w:szCs w:val="14"/>
                <w:color w:val="auto"/>
              </w:rPr>
              <w:t>33.00% –</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Expected volatility</w:t>
            </w:r>
          </w:p>
        </w:tc>
        <w:tc>
          <w:tcPr>
            <w:tcW w:w="3840" w:type="dxa"/>
            <w:vAlign w:val="bottom"/>
          </w:tcPr>
          <w:p>
            <w:pPr>
              <w:jc w:val="center"/>
              <w:ind w:left="2568"/>
              <w:spacing w:after="0"/>
              <w:rPr>
                <w:sz w:val="20"/>
                <w:szCs w:val="20"/>
                <w:color w:val="auto"/>
              </w:rPr>
            </w:pPr>
            <w:r>
              <w:rPr>
                <w:rFonts w:ascii="Arial" w:cs="Arial" w:eastAsia="Arial" w:hAnsi="Arial"/>
                <w:sz w:val="14"/>
                <w:szCs w:val="14"/>
                <w:b w:val="1"/>
                <w:bCs w:val="1"/>
                <w:color w:val="auto"/>
              </w:rPr>
              <w:t>33.43%</w:t>
            </w:r>
          </w:p>
        </w:tc>
        <w:tc>
          <w:tcPr>
            <w:tcW w:w="1260" w:type="dxa"/>
            <w:vAlign w:val="bottom"/>
          </w:tcPr>
          <w:p>
            <w:pPr>
              <w:jc w:val="center"/>
              <w:ind w:right="8"/>
              <w:spacing w:after="0"/>
              <w:rPr>
                <w:sz w:val="20"/>
                <w:szCs w:val="20"/>
                <w:color w:val="auto"/>
              </w:rPr>
            </w:pPr>
            <w:r>
              <w:rPr>
                <w:rFonts w:ascii="Arial" w:cs="Arial" w:eastAsia="Arial" w:hAnsi="Arial"/>
                <w:sz w:val="14"/>
                <w:szCs w:val="14"/>
                <w:color w:val="auto"/>
              </w:rPr>
              <w:t>33.10%</w:t>
            </w:r>
          </w:p>
        </w:tc>
        <w:tc>
          <w:tcPr>
            <w:tcW w:w="900" w:type="dxa"/>
            <w:vAlign w:val="bottom"/>
          </w:tcPr>
          <w:p>
            <w:pPr>
              <w:jc w:val="center"/>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volatility</w:t>
            </w:r>
          </w:p>
        </w:tc>
        <w:tc>
          <w:tcPr>
            <w:tcW w:w="3840" w:type="dxa"/>
            <w:vAlign w:val="bottom"/>
            <w:shd w:val="clear" w:color="auto" w:fill="CCEEFF"/>
          </w:tcPr>
          <w:p>
            <w:pPr>
              <w:jc w:val="center"/>
              <w:ind w:left="2568"/>
              <w:spacing w:after="0"/>
              <w:rPr>
                <w:sz w:val="20"/>
                <w:szCs w:val="20"/>
                <w:color w:val="auto"/>
              </w:rPr>
            </w:pPr>
            <w:r>
              <w:rPr>
                <w:rFonts w:ascii="Arial" w:cs="Arial" w:eastAsia="Arial" w:hAnsi="Arial"/>
                <w:sz w:val="14"/>
                <w:szCs w:val="14"/>
                <w:b w:val="1"/>
                <w:bCs w:val="1"/>
                <w:color w:val="auto"/>
              </w:rPr>
              <w:t>33.42%</w:t>
            </w:r>
          </w:p>
        </w:tc>
        <w:tc>
          <w:tcPr>
            <w:tcW w:w="126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33.00%</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67"/>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Risk-free interest rate</w:t>
            </w:r>
          </w:p>
        </w:tc>
        <w:tc>
          <w:tcPr>
            <w:tcW w:w="3840" w:type="dxa"/>
            <w:vAlign w:val="bottom"/>
            <w:vMerge w:val="restart"/>
          </w:tcPr>
          <w:p>
            <w:pPr>
              <w:jc w:val="center"/>
              <w:ind w:left="2588"/>
              <w:spacing w:after="0"/>
              <w:rPr>
                <w:sz w:val="20"/>
                <w:szCs w:val="20"/>
                <w:color w:val="auto"/>
              </w:rPr>
            </w:pPr>
            <w:r>
              <w:rPr>
                <w:rFonts w:ascii="Arial" w:cs="Arial" w:eastAsia="Arial" w:hAnsi="Arial"/>
                <w:sz w:val="14"/>
                <w:szCs w:val="14"/>
                <w:b w:val="1"/>
                <w:bCs w:val="1"/>
                <w:color w:val="auto"/>
              </w:rPr>
              <w:t>1.72% – 2.36%</w:t>
            </w:r>
          </w:p>
        </w:tc>
        <w:tc>
          <w:tcPr>
            <w:tcW w:w="1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2.26% –</w:t>
            </w:r>
          </w:p>
        </w:tc>
        <w:tc>
          <w:tcPr>
            <w:tcW w:w="0" w:type="dxa"/>
            <w:vAlign w:val="bottom"/>
          </w:tcPr>
          <w:p>
            <w:pPr>
              <w:spacing w:after="0"/>
              <w:rPr>
                <w:sz w:val="1"/>
                <w:szCs w:val="1"/>
                <w:color w:val="auto"/>
              </w:rPr>
            </w:pPr>
          </w:p>
        </w:tc>
      </w:tr>
      <w:tr>
        <w:trPr>
          <w:trHeight w:val="157"/>
        </w:trPr>
        <w:tc>
          <w:tcPr>
            <w:tcW w:w="5420" w:type="dxa"/>
            <w:vAlign w:val="bottom"/>
            <w:gridSpan w:val="2"/>
            <w:vMerge w:val="continue"/>
          </w:tcPr>
          <w:p>
            <w:pPr>
              <w:spacing w:after="0"/>
              <w:rPr>
                <w:sz w:val="13"/>
                <w:szCs w:val="13"/>
                <w:color w:val="auto"/>
              </w:rPr>
            </w:pPr>
          </w:p>
        </w:tc>
        <w:tc>
          <w:tcPr>
            <w:tcW w:w="3840" w:type="dxa"/>
            <w:vAlign w:val="bottom"/>
            <w:vMerge w:val="continue"/>
          </w:tcPr>
          <w:p>
            <w:pPr>
              <w:spacing w:after="0"/>
              <w:rPr>
                <w:sz w:val="13"/>
                <w:szCs w:val="13"/>
                <w:color w:val="auto"/>
              </w:rPr>
            </w:pPr>
          </w:p>
        </w:tc>
        <w:tc>
          <w:tcPr>
            <w:tcW w:w="1260" w:type="dxa"/>
            <w:vAlign w:val="bottom"/>
          </w:tcPr>
          <w:p>
            <w:pPr>
              <w:jc w:val="center"/>
              <w:ind w:right="8"/>
              <w:spacing w:after="0" w:line="157" w:lineRule="exact"/>
              <w:rPr>
                <w:sz w:val="20"/>
                <w:szCs w:val="20"/>
                <w:color w:val="auto"/>
              </w:rPr>
            </w:pPr>
            <w:r>
              <w:rPr>
                <w:rFonts w:ascii="Arial" w:cs="Arial" w:eastAsia="Arial" w:hAnsi="Arial"/>
                <w:sz w:val="14"/>
                <w:szCs w:val="14"/>
                <w:color w:val="auto"/>
              </w:rPr>
              <w:t>2.51% – 2.87%</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Expected dividend yield</w:t>
            </w:r>
          </w:p>
        </w:tc>
        <w:tc>
          <w:tcPr>
            <w:tcW w:w="3840" w:type="dxa"/>
            <w:vAlign w:val="bottom"/>
            <w:vMerge w:val="restart"/>
            <w:shd w:val="clear" w:color="auto" w:fill="CCEEFF"/>
          </w:tcPr>
          <w:p>
            <w:pPr>
              <w:jc w:val="center"/>
              <w:ind w:left="2588"/>
              <w:spacing w:after="0"/>
              <w:rPr>
                <w:sz w:val="20"/>
                <w:szCs w:val="20"/>
                <w:color w:val="auto"/>
              </w:rPr>
            </w:pPr>
            <w:r>
              <w:rPr>
                <w:rFonts w:ascii="Arial" w:cs="Arial" w:eastAsia="Arial" w:hAnsi="Arial"/>
                <w:sz w:val="14"/>
                <w:szCs w:val="14"/>
                <w:b w:val="1"/>
                <w:bCs w:val="1"/>
                <w:color w:val="auto"/>
              </w:rPr>
              <w:t>1.04% – 1.16%</w:t>
            </w:r>
          </w:p>
        </w:tc>
        <w:tc>
          <w:tcPr>
            <w:tcW w:w="126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0" w:type="dxa"/>
            <w:vAlign w:val="bottom"/>
            <w:vMerge w:val="continue"/>
            <w:shd w:val="clear" w:color="auto" w:fill="CCEEFF"/>
          </w:tcPr>
          <w:p>
            <w:pPr>
              <w:spacing w:after="0"/>
              <w:rPr>
                <w:sz w:val="13"/>
                <w:szCs w:val="13"/>
                <w:color w:val="auto"/>
              </w:rPr>
            </w:pPr>
          </w:p>
        </w:tc>
        <w:tc>
          <w:tcPr>
            <w:tcW w:w="3840" w:type="dxa"/>
            <w:vAlign w:val="bottom"/>
            <w:vMerge w:val="continue"/>
            <w:shd w:val="clear" w:color="auto" w:fill="CCEEFF"/>
          </w:tcPr>
          <w:p>
            <w:pPr>
              <w:spacing w:after="0"/>
              <w:rPr>
                <w:sz w:val="13"/>
                <w:szCs w:val="13"/>
                <w:color w:val="auto"/>
              </w:rPr>
            </w:pPr>
          </w:p>
        </w:tc>
        <w:tc>
          <w:tcPr>
            <w:tcW w:w="1260" w:type="dxa"/>
            <w:vAlign w:val="bottom"/>
            <w:shd w:val="clear" w:color="auto" w:fill="CCEEFF"/>
          </w:tcPr>
          <w:p>
            <w:pPr>
              <w:jc w:val="center"/>
              <w:ind w:right="8"/>
              <w:spacing w:after="0" w:line="157" w:lineRule="exact"/>
              <w:rPr>
                <w:sz w:val="20"/>
                <w:szCs w:val="20"/>
                <w:color w:val="auto"/>
              </w:rPr>
            </w:pPr>
            <w:r>
              <w:rPr>
                <w:rFonts w:ascii="Arial" w:cs="Arial" w:eastAsia="Arial" w:hAnsi="Arial"/>
                <w:sz w:val="14"/>
                <w:szCs w:val="14"/>
                <w:color w:val="auto"/>
              </w:rPr>
              <w:t>1.52% – 1.68%</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Weighted-average dividend yield</w:t>
            </w:r>
          </w:p>
        </w:tc>
        <w:tc>
          <w:tcPr>
            <w:tcW w:w="3840" w:type="dxa"/>
            <w:vAlign w:val="bottom"/>
            <w:tcBorders>
              <w:bottom w:val="single" w:sz="8" w:color="auto"/>
            </w:tcBorders>
          </w:tcPr>
          <w:p>
            <w:pPr>
              <w:jc w:val="center"/>
              <w:ind w:left="2568"/>
              <w:spacing w:after="0"/>
              <w:rPr>
                <w:sz w:val="20"/>
                <w:szCs w:val="20"/>
                <w:color w:val="auto"/>
              </w:rPr>
            </w:pPr>
            <w:r>
              <w:rPr>
                <w:rFonts w:ascii="Arial" w:cs="Arial" w:eastAsia="Arial" w:hAnsi="Arial"/>
                <w:sz w:val="14"/>
                <w:szCs w:val="14"/>
                <w:b w:val="1"/>
                <w:bCs w:val="1"/>
                <w:color w:val="auto"/>
              </w:rPr>
              <w:t>1.05%</w:t>
            </w: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1.54%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Grant date weighted-average fair value</w:t>
            </w:r>
          </w:p>
        </w:tc>
        <w:tc>
          <w:tcPr>
            <w:tcW w:w="3840" w:type="dxa"/>
            <w:vAlign w:val="bottom"/>
            <w:shd w:val="clear" w:color="auto" w:fill="CCEEFF"/>
          </w:tcPr>
          <w:p>
            <w:pPr>
              <w:jc w:val="center"/>
              <w:ind w:left="2568"/>
              <w:spacing w:after="0" w:line="155" w:lineRule="exact"/>
              <w:rPr>
                <w:sz w:val="20"/>
                <w:szCs w:val="20"/>
                <w:color w:val="auto"/>
              </w:rPr>
            </w:pPr>
            <w:r>
              <w:rPr>
                <w:rFonts w:ascii="Arial" w:cs="Arial" w:eastAsia="Arial" w:hAnsi="Arial"/>
                <w:sz w:val="14"/>
                <w:szCs w:val="14"/>
                <w:b w:val="1"/>
                <w:bCs w:val="1"/>
                <w:color w:val="auto"/>
              </w:rPr>
              <w:t>$20.30</w:t>
            </w:r>
          </w:p>
        </w:tc>
        <w:tc>
          <w:tcPr>
            <w:tcW w:w="12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$12.33</w:t>
            </w:r>
          </w:p>
        </w:tc>
        <w:tc>
          <w:tcPr>
            <w:tcW w:w="90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In the first quarter of fiscal 2011, the company began granting restricted stock awards to certain non-officer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Previously, limited restricted stock awards were granted to certain officers and other employees. In the second quarter of fiscal 2011, the company granted restricted stock awards to two officer employees to help ensure a smooth transition</w:t>
      </w:r>
    </w:p>
    <w:p>
      <w:pPr>
        <w:sectPr>
          <w:pgSz w:w="11900" w:h="16838" w:orient="portrait"/>
          <w:cols w:equalWidth="0" w:num="1">
            <w:col w:w="11420"/>
          </w:cols>
          <w:pgMar w:left="240" w:top="143" w:right="239" w:bottom="686"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686" w:gutter="0" w:footer="0" w:header="0"/>
          <w:type w:val="continuous"/>
        </w:sectPr>
      </w:pPr>
    </w:p>
    <w:bookmarkStart w:id="58" w:name="page59"/>
    <w:bookmarkEnd w:id="58"/>
    <w:p>
      <w:pPr>
        <w:ind w:right="360"/>
        <w:spacing w:after="0" w:line="239" w:lineRule="auto"/>
        <w:rPr>
          <w:sz w:val="20"/>
          <w:szCs w:val="20"/>
          <w:color w:val="auto"/>
        </w:rPr>
      </w:pPr>
      <w:r>
        <w:rPr>
          <w:rFonts w:ascii="Arial" w:cs="Arial" w:eastAsia="Arial" w:hAnsi="Arial"/>
          <w:sz w:val="18"/>
          <w:szCs w:val="18"/>
          <w:color w:val="auto"/>
        </w:rPr>
        <w:t>in connection with the retirement of the company's then Vice President, Finance and Chief Financial Officer. On August 22, 2011, the company also granted a restricted stock award as part of the offer to the new Vice President, Finance and Chief Financial Officer.</w:t>
      </w:r>
    </w:p>
    <w:p>
      <w:pPr>
        <w:spacing w:after="0" w:line="209" w:lineRule="exact"/>
        <w:rPr>
          <w:sz w:val="20"/>
          <w:szCs w:val="20"/>
          <w:color w:val="auto"/>
        </w:rPr>
      </w:pPr>
    </w:p>
    <w:p>
      <w:pPr>
        <w:ind w:right="200" w:firstLine="146"/>
        <w:spacing w:after="0" w:line="237" w:lineRule="auto"/>
        <w:rPr>
          <w:sz w:val="20"/>
          <w:szCs w:val="20"/>
          <w:color w:val="auto"/>
        </w:rPr>
      </w:pPr>
      <w:r>
        <w:rPr>
          <w:rFonts w:ascii="Arial" w:cs="Arial" w:eastAsia="Arial" w:hAnsi="Arial"/>
          <w:sz w:val="18"/>
          <w:szCs w:val="18"/>
          <w:color w:val="auto"/>
        </w:rPr>
        <w:t>Restricted stock awards generally vest one-third each year over a three-year period or vest in full on the three-year anniversary of the date of grant. Previously, the company granted limited restricted stock awards with varying vesting schedules. Compensation expense equal to the grant date fair value, which is equal to the closing price of the company's common stock on the date of grant, is recognized for these awards over the vesting period.</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granted restricted stock awards during the following fiscal years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4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Grant date weighted-average fair value</w:t>
            </w:r>
          </w:p>
        </w:tc>
        <w:tc>
          <w:tcPr>
            <w:tcW w:w="26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54.34</w:t>
            </w:r>
          </w:p>
        </w:tc>
        <w:tc>
          <w:tcPr>
            <w:tcW w:w="7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56.50</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38.93</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restricted stock awards vested</w:t>
            </w:r>
          </w:p>
        </w:tc>
        <w:tc>
          <w:tcPr>
            <w:tcW w:w="2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60" w:type="dxa"/>
            <w:vAlign w:val="bottom"/>
          </w:tcPr>
          <w:p>
            <w:pPr>
              <w:spacing w:after="0"/>
              <w:rPr>
                <w:sz w:val="16"/>
                <w:szCs w:val="16"/>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activity during fiscal 2011 for unvested restricted share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5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Average</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Restricted</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Date</w:t>
            </w:r>
          </w:p>
        </w:tc>
      </w:tr>
      <w:tr>
        <w:trPr>
          <w:trHeight w:val="178"/>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of Grant</w:t>
            </w:r>
          </w:p>
        </w:tc>
      </w:tr>
      <w:tr>
        <w:trPr>
          <w:trHeight w:val="162"/>
        </w:trPr>
        <w:tc>
          <w:tcPr>
            <w:tcW w:w="20" w:type="dxa"/>
            <w:vAlign w:val="bottom"/>
          </w:tcPr>
          <w:p>
            <w:pPr>
              <w:spacing w:after="0"/>
              <w:rPr>
                <w:sz w:val="14"/>
                <w:szCs w:val="14"/>
                <w:color w:val="auto"/>
              </w:rPr>
            </w:pPr>
          </w:p>
        </w:tc>
        <w:tc>
          <w:tcPr>
            <w:tcW w:w="9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Unvested as of October 31, 2010</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7,227</w:t>
            </w: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44.95</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47,225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54.34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(658)</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56.50</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500" w:type="dxa"/>
            <w:vAlign w:val="bottom"/>
          </w:tcPr>
          <w:p>
            <w:pPr>
              <w:spacing w:after="0"/>
              <w:rPr>
                <w:sz w:val="20"/>
                <w:szCs w:val="20"/>
                <w:color w:val="auto"/>
              </w:rPr>
            </w:pPr>
            <w:r>
              <w:rPr>
                <w:rFonts w:ascii="Arial" w:cs="Arial" w:eastAsia="Arial" w:hAnsi="Arial"/>
                <w:sz w:val="14"/>
                <w:szCs w:val="14"/>
                <w:b w:val="1"/>
                <w:bCs w:val="1"/>
                <w:color w:val="auto"/>
              </w:rPr>
              <w:t>Forfeited</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58.94</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95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2011</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53,719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53.04</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120" w:firstLine="137"/>
        <w:spacing w:after="0" w:line="239" w:lineRule="auto"/>
        <w:rPr>
          <w:sz w:val="20"/>
          <w:szCs w:val="20"/>
          <w:color w:val="auto"/>
        </w:rPr>
      </w:pPr>
      <w:r>
        <w:rPr>
          <w:rFonts w:ascii="Arial" w:cs="Arial" w:eastAsia="Arial" w:hAnsi="Arial"/>
          <w:sz w:val="18"/>
          <w:szCs w:val="18"/>
          <w:color w:val="auto"/>
        </w:rPr>
        <w:t>As of October 31, 2011, there was $1,947 of total unrecognized compensation expense related to unvested restricted stock awards. That cost is expected to be recognized over a weighted-average period of 2.6 years.</w:t>
      </w:r>
    </w:p>
    <w:p>
      <w:pPr>
        <w:spacing w:after="0" w:line="1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Performance Share Awards. </w:t>
      </w:r>
      <w:r>
        <w:rPr>
          <w:rFonts w:ascii="Arial" w:cs="Arial" w:eastAsia="Arial" w:hAnsi="Arial"/>
          <w:sz w:val="18"/>
          <w:szCs w:val="18"/>
          <w:color w:val="auto"/>
        </w:rPr>
        <w:t>The company grants performance share awards to officers and other employees under which they are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shares of common stock or performance share units contingent on the achievement of performance goals of the company, which are generally measured over a three-year period. The number of shares of common stock or performance share units a participant receives will be increased (up to 200 percent of target levels) or reduced (down to zero) based on the level of achievement of performance goals and will vest over a three-year period. Performance share awards are granted on an annual basis in the first quarter of the company's fiscal year. Compensation expense is recognized for these awards on a straight-line basis over the vesting period based on the fair value as of the date of grant and the probability of achieving performance goals.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granted performance share awards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0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Grant date weighted-average fair value</w:t>
            </w:r>
          </w:p>
        </w:tc>
        <w:tc>
          <w:tcPr>
            <w:tcW w:w="25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63.52</w:t>
            </w:r>
          </w:p>
        </w:tc>
        <w:tc>
          <w:tcPr>
            <w:tcW w:w="7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40.73</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28.62</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performance share awards vested</w:t>
            </w:r>
          </w:p>
        </w:tc>
        <w:tc>
          <w:tcPr>
            <w:tcW w:w="2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1,429</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160" w:type="dxa"/>
            <w:vAlign w:val="bottom"/>
          </w:tcPr>
          <w:p>
            <w:pPr>
              <w:spacing w:after="0"/>
              <w:rPr>
                <w:sz w:val="16"/>
                <w:szCs w:val="16"/>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activity during fiscal 2011 for unvested performance share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Average Fair</w:t>
            </w: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Performance</w:t>
            </w: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Date</w:t>
            </w:r>
          </w:p>
        </w:tc>
      </w:tr>
      <w:tr>
        <w:trPr>
          <w:trHeight w:val="178"/>
        </w:trPr>
        <w:tc>
          <w:tcPr>
            <w:tcW w:w="20" w:type="dxa"/>
            <w:vAlign w:val="bottom"/>
          </w:tcPr>
          <w:p>
            <w:pPr>
              <w:spacing w:after="0"/>
              <w:rPr>
                <w:sz w:val="15"/>
                <w:szCs w:val="15"/>
                <w:color w:val="auto"/>
              </w:rPr>
            </w:pPr>
          </w:p>
        </w:tc>
        <w:tc>
          <w:tcPr>
            <w:tcW w:w="92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of Grant</w:t>
            </w:r>
          </w:p>
        </w:tc>
      </w:tr>
      <w:tr>
        <w:trPr>
          <w:trHeight w:val="162"/>
        </w:trPr>
        <w:tc>
          <w:tcPr>
            <w:tcW w:w="20" w:type="dxa"/>
            <w:vAlign w:val="bottom"/>
          </w:tcPr>
          <w:p>
            <w:pPr>
              <w:spacing w:after="0"/>
              <w:rPr>
                <w:sz w:val="14"/>
                <w:szCs w:val="14"/>
                <w:color w:val="auto"/>
              </w:rPr>
            </w:pPr>
          </w:p>
        </w:tc>
        <w:tc>
          <w:tcPr>
            <w:tcW w:w="9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Unvested as of October 31, 2010</w:t>
            </w:r>
          </w:p>
        </w:tc>
        <w:tc>
          <w:tcPr>
            <w:tcW w:w="10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341,000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40.87</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93,800</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63.52</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(44,388)</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58.96</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280" w:type="dxa"/>
            <w:vAlign w:val="bottom"/>
          </w:tcPr>
          <w:p>
            <w:pPr>
              <w:spacing w:after="0"/>
              <w:rPr>
                <w:sz w:val="20"/>
                <w:szCs w:val="20"/>
                <w:color w:val="auto"/>
              </w:rPr>
            </w:pPr>
            <w:r>
              <w:rPr>
                <w:rFonts w:ascii="Arial" w:cs="Arial" w:eastAsia="Arial" w:hAnsi="Arial"/>
                <w:sz w:val="14"/>
                <w:szCs w:val="14"/>
                <w:b w:val="1"/>
                <w:bCs w:val="1"/>
                <w:color w:val="auto"/>
              </w:rPr>
              <w:t>Forfeited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(71,414)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58.96</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9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2011</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318,998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41.77</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360" w:firstLine="137"/>
        <w:spacing w:after="0" w:line="239" w:lineRule="auto"/>
        <w:rPr>
          <w:sz w:val="20"/>
          <w:szCs w:val="20"/>
          <w:color w:val="auto"/>
        </w:rPr>
      </w:pPr>
      <w:r>
        <w:rPr>
          <w:rFonts w:ascii="Arial" w:cs="Arial" w:eastAsia="Arial" w:hAnsi="Arial"/>
          <w:sz w:val="18"/>
          <w:szCs w:val="18"/>
          <w:color w:val="auto"/>
        </w:rPr>
        <w:t>As of October 31, 2011, there was $4,473 of total unrecognized compensation expense related to unvested performance share awards. That cost is expected to be recognized over a weighted-average period of 1.7 years.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11</w:t>
      </w:r>
      <w:r>
        <w:rPr>
          <w:sz w:val="20"/>
          <w:szCs w:val="20"/>
          <w:color w:val="auto"/>
        </w:rPr>
        <w:tab/>
      </w:r>
      <w:r>
        <w:rPr>
          <w:rFonts w:ascii="Arial" w:cs="Arial" w:eastAsia="Arial" w:hAnsi="Arial"/>
          <w:sz w:val="21"/>
          <w:szCs w:val="21"/>
          <w:b w:val="1"/>
          <w:bCs w:val="1"/>
          <w:color w:val="auto"/>
        </w:rPr>
        <w:t>EMPLOYEE RETIREMENT PLANS</w:t>
      </w:r>
    </w:p>
    <w:p>
      <w:pPr>
        <w:spacing w:after="0" w:line="27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$12,686, $15,500, and $15,200 for the fiscal years ended October 31, 2011, 2010, and 2009, respectively.</w:t>
      </w:r>
    </w:p>
    <w:p>
      <w:pPr>
        <w:spacing w:after="0" w:line="163"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 the U.S. and the United Kingdom. The projected benefit obligation of these plans as of October 31, 2011 and 2010 was $40,989 and $38,696, respectively, and the net liability amount recognized in the consolidated balance sheets as of October 31, 2011 and 2010 was $4,467 and $4,272, respectively. The accumulated benefit obligation of these plans as of October 31, 2011 and 2010 was $38,446 and $36,685, respectively. The funded status of these plans as of October 31, 2011 and 2010 was $10,847 and $10,022, respectively. The fair value of the plan assets as of October 31, 2011 and 2010 was $30,141 and $28,674, respectively. The net expense recognized in the consolidated financial statements for these plans was $1,520, $326, and $1,629 for the fiscal years ended October 31, 2011, 2010, and 2009, respectively.</w:t>
      </w:r>
    </w:p>
    <w:p>
      <w:pPr>
        <w:sectPr>
          <w:pgSz w:w="11900" w:h="16838" w:orient="portrait"/>
          <w:cols w:equalWidth="0" w:num="1">
            <w:col w:w="11420"/>
          </w:cols>
          <w:pgMar w:left="240" w:top="143" w:right="239" w:bottom="969"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969" w:gutter="0" w:footer="0" w:header="0"/>
          <w:type w:val="continuous"/>
        </w:sectPr>
      </w:pPr>
    </w:p>
    <w:bookmarkStart w:id="59" w:name="page60"/>
    <w:bookmarkEnd w:id="59"/>
    <w:p>
      <w:pPr>
        <w:ind w:left="140"/>
        <w:spacing w:after="0"/>
        <w:rPr>
          <w:sz w:val="20"/>
          <w:szCs w:val="20"/>
          <w:color w:val="auto"/>
        </w:rPr>
      </w:pPr>
      <w:r>
        <w:rPr>
          <w:rFonts w:ascii="Arial" w:cs="Arial" w:eastAsia="Arial" w:hAnsi="Arial"/>
          <w:sz w:val="18"/>
          <w:szCs w:val="18"/>
          <w:color w:val="auto"/>
        </w:rPr>
        <w:t>Amounts recognized in accumulated other comprehensive loss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0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Defined</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Benefit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Pension</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572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31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Plans</w:t>
            </w:r>
          </w:p>
        </w:tc>
        <w:tc>
          <w:tcPr>
            <w:tcW w:w="18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Benefit Plans</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Total</w:t>
            </w:r>
          </w:p>
        </w:tc>
      </w:tr>
      <w:tr>
        <w:trPr>
          <w:trHeight w:val="162"/>
        </w:trPr>
        <w:tc>
          <w:tcPr>
            <w:tcW w:w="20" w:type="dxa"/>
            <w:vAlign w:val="bottom"/>
          </w:tcPr>
          <w:p>
            <w:pPr>
              <w:spacing w:after="0"/>
              <w:rPr>
                <w:sz w:val="14"/>
                <w:szCs w:val="14"/>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2011</w:t>
            </w:r>
          </w:p>
        </w:tc>
        <w:tc>
          <w:tcPr>
            <w:tcW w:w="3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Net actuarial loss</w:t>
            </w: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1,788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2,164</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$ 3,952</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prior service cost (credit)</w:t>
            </w:r>
          </w:p>
        </w:tc>
        <w:tc>
          <w:tcPr>
            <w:tcW w:w="3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192</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(152)</w:t>
            </w:r>
          </w:p>
        </w:tc>
      </w:tr>
      <w:tr>
        <w:trPr>
          <w:trHeight w:val="27"/>
        </w:trPr>
        <w:tc>
          <w:tcPr>
            <w:tcW w:w="5720" w:type="dxa"/>
            <w:vAlign w:val="bottom"/>
            <w:gridSpan w:val="2"/>
          </w:tcPr>
          <w:p>
            <w:pPr>
              <w:spacing w:after="0"/>
              <w:rPr>
                <w:sz w:val="2"/>
                <w:szCs w:val="2"/>
                <w:color w:val="auto"/>
              </w:rPr>
            </w:pPr>
          </w:p>
        </w:tc>
        <w:tc>
          <w:tcPr>
            <w:tcW w:w="3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Accumulated other comprehensive loss</w:t>
            </w:r>
          </w:p>
        </w:tc>
        <w:tc>
          <w:tcPr>
            <w:tcW w:w="3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1,980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$ 3,800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7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2010</w:t>
            </w:r>
          </w:p>
        </w:tc>
        <w:tc>
          <w:tcPr>
            <w:tcW w:w="3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5720" w:type="dxa"/>
            <w:vAlign w:val="bottom"/>
            <w:gridSpan w:val="2"/>
          </w:tcPr>
          <w:p>
            <w:pPr>
              <w:spacing w:after="0"/>
              <w:rPr>
                <w:sz w:val="20"/>
                <w:szCs w:val="20"/>
                <w:color w:val="auto"/>
              </w:rPr>
            </w:pPr>
            <w:r>
              <w:rPr>
                <w:rFonts w:ascii="Arial" w:cs="Arial" w:eastAsia="Arial" w:hAnsi="Arial"/>
                <w:sz w:val="14"/>
                <w:szCs w:val="14"/>
                <w:color w:val="auto"/>
              </w:rPr>
              <w:t>Net actuarial loss</w:t>
            </w:r>
          </w:p>
        </w:tc>
        <w:tc>
          <w:tcPr>
            <w:tcW w:w="3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2,221</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$ 3,530</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Net prior service cost (credit)</w:t>
            </w:r>
          </w:p>
        </w:tc>
        <w:tc>
          <w:tcPr>
            <w:tcW w:w="3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(269)</w:t>
            </w:r>
          </w:p>
        </w:tc>
      </w:tr>
      <w:tr>
        <w:trPr>
          <w:trHeight w:val="27"/>
        </w:trPr>
        <w:tc>
          <w:tcPr>
            <w:tcW w:w="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7"/>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1,704</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$ 3,261</w:t>
            </w:r>
          </w:p>
        </w:tc>
        <w:tc>
          <w:tcPr>
            <w:tcW w:w="140" w:type="dxa"/>
            <w:vAlign w:val="bottom"/>
          </w:tcPr>
          <w:p>
            <w:pPr>
              <w:spacing w:after="0"/>
              <w:rPr>
                <w:sz w:val="15"/>
                <w:szCs w:val="15"/>
                <w:color w:val="auto"/>
              </w:rPr>
            </w:pPr>
          </w:p>
        </w:tc>
      </w:tr>
    </w:tbl>
    <w:p>
      <w:pPr>
        <w:spacing w:after="0" w:line="219" w:lineRule="exact"/>
        <w:rPr>
          <w:sz w:val="20"/>
          <w:szCs w:val="20"/>
          <w:color w:val="auto"/>
        </w:rPr>
      </w:pPr>
    </w:p>
    <w:p>
      <w:pPr>
        <w:ind w:right="400" w:firstLine="143"/>
        <w:spacing w:after="0" w:line="239" w:lineRule="auto"/>
        <w:rPr>
          <w:sz w:val="20"/>
          <w:szCs w:val="20"/>
          <w:color w:val="auto"/>
        </w:rPr>
      </w:pPr>
      <w:r>
        <w:rPr>
          <w:rFonts w:ascii="Arial" w:cs="Arial" w:eastAsia="Arial" w:hAnsi="Arial"/>
          <w:sz w:val="18"/>
          <w:szCs w:val="18"/>
          <w:color w:val="auto"/>
        </w:rPr>
        <w:t>The following amounts are included in accumulated other comprehensive loss as of October 31, 2011 and are expected to be recognized as components of net periodic benefit cost during fiscal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Defined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w:t>
            </w: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Benefit</w:t>
            </w:r>
          </w:p>
        </w:tc>
        <w:tc>
          <w:tcPr>
            <w:tcW w:w="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Pension Plans</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Benefit Plans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3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$ 501</w:t>
            </w:r>
          </w:p>
        </w:tc>
      </w:tr>
      <w:tr>
        <w:trPr>
          <w:trHeight w:val="189"/>
        </w:trPr>
        <w:tc>
          <w:tcPr>
            <w:tcW w:w="2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4"/>
                <w:szCs w:val="14"/>
                <w:b w:val="1"/>
                <w:bCs w:val="1"/>
                <w:color w:val="auto"/>
              </w:rPr>
              <w:t>Net prior service cost (credit)</w:t>
            </w:r>
          </w:p>
        </w:tc>
        <w:tc>
          <w:tcPr>
            <w:tcW w:w="33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(81)</w:t>
            </w:r>
          </w:p>
        </w:tc>
      </w:tr>
      <w:tr>
        <w:trPr>
          <w:trHeight w:val="20"/>
        </w:trPr>
        <w:tc>
          <w:tcPr>
            <w:tcW w:w="20" w:type="dxa"/>
            <w:vAlign w:val="bottom"/>
            <w:shd w:val="clear" w:color="auto" w:fill="000000"/>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net periodic benefit cost and other comprehensive income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0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w:t>
            </w: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Defined Benefit</w:t>
            </w:r>
          </w:p>
        </w:tc>
        <w:tc>
          <w:tcPr>
            <w:tcW w:w="1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70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13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Pension Plans</w:t>
            </w:r>
          </w:p>
        </w:tc>
        <w:tc>
          <w:tcPr>
            <w:tcW w:w="14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Benefit Plans</w:t>
            </w:r>
          </w:p>
        </w:tc>
        <w:tc>
          <w:tcPr>
            <w:tcW w:w="1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r>
      <w:tr>
        <w:trPr>
          <w:trHeight w:val="162"/>
        </w:trPr>
        <w:tc>
          <w:tcPr>
            <w:tcW w:w="20" w:type="dxa"/>
            <w:vAlign w:val="bottom"/>
          </w:tcPr>
          <w:p>
            <w:pPr>
              <w:spacing w:after="0"/>
              <w:rPr>
                <w:sz w:val="14"/>
                <w:szCs w:val="14"/>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2011</w:t>
            </w:r>
          </w:p>
        </w:tc>
        <w:tc>
          <w:tcPr>
            <w:tcW w:w="13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271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431</w:t>
            </w: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Amortization of unrecognized prior service (credit) cost</w:t>
            </w:r>
          </w:p>
        </w:tc>
        <w:tc>
          <w:tcPr>
            <w:tcW w:w="1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w:t>
            </w: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118</w:t>
            </w:r>
          </w:p>
        </w:tc>
      </w:tr>
      <w:tr>
        <w:trPr>
          <w:trHeight w:val="189"/>
        </w:trPr>
        <w:tc>
          <w:tcPr>
            <w:tcW w:w="20" w:type="dxa"/>
            <w:vAlign w:val="bottom"/>
          </w:tcPr>
          <w:p>
            <w:pPr>
              <w:spacing w:after="0"/>
              <w:rPr>
                <w:sz w:val="16"/>
                <w:szCs w:val="16"/>
                <w:color w:val="auto"/>
              </w:rPr>
            </w:pPr>
          </w:p>
        </w:tc>
        <w:tc>
          <w:tcPr>
            <w:tcW w:w="7060" w:type="dxa"/>
            <w:vAlign w:val="bottom"/>
          </w:tcPr>
          <w:p>
            <w:pPr>
              <w:spacing w:after="0"/>
              <w:rPr>
                <w:sz w:val="20"/>
                <w:szCs w:val="20"/>
                <w:color w:val="auto"/>
              </w:rPr>
            </w:pPr>
            <w:r>
              <w:rPr>
                <w:rFonts w:ascii="Arial" w:cs="Arial" w:eastAsia="Arial" w:hAnsi="Arial"/>
                <w:sz w:val="14"/>
                <w:szCs w:val="14"/>
                <w:b w:val="1"/>
                <w:bCs w:val="1"/>
                <w:color w:val="auto"/>
              </w:rPr>
              <w:t>Amortization of unrecognized actuarial loss (gain)</w:t>
            </w:r>
          </w:p>
        </w:tc>
        <w:tc>
          <w:tcPr>
            <w:tcW w:w="138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318</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(328</w:t>
            </w: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70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recognized in other comprehensive loss (income)</w:t>
            </w:r>
          </w:p>
        </w:tc>
        <w:tc>
          <w:tcPr>
            <w:tcW w:w="1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423</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116</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539</w:t>
            </w:r>
          </w:p>
        </w:tc>
        <w:tc>
          <w:tcPr>
            <w:tcW w:w="160" w:type="dxa"/>
            <w:vAlign w:val="bottom"/>
            <w:shd w:val="clear" w:color="auto" w:fill="CCEEFF"/>
          </w:tcPr>
          <w:p>
            <w:pPr>
              <w:spacing w:after="0"/>
              <w:rPr>
                <w:sz w:val="13"/>
                <w:szCs w:val="13"/>
                <w:color w:val="auto"/>
              </w:rPr>
            </w:pPr>
          </w:p>
        </w:tc>
      </w:tr>
      <w:tr>
        <w:trPr>
          <w:trHeight w:val="27"/>
        </w:trPr>
        <w:tc>
          <w:tcPr>
            <w:tcW w:w="70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recognized in net periodic benefit cost and other comprehensive (income) loss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1,345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2,059</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2010</w:t>
            </w:r>
          </w:p>
        </w:tc>
        <w:tc>
          <w:tcPr>
            <w:tcW w:w="1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Net (gain) loss</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258</w:t>
            </w: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Curtailment gain</w:t>
            </w:r>
          </w:p>
        </w:tc>
        <w:tc>
          <w:tcPr>
            <w:tcW w:w="1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(578)</w:t>
            </w:r>
          </w:p>
        </w:tc>
      </w:tr>
      <w:tr>
        <w:trPr>
          <w:trHeight w:val="162"/>
        </w:trPr>
        <w:tc>
          <w:tcPr>
            <w:tcW w:w="7080" w:type="dxa"/>
            <w:vAlign w:val="bottom"/>
            <w:gridSpan w:val="2"/>
          </w:tcPr>
          <w:p>
            <w:pPr>
              <w:spacing w:after="0"/>
              <w:rPr>
                <w:sz w:val="20"/>
                <w:szCs w:val="20"/>
                <w:color w:val="auto"/>
              </w:rPr>
            </w:pPr>
            <w:r>
              <w:rPr>
                <w:rFonts w:ascii="Arial" w:cs="Arial" w:eastAsia="Arial" w:hAnsi="Arial"/>
                <w:sz w:val="14"/>
                <w:szCs w:val="14"/>
                <w:color w:val="auto"/>
              </w:rPr>
              <w:t>Amortization of unrecognized prior service (credit) cost</w:t>
            </w:r>
          </w:p>
        </w:tc>
        <w:tc>
          <w:tcPr>
            <w:tcW w:w="1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65</w:t>
            </w: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unrecognized actuarial gain</w:t>
            </w:r>
          </w:p>
        </w:tc>
        <w:tc>
          <w:tcPr>
            <w:tcW w:w="1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(426)</w:t>
            </w:r>
          </w:p>
        </w:tc>
      </w:tr>
      <w:tr>
        <w:trPr>
          <w:trHeight w:val="27"/>
        </w:trPr>
        <w:tc>
          <w:tcPr>
            <w:tcW w:w="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77"/>
        </w:trPr>
        <w:tc>
          <w:tcPr>
            <w:tcW w:w="7080" w:type="dxa"/>
            <w:vAlign w:val="bottom"/>
            <w:gridSpan w:val="2"/>
          </w:tcPr>
          <w:p>
            <w:pPr>
              <w:spacing w:after="0"/>
              <w:rPr>
                <w:sz w:val="20"/>
                <w:szCs w:val="20"/>
                <w:color w:val="auto"/>
              </w:rPr>
            </w:pPr>
            <w:r>
              <w:rPr>
                <w:rFonts w:ascii="Arial" w:cs="Arial" w:eastAsia="Arial" w:hAnsi="Arial"/>
                <w:sz w:val="14"/>
                <w:szCs w:val="14"/>
                <w:color w:val="auto"/>
              </w:rPr>
              <w:t>Total recognized in other comprehensive (income) loss</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(1,396)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(681)</w:t>
            </w: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Total recognized in net periodic benefit cost and other comprehensive (income) loss</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(355)</w:t>
            </w:r>
          </w:p>
        </w:tc>
      </w:tr>
      <w:tr>
        <w:trPr>
          <w:trHeight w:val="27"/>
        </w:trPr>
        <w:tc>
          <w:tcPr>
            <w:tcW w:w="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440" w:firstLine="143"/>
        <w:spacing w:after="0" w:line="239" w:lineRule="auto"/>
        <w:rPr>
          <w:sz w:val="20"/>
          <w:szCs w:val="20"/>
          <w:color w:val="auto"/>
        </w:rPr>
      </w:pPr>
      <w:r>
        <w:rPr>
          <w:rFonts w:ascii="Arial" w:cs="Arial" w:eastAsia="Arial" w:hAnsi="Arial"/>
          <w:sz w:val="18"/>
          <w:szCs w:val="18"/>
          <w:color w:val="auto"/>
        </w:rPr>
        <w:t>The company has omitted the remaining disclosures for its defined benefit plans and postretirement healthcare plan as the company deems these plans to be immaterial to its consolidated financial position and results of operations.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12</w:t>
      </w:r>
      <w:r>
        <w:rPr>
          <w:sz w:val="20"/>
          <w:szCs w:val="20"/>
          <w:color w:val="auto"/>
        </w:rPr>
        <w:tab/>
      </w:r>
      <w:r>
        <w:rPr>
          <w:rFonts w:ascii="Arial" w:cs="Arial" w:eastAsia="Arial" w:hAnsi="Arial"/>
          <w:sz w:val="19"/>
          <w:szCs w:val="19"/>
          <w:b w:val="1"/>
          <w:bCs w:val="1"/>
          <w:color w:val="auto"/>
        </w:rPr>
        <w:t>SEGMENT DATA</w:t>
      </w:r>
    </w:p>
    <w:p>
      <w:pPr>
        <w:spacing w:after="0" w:line="27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company's businesses are organized, managed, and internally grouped into segments based on differences in products and services. Segment selection was based on the manner in which management organizes segments for making operating decisions and assessing performance. The company has identified eight operating segments and has aggregated those segments into three reportable segments: Professional, Residential, and Distribution. The aggregation of the company's segments is based on the segments having the following similarities: economic characteristics, types of products and services, types of production processes, type or class of customers, and method of distribution. The company's Distribution segment, which consists of company-owned domestic distributorships, has been combined with the company's corporate activities and elimination of intersegment revenues and expenses and is shown as "Other" due to the insignificance of the segment.</w:t>
      </w:r>
    </w:p>
    <w:p>
      <w:pPr>
        <w:spacing w:after="0" w:line="185" w:lineRule="exact"/>
        <w:rPr>
          <w:sz w:val="20"/>
          <w:szCs w:val="20"/>
          <w:color w:val="auto"/>
        </w:rPr>
      </w:pPr>
    </w:p>
    <w:p>
      <w:pPr>
        <w:ind w:right="160" w:firstLine="143"/>
        <w:spacing w:after="0" w:line="236" w:lineRule="auto"/>
        <w:rPr>
          <w:sz w:val="20"/>
          <w:szCs w:val="20"/>
          <w:color w:val="auto"/>
        </w:rPr>
      </w:pPr>
      <w:r>
        <w:rPr>
          <w:rFonts w:ascii="Arial" w:cs="Arial" w:eastAsia="Arial" w:hAnsi="Arial"/>
          <w:sz w:val="18"/>
          <w:szCs w:val="18"/>
          <w:color w:val="auto"/>
        </w:rPr>
        <w:t>The Professional business segment consists of turf and landscape equipment and irrigation products. Turf and landscape equipment products include sports fields and grounds maintenance equipment, golf course mowing and maintenance equipment, landscape contractor mowing equipment, landscape creation and renovation equipment, lighting products, and other maintenance equipment. Irrigation products consist of sprinkler heads, electric and hydraulic valves, controllers, computer irrigation central control systems, and micro-irrigation drip tape and hose products. Professional business segment products are sold mainly through a network of distributors and dealers to professional users engaged in maintaining golf courses, sports fields, municipal properties, agricultural fields, and residential and commercial landscapes, as well as directly to government customers, rental companies, and large retailers.</w:t>
      </w:r>
    </w:p>
    <w:p>
      <w:pPr>
        <w:spacing w:after="0" w:line="209" w:lineRule="exact"/>
        <w:rPr>
          <w:sz w:val="20"/>
          <w:szCs w:val="20"/>
          <w:color w:val="auto"/>
        </w:rPr>
      </w:pPr>
    </w:p>
    <w:p>
      <w:pPr>
        <w:ind w:right="340" w:firstLine="143"/>
        <w:spacing w:after="0" w:line="237" w:lineRule="auto"/>
        <w:rPr>
          <w:sz w:val="20"/>
          <w:szCs w:val="20"/>
          <w:color w:val="auto"/>
        </w:rPr>
      </w:pPr>
      <w:r>
        <w:rPr>
          <w:rFonts w:ascii="Arial" w:cs="Arial" w:eastAsia="Arial" w:hAnsi="Arial"/>
          <w:sz w:val="18"/>
          <w:szCs w:val="18"/>
          <w:color w:val="auto"/>
        </w:rPr>
        <w:t>The Residential business segment consists of walk power mowers, riding mowers, snow throwers, replacement parts, and home solutions products, including trimmers, blowers, blower-vacuums, and underground and hose-end retail irrigation products sold in Australia. Residential business segment products are sold to homeowners through a network of distributors and dealers, and through a broad array of home centers, hardware retailers, and mass retailers, as well as over the Internet.</w:t>
      </w:r>
    </w:p>
    <w:p>
      <w:pPr>
        <w:spacing w:after="0" w:line="209" w:lineRule="exact"/>
        <w:rPr>
          <w:sz w:val="20"/>
          <w:szCs w:val="20"/>
          <w:color w:val="auto"/>
        </w:rPr>
      </w:pPr>
    </w:p>
    <w:p>
      <w:pPr>
        <w:ind w:right="620" w:firstLine="143"/>
        <w:spacing w:after="0" w:line="239" w:lineRule="auto"/>
        <w:rPr>
          <w:sz w:val="20"/>
          <w:szCs w:val="20"/>
          <w:color w:val="auto"/>
        </w:rPr>
      </w:pPr>
      <w:r>
        <w:rPr>
          <w:rFonts w:ascii="Arial" w:cs="Arial" w:eastAsia="Arial" w:hAnsi="Arial"/>
          <w:sz w:val="18"/>
          <w:szCs w:val="18"/>
          <w:color w:val="auto"/>
        </w:rPr>
        <w:t>The Other segment consists of the company's distribution segment and corporate activities and elimination of intersegment revenues and expenses. Corporate activities include general corporate</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0" w:name="page61"/>
    <w:bookmarkEnd w:id="60"/>
    <w:p>
      <w:pPr>
        <w:ind w:right="60"/>
        <w:spacing w:after="0" w:line="239" w:lineRule="auto"/>
        <w:rPr>
          <w:sz w:val="20"/>
          <w:szCs w:val="20"/>
          <w:color w:val="auto"/>
        </w:rPr>
      </w:pPr>
      <w:r>
        <w:rPr>
          <w:rFonts w:ascii="Arial" w:cs="Arial" w:eastAsia="Arial" w:hAnsi="Arial"/>
          <w:sz w:val="18"/>
          <w:szCs w:val="18"/>
          <w:color w:val="auto"/>
        </w:rPr>
        <w:t>expenditures (finance, human resources, legal, information services, public relations, and similar activities) and other unallocated corporate assets and liabilities, such as corporate facilities, parts inventory, and deferred tax assets.</w:t>
      </w:r>
    </w:p>
    <w:p>
      <w:pPr>
        <w:spacing w:after="0" w:line="209"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(expense), net. Operating loss for the Other segment includes earnings (loss) from domestic wholly owned distribution companies, corporate activities, other income (expense),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56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Fiscal years ended</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60" w:type="dxa"/>
            <w:vAlign w:val="bottom"/>
            <w:gridSpan w:val="5"/>
          </w:tcPr>
          <w:p>
            <w:pPr>
              <w:spacing w:after="0"/>
              <w:rPr>
                <w:sz w:val="20"/>
                <w:szCs w:val="20"/>
                <w:color w:val="auto"/>
              </w:rPr>
            </w:pPr>
            <w:r>
              <w:rPr>
                <w:rFonts w:ascii="Arial" w:cs="Arial" w:eastAsia="Arial" w:hAnsi="Arial"/>
                <w:sz w:val="14"/>
                <w:szCs w:val="14"/>
                <w:color w:val="auto"/>
              </w:rPr>
              <w:t>October 31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Professional</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w w:val="98"/>
              </w:rPr>
              <w:t>Residential</w:t>
            </w:r>
          </w:p>
        </w:tc>
        <w:tc>
          <w:tcPr>
            <w:tcW w:w="200" w:type="dxa"/>
            <w:vAlign w:val="bottom"/>
          </w:tcPr>
          <w:p>
            <w:pPr>
              <w:spacing w:after="0"/>
              <w:rPr>
                <w:sz w:val="15"/>
                <w:szCs w:val="15"/>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Other</w:t>
            </w:r>
          </w:p>
        </w:tc>
        <w:tc>
          <w:tcPr>
            <w:tcW w:w="980" w:type="dxa"/>
            <w:vAlign w:val="bottom"/>
            <w:gridSpan w:val="4"/>
          </w:tcPr>
          <w:p>
            <w:pPr>
              <w:ind w:left="5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1,239,068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623,889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20,996</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$1,883,953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Intersegment gross sales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35,539</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3,560</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(39,099)</w:t>
            </w:r>
          </w:p>
        </w:tc>
        <w:tc>
          <w:tcPr>
            <w:tcW w:w="62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Earnings (loss) before income taxes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205,009</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54,410</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(84,593)</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174,826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497,388</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202,222</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171,053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870,663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Capital expenditures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43,933</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5,615</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7,899</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57,447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Depreciation and amortization</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31,380</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9,846</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7,280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48,506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560" w:type="dxa"/>
            <w:vAlign w:val="bottom"/>
            <w:gridSpan w:val="5"/>
          </w:tcPr>
          <w:p>
            <w:pPr>
              <w:spacing w:after="0" w:line="155"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1,085,457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589,677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15,244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$1,690,378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5"/>
          </w:tcPr>
          <w:p>
            <w:pPr>
              <w:spacing w:after="0"/>
              <w:rPr>
                <w:sz w:val="20"/>
                <w:szCs w:val="20"/>
                <w:color w:val="auto"/>
              </w:rPr>
            </w:pPr>
            <w:r>
              <w:rPr>
                <w:rFonts w:ascii="Arial" w:cs="Arial" w:eastAsia="Arial" w:hAnsi="Arial"/>
                <w:sz w:val="14"/>
                <w:szCs w:val="14"/>
                <w:color w:val="auto"/>
              </w:rPr>
              <w:t>Intersegment gross sales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17,271</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487</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(17,758)</w:t>
            </w:r>
          </w:p>
        </w:tc>
        <w:tc>
          <w:tcPr>
            <w:tcW w:w="620" w:type="dxa"/>
            <w:vAlign w:val="bottom"/>
          </w:tcPr>
          <w:p>
            <w:pPr>
              <w:spacing w:after="0"/>
              <w:rPr>
                <w:sz w:val="14"/>
                <w:szCs w:val="1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173,752</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57,956</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(90,440)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141,268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5"/>
          </w:tcPr>
          <w:p>
            <w:pPr>
              <w:spacing w:after="0"/>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437,987</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173,919</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w w:val="98"/>
              </w:rPr>
              <w:t>273,716</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885,622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34,017</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8,599</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6,083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48,699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560" w:type="dxa"/>
            <w:vAlign w:val="bottom"/>
            <w:gridSpan w:val="5"/>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27,261</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10,259</w:t>
            </w:r>
          </w:p>
        </w:tc>
        <w:tc>
          <w:tcPr>
            <w:tcW w:w="200" w:type="dxa"/>
            <w:vAlign w:val="bottom"/>
          </w:tcPr>
          <w:p>
            <w:pPr>
              <w:spacing w:after="0"/>
              <w:rPr>
                <w:sz w:val="15"/>
                <w:szCs w:val="15"/>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7,491</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45,011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4"/>
                <w:szCs w:val="14"/>
                <w:color w:val="auto"/>
              </w:rPr>
              <w:t>2009</w:t>
            </w: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5"/>
          </w:tcPr>
          <w:p>
            <w:pPr>
              <w:spacing w:after="0"/>
              <w:rPr>
                <w:sz w:val="20"/>
                <w:szCs w:val="20"/>
                <w:color w:val="auto"/>
              </w:rPr>
            </w:pPr>
            <w:r>
              <w:rPr>
                <w:rFonts w:ascii="Arial" w:cs="Arial" w:eastAsia="Arial" w:hAnsi="Arial"/>
                <w:sz w:val="14"/>
                <w:szCs w:val="14"/>
                <w:color w:val="auto"/>
              </w:rPr>
              <w:t>Net sales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965,935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532,707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24,805</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$1,523,447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Intersegment gross sales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20,208</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(21,287)</w:t>
            </w:r>
          </w:p>
        </w:tc>
        <w:tc>
          <w:tcPr>
            <w:tcW w:w="62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560" w:type="dxa"/>
            <w:vAlign w:val="bottom"/>
            <w:gridSpan w:val="5"/>
          </w:tcPr>
          <w:p>
            <w:pPr>
              <w:spacing w:after="0"/>
              <w:rPr>
                <w:sz w:val="20"/>
                <w:szCs w:val="20"/>
                <w:color w:val="auto"/>
              </w:rPr>
            </w:pPr>
            <w:r>
              <w:rPr>
                <w:rFonts w:ascii="Arial" w:cs="Arial" w:eastAsia="Arial" w:hAnsi="Arial"/>
                <w:sz w:val="14"/>
                <w:szCs w:val="14"/>
                <w:color w:val="auto"/>
              </w:rPr>
              <w:t>Earnings (loss) before income taxes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127,609</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46,351</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(78,172)</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95,788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418,806</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171,892</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98"/>
              </w:rPr>
              <w:t>281,984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872,682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5"/>
          </w:tcPr>
          <w:p>
            <w:pPr>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25,871</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7,531</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4,537</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37,939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25,197</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11,040</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8,298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44,535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540" w:type="dxa"/>
            <w:vAlign w:val="bottom"/>
            <w:gridSpan w:val="4"/>
          </w:tcPr>
          <w:p>
            <w:pPr>
              <w:ind w:left="40"/>
              <w:spacing w:after="0"/>
              <w:rPr>
                <w:sz w:val="20"/>
                <w:szCs w:val="20"/>
                <w:color w:val="auto"/>
              </w:rPr>
            </w:pPr>
            <w:r>
              <w:rPr>
                <w:rFonts w:ascii="Arial" w:cs="Arial" w:eastAsia="Arial" w:hAnsi="Arial"/>
                <w:sz w:val="18"/>
                <w:szCs w:val="18"/>
                <w:color w:val="auto"/>
                <w:w w:val="97"/>
              </w:rPr>
              <w:t>The following table presents the details of the other segment operating loss before income taxes: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8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3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Corporate expenses</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$(72,726)</w:t>
            </w:r>
          </w:p>
        </w:tc>
        <w:tc>
          <w:tcPr>
            <w:tcW w:w="800" w:type="dxa"/>
            <w:vAlign w:val="bottom"/>
            <w:gridSpan w:val="3"/>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$(74,758)</w:t>
            </w:r>
          </w:p>
        </w:tc>
        <w:tc>
          <w:tcPr>
            <w:tcW w:w="780" w:type="dxa"/>
            <w:vAlign w:val="bottom"/>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$(70,802)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(16,970)</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w w:val="95"/>
              </w:rPr>
              <w:t>(17,113)</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(17,578)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Finance charge revenue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60" w:type="dxa"/>
            <w:vAlign w:val="bottom"/>
            <w:tcBorders>
              <w:lef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4"/>
                <w:szCs w:val="14"/>
                <w:b w:val="1"/>
                <w:bCs w:val="1"/>
                <w:color w:val="auto"/>
              </w:rPr>
              <w:t>Elimination of corporate financing expense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7,052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5,103</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w:t>
            </w:r>
          </w:p>
        </w:tc>
        <w:tc>
          <w:tcPr>
            <w:tcW w:w="160" w:type="dxa"/>
            <w:vAlign w:val="bottom"/>
            <w:tcBorders>
              <w:lef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$(84,593)</w:t>
            </w:r>
          </w:p>
        </w:tc>
        <w:tc>
          <w:tcPr>
            <w:tcW w:w="800" w:type="dxa"/>
            <w:vAlign w:val="bottom"/>
            <w:gridSpan w:val="3"/>
          </w:tcPr>
          <w:p>
            <w:pPr>
              <w:jc w:val="right"/>
              <w:ind w:right="8"/>
              <w:spacing w:after="0"/>
              <w:rPr>
                <w:sz w:val="20"/>
                <w:szCs w:val="20"/>
                <w:color w:val="auto"/>
              </w:rPr>
            </w:pPr>
            <w:r>
              <w:rPr>
                <w:rFonts w:ascii="Arial" w:cs="Arial" w:eastAsia="Arial" w:hAnsi="Arial"/>
                <w:sz w:val="14"/>
                <w:szCs w:val="14"/>
                <w:color w:val="auto"/>
              </w:rPr>
              <w:t>$(90,440)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$(78,172)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7540" w:type="dxa"/>
            <w:vAlign w:val="bottom"/>
            <w:gridSpan w:val="4"/>
          </w:tcPr>
          <w:p>
            <w:pPr>
              <w:ind w:left="40"/>
              <w:spacing w:after="0"/>
              <w:rPr>
                <w:sz w:val="20"/>
                <w:szCs w:val="20"/>
                <w:color w:val="auto"/>
              </w:rPr>
            </w:pPr>
            <w:r>
              <w:rPr>
                <w:rFonts w:ascii="Arial" w:cs="Arial" w:eastAsia="Arial" w:hAnsi="Arial"/>
                <w:sz w:val="18"/>
                <w:szCs w:val="18"/>
                <w:color w:val="auto"/>
              </w:rPr>
              <w:t>The following table presents net sales for groups of similar products and services: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0" w:type="dxa"/>
            <w:vAlign w:val="bottom"/>
            <w:tcBorders>
              <w:bottom w:val="single" w:sz="8" w:color="auto"/>
            </w:tcBorders>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0" w:type="dxa"/>
            <w:vAlign w:val="bottom"/>
            <w:gridSpan w:val="3"/>
          </w:tcPr>
          <w:p>
            <w:pPr>
              <w:spacing w:after="0"/>
              <w:rPr>
                <w:sz w:val="20"/>
                <w:szCs w:val="20"/>
                <w:color w:val="auto"/>
              </w:rPr>
            </w:pPr>
            <w:r>
              <w:rPr>
                <w:rFonts w:ascii="Arial" w:cs="Arial" w:eastAsia="Arial" w:hAnsi="Arial"/>
                <w:sz w:val="14"/>
                <w:szCs w:val="14"/>
                <w:color w:val="auto"/>
              </w:rPr>
              <w:t>Fiscal years ended October 31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2009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3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Equipment</w:t>
            </w:r>
          </w:p>
        </w:tc>
        <w:tc>
          <w:tcPr>
            <w:tcW w:w="10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$1,529,470</w:t>
            </w:r>
          </w:p>
        </w:tc>
        <w:tc>
          <w:tcPr>
            <w:tcW w:w="102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$1,371,615</w:t>
            </w:r>
          </w:p>
        </w:tc>
        <w:tc>
          <w:tcPr>
            <w:tcW w:w="88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$1,227,023</w:t>
            </w:r>
          </w:p>
        </w:tc>
        <w:tc>
          <w:tcPr>
            <w:tcW w:w="40" w:type="dxa"/>
            <w:vAlign w:val="bottom"/>
            <w:tcBorders>
              <w:left w:val="single" w:sz="8" w:color="CCEE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Irrigation and lighting</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354,483</w:t>
            </w:r>
          </w:p>
        </w:tc>
        <w:tc>
          <w:tcPr>
            <w:tcW w:w="320" w:type="dxa"/>
            <w:vAlign w:val="bottom"/>
          </w:tcPr>
          <w:p>
            <w:pPr>
              <w:spacing w:after="0"/>
              <w:rPr>
                <w:sz w:val="16"/>
                <w:szCs w:val="16"/>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318,763</w:t>
            </w:r>
          </w:p>
        </w:tc>
        <w:tc>
          <w:tcPr>
            <w:tcW w:w="100" w:type="dxa"/>
            <w:vAlign w:val="bottom"/>
          </w:tcPr>
          <w:p>
            <w:pPr>
              <w:spacing w:after="0"/>
              <w:rPr>
                <w:sz w:val="16"/>
                <w:szCs w:val="16"/>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296,424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3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$1,883,953</w:t>
            </w:r>
          </w:p>
        </w:tc>
        <w:tc>
          <w:tcPr>
            <w:tcW w:w="102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$1,690,378</w:t>
            </w:r>
          </w:p>
        </w:tc>
        <w:tc>
          <w:tcPr>
            <w:tcW w:w="88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$1,523,447</w:t>
            </w:r>
          </w:p>
        </w:tc>
        <w:tc>
          <w:tcPr>
            <w:tcW w:w="40" w:type="dxa"/>
            <w:vAlign w:val="bottom"/>
            <w:tcBorders>
              <w:left w:val="single" w:sz="8" w:color="CCEE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Sales to one customer accounted for 11 percent of consolidated net sales in fiscal 2011, 13 percent in fiscal 2010, and 14 percent in fiscal 2009.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34"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net property, plant, and equipment, which is determined based on physical location in addition to allocated capital tooling from U.S. plant facilities.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46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United</w:t>
            </w: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Foreign</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7280" w:type="dxa"/>
            <w:vAlign w:val="bottom"/>
            <w:gridSpan w:val="3"/>
          </w:tcPr>
          <w:p>
            <w:pPr>
              <w:ind w:left="100"/>
              <w:spacing w:after="0"/>
              <w:rPr>
                <w:sz w:val="20"/>
                <w:szCs w:val="20"/>
                <w:color w:val="auto"/>
              </w:rPr>
            </w:pPr>
            <w:r>
              <w:rPr>
                <w:rFonts w:ascii="Arial" w:cs="Arial" w:eastAsia="Arial" w:hAnsi="Arial"/>
                <w:sz w:val="14"/>
                <w:szCs w:val="14"/>
                <w:color w:val="auto"/>
              </w:rPr>
              <w:t>Fiscal years ended October 31</w:t>
            </w:r>
          </w:p>
        </w:tc>
        <w:tc>
          <w:tcPr>
            <w:tcW w:w="2220" w:type="dxa"/>
            <w:vAlign w:val="bottom"/>
          </w:tcPr>
          <w:p>
            <w:pPr>
              <w:jc w:val="right"/>
              <w:ind w:right="8"/>
              <w:spacing w:after="0"/>
              <w:rPr>
                <w:sz w:val="20"/>
                <w:szCs w:val="20"/>
                <w:color w:val="auto"/>
              </w:rPr>
            </w:pPr>
            <w:r>
              <w:rPr>
                <w:rFonts w:ascii="Arial" w:cs="Arial" w:eastAsia="Arial" w:hAnsi="Arial"/>
                <w:sz w:val="14"/>
                <w:szCs w:val="14"/>
                <w:color w:val="auto"/>
              </w:rPr>
              <w:t>States</w:t>
            </w: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Countries</w:t>
            </w:r>
          </w:p>
        </w:tc>
        <w:tc>
          <w:tcPr>
            <w:tcW w:w="980" w:type="dxa"/>
            <w:vAlign w:val="bottom"/>
            <w:gridSpan w:val="2"/>
          </w:tcPr>
          <w:p>
            <w:pPr>
              <w:ind w:left="500"/>
              <w:spacing w:after="0"/>
              <w:rPr>
                <w:sz w:val="20"/>
                <w:szCs w:val="20"/>
                <w:color w:val="auto"/>
              </w:rPr>
            </w:pPr>
            <w:r>
              <w:rPr>
                <w:rFonts w:ascii="Arial" w:cs="Arial" w:eastAsia="Arial" w:hAnsi="Arial"/>
                <w:sz w:val="14"/>
                <w:szCs w:val="14"/>
                <w:color w:val="auto"/>
              </w:rPr>
              <w:t>Total</w:t>
            </w:r>
          </w:p>
        </w:tc>
      </w:tr>
      <w:tr>
        <w:trPr>
          <w:trHeight w:val="162"/>
        </w:trPr>
        <w:tc>
          <w:tcPr>
            <w:tcW w:w="10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2011</w:t>
            </w:r>
          </w:p>
        </w:tc>
        <w:tc>
          <w:tcPr>
            <w:tcW w:w="6460" w:type="dxa"/>
            <w:vAlign w:val="bottom"/>
            <w:tcBorders>
              <w:top w:val="single" w:sz="8" w:color="auto"/>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6460" w:type="dxa"/>
            <w:vAlign w:val="bottom"/>
          </w:tcPr>
          <w:p>
            <w:pPr>
              <w:spacing w:after="0"/>
              <w:rPr>
                <w:sz w:val="14"/>
                <w:szCs w:val="14"/>
                <w:color w:val="auto"/>
              </w:rPr>
            </w:pPr>
          </w:p>
        </w:tc>
        <w:tc>
          <w:tcPr>
            <w:tcW w:w="2220" w:type="dxa"/>
            <w:vAlign w:val="bottom"/>
          </w:tcPr>
          <w:p>
            <w:pPr>
              <w:jc w:val="right"/>
              <w:ind w:right="8"/>
              <w:spacing w:after="0"/>
              <w:rPr>
                <w:sz w:val="20"/>
                <w:szCs w:val="20"/>
                <w:color w:val="auto"/>
              </w:rPr>
            </w:pPr>
            <w:r>
              <w:rPr>
                <w:rFonts w:ascii="Arial" w:cs="Arial" w:eastAsia="Arial" w:hAnsi="Arial"/>
                <w:sz w:val="14"/>
                <w:szCs w:val="14"/>
                <w:b w:val="1"/>
                <w:bCs w:val="1"/>
                <w:color w:val="auto"/>
              </w:rPr>
              <w:t>$1,276,038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607,915</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$1,883,953</w:t>
            </w:r>
          </w:p>
        </w:tc>
        <w:tc>
          <w:tcPr>
            <w:tcW w:w="1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2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145,169</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45,971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191,140</w:t>
            </w:r>
          </w:p>
        </w:tc>
        <w:tc>
          <w:tcPr>
            <w:tcW w:w="160" w:type="dxa"/>
            <w:vAlign w:val="bottom"/>
            <w:shd w:val="clear" w:color="auto" w:fill="CCEEFF"/>
          </w:tcPr>
          <w:p>
            <w:pPr>
              <w:spacing w:after="0"/>
              <w:rPr>
                <w:sz w:val="14"/>
                <w:szCs w:val="14"/>
                <w:color w:val="auto"/>
              </w:rPr>
            </w:pPr>
          </w:p>
        </w:tc>
      </w:tr>
      <w:tr>
        <w:trPr>
          <w:trHeight w:val="27"/>
        </w:trPr>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8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2010</w:t>
            </w:r>
          </w:p>
        </w:tc>
        <w:tc>
          <w:tcPr>
            <w:tcW w:w="64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0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6460" w:type="dxa"/>
            <w:vAlign w:val="bottom"/>
            <w:shd w:val="clear" w:color="auto" w:fill="CCEEFF"/>
          </w:tcPr>
          <w:p>
            <w:pPr>
              <w:spacing w:after="0"/>
              <w:rPr>
                <w:sz w:val="14"/>
                <w:szCs w:val="14"/>
                <w:color w:val="auto"/>
              </w:rPr>
            </w:pPr>
          </w:p>
        </w:tc>
        <w:tc>
          <w:tcPr>
            <w:tcW w:w="2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$1,152,790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537,588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$1,690,378</w:t>
            </w:r>
          </w:p>
        </w:tc>
        <w:tc>
          <w:tcPr>
            <w:tcW w:w="160" w:type="dxa"/>
            <w:vAlign w:val="bottom"/>
            <w:shd w:val="clear" w:color="auto" w:fill="CCEEFF"/>
          </w:tcPr>
          <w:p>
            <w:pPr>
              <w:spacing w:after="0"/>
              <w:rPr>
                <w:sz w:val="14"/>
                <w:szCs w:val="14"/>
                <w:color w:val="auto"/>
              </w:rPr>
            </w:pPr>
          </w:p>
        </w:tc>
      </w:tr>
      <w:tr>
        <w:trPr>
          <w:trHeight w:val="183"/>
        </w:trPr>
        <w:tc>
          <w:tcPr>
            <w:tcW w:w="7280" w:type="dxa"/>
            <w:vAlign w:val="bottom"/>
            <w:gridSpan w:val="3"/>
          </w:tcPr>
          <w:p>
            <w:pPr>
              <w:ind w:left="100"/>
              <w:spacing w:after="0"/>
              <w:rPr>
                <w:sz w:val="20"/>
                <w:szCs w:val="20"/>
                <w:color w:val="auto"/>
              </w:rPr>
            </w:pPr>
            <w:r>
              <w:rPr>
                <w:rFonts w:ascii="Arial" w:cs="Arial" w:eastAsia="Arial" w:hAnsi="Arial"/>
                <w:sz w:val="14"/>
                <w:szCs w:val="14"/>
                <w:color w:val="auto"/>
              </w:rPr>
              <w:t>Long-lived assets</w:t>
            </w:r>
          </w:p>
        </w:tc>
        <w:tc>
          <w:tcPr>
            <w:tcW w:w="2220" w:type="dxa"/>
            <w:vAlign w:val="bottom"/>
          </w:tcPr>
          <w:p>
            <w:pPr>
              <w:jc w:val="right"/>
              <w:ind w:right="8"/>
              <w:spacing w:after="0"/>
              <w:rPr>
                <w:sz w:val="20"/>
                <w:szCs w:val="20"/>
                <w:color w:val="auto"/>
              </w:rPr>
            </w:pPr>
            <w:r>
              <w:rPr>
                <w:rFonts w:ascii="Arial" w:cs="Arial" w:eastAsia="Arial" w:hAnsi="Arial"/>
                <w:sz w:val="14"/>
                <w:szCs w:val="14"/>
                <w:color w:val="auto"/>
              </w:rPr>
              <w:t>145,409</w:t>
            </w: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27,998</w:t>
            </w:r>
          </w:p>
        </w:tc>
        <w:tc>
          <w:tcPr>
            <w:tcW w:w="820" w:type="dxa"/>
            <w:vAlign w:val="bottom"/>
          </w:tcPr>
          <w:p>
            <w:pPr>
              <w:jc w:val="right"/>
              <w:spacing w:after="0"/>
              <w:rPr>
                <w:sz w:val="20"/>
                <w:szCs w:val="20"/>
                <w:color w:val="auto"/>
              </w:rPr>
            </w:pPr>
            <w:r>
              <w:rPr>
                <w:rFonts w:ascii="Arial" w:cs="Arial" w:eastAsia="Arial" w:hAnsi="Arial"/>
                <w:sz w:val="14"/>
                <w:szCs w:val="14"/>
                <w:color w:val="auto"/>
              </w:rPr>
              <w:t>173,407</w:t>
            </w:r>
          </w:p>
        </w:tc>
        <w:tc>
          <w:tcPr>
            <w:tcW w:w="160" w:type="dxa"/>
            <w:vAlign w:val="bottom"/>
          </w:tcPr>
          <w:p>
            <w:pPr>
              <w:spacing w:after="0"/>
              <w:rPr>
                <w:sz w:val="15"/>
                <w:szCs w:val="15"/>
                <w:color w:val="auto"/>
              </w:rPr>
            </w:pPr>
          </w:p>
        </w:tc>
      </w:tr>
      <w:tr>
        <w:trPr>
          <w:trHeight w:val="162"/>
        </w:trPr>
        <w:tc>
          <w:tcPr>
            <w:tcW w:w="10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2009</w:t>
            </w:r>
          </w:p>
        </w:tc>
        <w:tc>
          <w:tcPr>
            <w:tcW w:w="6460" w:type="dxa"/>
            <w:vAlign w:val="bottom"/>
            <w:tcBorders>
              <w:top w:val="single" w:sz="8" w:color="auto"/>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820" w:type="dxa"/>
            <w:vAlign w:val="bottom"/>
            <w:gridSpan w:val="2"/>
          </w:tcPr>
          <w:p>
            <w:pPr>
              <w:ind w:left="100"/>
              <w:spacing w:after="0"/>
              <w:rPr>
                <w:sz w:val="20"/>
                <w:szCs w:val="20"/>
                <w:color w:val="auto"/>
              </w:rPr>
            </w:pPr>
            <w:r>
              <w:rPr>
                <w:rFonts w:ascii="Arial" w:cs="Arial" w:eastAsia="Arial" w:hAnsi="Arial"/>
                <w:sz w:val="14"/>
                <w:szCs w:val="14"/>
                <w:color w:val="auto"/>
              </w:rPr>
              <w:t>Net sales</w:t>
            </w:r>
          </w:p>
        </w:tc>
        <w:tc>
          <w:tcPr>
            <w:tcW w:w="6460" w:type="dxa"/>
            <w:vAlign w:val="bottom"/>
          </w:tcPr>
          <w:p>
            <w:pPr>
              <w:spacing w:after="0"/>
              <w:rPr>
                <w:sz w:val="14"/>
                <w:szCs w:val="14"/>
                <w:color w:val="auto"/>
              </w:rPr>
            </w:pPr>
          </w:p>
        </w:tc>
        <w:tc>
          <w:tcPr>
            <w:tcW w:w="2220" w:type="dxa"/>
            <w:vAlign w:val="bottom"/>
          </w:tcPr>
          <w:p>
            <w:pPr>
              <w:jc w:val="right"/>
              <w:ind w:right="8"/>
              <w:spacing w:after="0"/>
              <w:rPr>
                <w:sz w:val="20"/>
                <w:szCs w:val="20"/>
                <w:color w:val="auto"/>
              </w:rPr>
            </w:pPr>
            <w:r>
              <w:rPr>
                <w:rFonts w:ascii="Arial" w:cs="Arial" w:eastAsia="Arial" w:hAnsi="Arial"/>
                <w:sz w:val="14"/>
                <w:szCs w:val="14"/>
                <w:color w:val="auto"/>
              </w:rPr>
              <w:t>$1,036,253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487,194</w:t>
            </w:r>
          </w:p>
        </w:tc>
        <w:tc>
          <w:tcPr>
            <w:tcW w:w="820" w:type="dxa"/>
            <w:vAlign w:val="bottom"/>
          </w:tcPr>
          <w:p>
            <w:pPr>
              <w:jc w:val="right"/>
              <w:spacing w:after="0"/>
              <w:rPr>
                <w:sz w:val="20"/>
                <w:szCs w:val="20"/>
                <w:color w:val="auto"/>
              </w:rPr>
            </w:pPr>
            <w:r>
              <w:rPr>
                <w:rFonts w:ascii="Arial" w:cs="Arial" w:eastAsia="Arial" w:hAnsi="Arial"/>
                <w:sz w:val="14"/>
                <w:szCs w:val="14"/>
                <w:color w:val="auto"/>
              </w:rPr>
              <w:t>$1,523,447</w:t>
            </w:r>
          </w:p>
        </w:tc>
        <w:tc>
          <w:tcPr>
            <w:tcW w:w="1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2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142,045</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24,671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166,716</w:t>
            </w:r>
          </w:p>
        </w:tc>
        <w:tc>
          <w:tcPr>
            <w:tcW w:w="160" w:type="dxa"/>
            <w:vAlign w:val="bottom"/>
            <w:shd w:val="clear" w:color="auto" w:fill="CCEEFF"/>
          </w:tcPr>
          <w:p>
            <w:pPr>
              <w:spacing w:after="0"/>
              <w:rPr>
                <w:sz w:val="14"/>
                <w:szCs w:val="14"/>
                <w:color w:val="auto"/>
              </w:rPr>
            </w:pPr>
          </w:p>
        </w:tc>
      </w:tr>
      <w:tr>
        <w:trPr>
          <w:trHeight w:val="27"/>
        </w:trPr>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731"/>
        </w:trPr>
        <w:tc>
          <w:tcPr>
            <w:tcW w:w="820" w:type="dxa"/>
            <w:vAlign w:val="bottom"/>
            <w:gridSpan w:val="2"/>
          </w:tcPr>
          <w:p>
            <w:pPr>
              <w:spacing w:after="0"/>
              <w:rPr>
                <w:sz w:val="20"/>
                <w:szCs w:val="20"/>
                <w:color w:val="auto"/>
              </w:rPr>
            </w:pPr>
            <w:r>
              <w:rPr>
                <w:rFonts w:ascii="Arial" w:cs="Arial" w:eastAsia="Arial" w:hAnsi="Arial"/>
                <w:sz w:val="43"/>
                <w:szCs w:val="43"/>
                <w:b w:val="1"/>
                <w:bCs w:val="1"/>
                <w:color w:val="auto"/>
              </w:rPr>
              <w:t>13</w:t>
            </w:r>
          </w:p>
        </w:tc>
        <w:tc>
          <w:tcPr>
            <w:tcW w:w="6460" w:type="dxa"/>
            <w:vAlign w:val="bottom"/>
          </w:tcPr>
          <w:p>
            <w:pPr>
              <w:ind w:left="100"/>
              <w:spacing w:after="0"/>
              <w:rPr>
                <w:sz w:val="20"/>
                <w:szCs w:val="20"/>
                <w:color w:val="auto"/>
              </w:rPr>
            </w:pPr>
            <w:r>
              <w:rPr>
                <w:rFonts w:ascii="Arial" w:cs="Arial" w:eastAsia="Arial" w:hAnsi="Arial"/>
                <w:sz w:val="22"/>
                <w:szCs w:val="22"/>
                <w:b w:val="1"/>
                <w:bCs w:val="1"/>
                <w:color w:val="auto"/>
              </w:rPr>
              <w:t>COMMITMENTS AND CONTINGENT LIABILITIES</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Total rental expense for operating leases was $21,840, $19,401, and $20,108 for the fiscal years ended October 31, 2011, 2010, and 2009, respectively. As of October 31, 2011, future minimum lease payments under noncancelable operating leases amounted to $57,116 as follows: 2012, $13,572; 2013, $10,839; 2014, $7,396; 2015, $6,124; 2016, $3,781 and after 2016, $15,404.</w:t>
      </w:r>
    </w:p>
    <w:p>
      <w:pPr>
        <w:sectPr>
          <w:pgSz w:w="11900" w:h="16838" w:orient="portrait"/>
          <w:cols w:equalWidth="0" w:num="1">
            <w:col w:w="11400"/>
          </w:cols>
          <w:pgMar w:left="240" w:top="143" w:right="259" w:bottom="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143" w:right="259" w:bottom="0" w:gutter="0" w:footer="0" w:header="0"/>
          <w:type w:val="continuous"/>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During October 2009, Toro Credit Company sold its receivable portfolio to Red Iron, the company's joint venture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TCFIF. See Note 3 for additional information related to Red Iron. Some products sold to independent dealers in Australia finance their products with a third party finance company. This third party financing company purchased $21,146 of receivables from the company during fiscal 2011. As of October 31, 2011, $8,850 of receivables financed by the third party financing company, excluding Red Iron, was outstanding, and also includes outstanding receivables that were financed by third party sources before the establishment of Red Iron.</w:t>
      </w:r>
    </w:p>
    <w:p>
      <w:pPr>
        <w:spacing w:after="0" w:line="210" w:lineRule="exact"/>
        <w:rPr>
          <w:sz w:val="20"/>
          <w:szCs w:val="20"/>
          <w:color w:val="auto"/>
        </w:rPr>
      </w:pPr>
    </w:p>
    <w:p>
      <w:pPr>
        <w:ind w:right="460" w:firstLine="143"/>
        <w:spacing w:after="0" w:line="237" w:lineRule="auto"/>
        <w:rPr>
          <w:sz w:val="20"/>
          <w:szCs w:val="20"/>
          <w:color w:val="auto"/>
        </w:rPr>
      </w:pPr>
      <w:r>
        <w:rPr>
          <w:rFonts w:ascii="Arial" w:cs="Arial" w:eastAsia="Arial" w:hAnsi="Arial"/>
          <w:sz w:val="18"/>
          <w:szCs w:val="18"/>
          <w:color w:val="auto"/>
        </w:rPr>
        <w:t>The company also enters into limited inventory repurchase agreements with third party financing companies and Red Iron for receivables financed by third party financing companies and Red Iron. As of October 31, 2011, the company was contingently liable to repurchase up to a maximum amount of $10,406 of inventory related to receivables under these financing arrangements. The company has repurchased only immaterial amounts of inventory under these repurchase agreements.</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The company has agreements with third party financing companies to provide lease-financing options to golf course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sports fields and grounds equipment customers in the U.S. and Europe. During fiscal 2007, the company entered into an amended agreement with a third party financing company that eliminated the company's contingent liability for any residual value risk on the underlying equipment financed under this program. In addition, under the terms of the amended agreement, the company is only contingently liable for a portion of the credit collection risk for leases entered into prior to the effective date of the amended agreement. Based on actual losses and balances outstanding for leases entered into prior to the effective date of the amended agreement, the company does not anticipate that it would have any contingent liability for potential future losses.</w:t>
      </w:r>
    </w:p>
    <w:p>
      <w:pPr>
        <w:spacing w:after="0" w:line="211" w:lineRule="exact"/>
        <w:rPr>
          <w:sz w:val="20"/>
          <w:szCs w:val="20"/>
          <w:color w:val="auto"/>
        </w:rPr>
      </w:pPr>
    </w:p>
    <w:p>
      <w:pPr>
        <w:ind w:right="60" w:firstLine="146"/>
        <w:spacing w:after="0" w:line="238" w:lineRule="auto"/>
        <w:rPr>
          <w:sz w:val="20"/>
          <w:szCs w:val="20"/>
          <w:color w:val="auto"/>
        </w:rPr>
      </w:pPr>
      <w:r>
        <w:rPr>
          <w:rFonts w:ascii="Arial" w:cs="Arial" w:eastAsia="Arial" w:hAnsi="Arial"/>
          <w:sz w:val="18"/>
          <w:szCs w:val="18"/>
          <w:color w:val="auto"/>
        </w:rPr>
        <w:t>From time to time, the company enters into agreements where it provides recourse to third party finance companies in the event of default by the customer for lease payments to the third party finance company. The company's maximum exposure for credit collection as of October 31, 2011 was $2,270.</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October 31, 2011, the company had $17,085 of noncancelable purchase commitments with some suppliers for materials and supplies as part of the normal course of business.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3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2011 and 2010, the company had $16,444 and $13,269, respectively, in outstanding letters of credit.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is party to litigation in the ordinary course of business. Litigation occasionally involves claims for punitive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pacing w:after="0" w:line="189"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Beginning in June 2004, various plaintiffs filed class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lawsuits in state and federal courts throughout the country against the company and other defendants alleging that the horsepower labels on the products the plaintiffs purchased were inaccurate. The plaintiffs (i) asserted statutory and common law claims, and (ii) sought an injunction, unspecified compensatory and punitive damages, treble damages, and attorneys' fees. In December 2008, all lawsuits were transferred to the United States District Court for the Eastern District of Wisconsin (the "Court") for coordinated or consolidated pretrial proceedings.</w:t>
      </w:r>
    </w:p>
    <w:p>
      <w:pPr>
        <w:spacing w:after="0" w:line="180" w:lineRule="exact"/>
        <w:rPr>
          <w:sz w:val="20"/>
          <w:szCs w:val="20"/>
          <w:color w:val="auto"/>
        </w:rPr>
      </w:pPr>
    </w:p>
    <w:p>
      <w:pPr>
        <w:ind w:firstLine="143"/>
        <w:spacing w:after="0" w:line="269" w:lineRule="auto"/>
        <w:rPr>
          <w:sz w:val="20"/>
          <w:szCs w:val="20"/>
          <w:color w:val="auto"/>
        </w:rPr>
      </w:pPr>
      <w:r>
        <w:rPr>
          <w:rFonts w:ascii="Arial" w:cs="Arial" w:eastAsia="Arial" w:hAnsi="Arial"/>
          <w:sz w:val="16"/>
          <w:szCs w:val="16"/>
          <w:color w:val="auto"/>
        </w:rPr>
        <w:t>The company and certain other defendants entered into a settlement agreement with plaintiffs in February 2010, the Court approved the company's settlement and certified the settlement class in August 2010, and the company's settlement agreement became final in February 2011. The settlement class consists of all persons in the United States who, beginning January 1, 1994 and through April 12, 2010, purchased a lawnmower containing a two-stroke or four-stroke gas combustible engine up to 30 horsepower that was manufactured or sold by the company and other defendants, and the company's settlement agreement provides for, among other things, (i) a monetary settlement, (ii) an additional warranty period for certain engines that are subject to the litigation, and (iii) injunctive relief relating to power rating labeling practices. The expected costs of the company's performance of its settlement obligations are consistent with accruals established in prior periods and, as such, management does not currently expect that the settlement will have a material adverse effect on the company's consolidated operating results or financial condition.</w:t>
      </w:r>
    </w:p>
    <w:p>
      <w:pPr>
        <w:sectPr>
          <w:pgSz w:w="11900" w:h="16838" w:orient="portrait"/>
          <w:cols w:equalWidth="0" w:num="1">
            <w:col w:w="11420"/>
          </w:cols>
          <w:pgMar w:left="240" w:top="323" w:right="2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63" w:name="page64"/>
    <w:bookmarkEnd w:id="63"/>
    <w:p>
      <w:pPr>
        <w:ind w:right="460" w:firstLine="146"/>
        <w:spacing w:after="0" w:line="264" w:lineRule="auto"/>
        <w:rPr>
          <w:sz w:val="20"/>
          <w:szCs w:val="20"/>
          <w:color w:val="auto"/>
        </w:rPr>
      </w:pPr>
      <w:r>
        <w:rPr>
          <w:rFonts w:ascii="Arial" w:cs="Arial" w:eastAsia="Arial" w:hAnsi="Arial"/>
          <w:sz w:val="16"/>
          <w:szCs w:val="16"/>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w:t>
      </w:r>
    </w:p>
    <w:p>
      <w:pPr>
        <w:jc w:val="both"/>
        <w:ind w:right="180" w:firstLine="8"/>
        <w:spacing w:after="0" w:line="238" w:lineRule="auto"/>
        <w:tabs>
          <w:tab w:leader="none" w:pos="2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208"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Management continues to evaluate this Canadian litigation. In the event the company is unable to favorably resolve this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14</w:t>
      </w:r>
      <w:r>
        <w:rPr>
          <w:sz w:val="20"/>
          <w:szCs w:val="20"/>
          <w:color w:val="auto"/>
        </w:rPr>
        <w:tab/>
      </w:r>
      <w:r>
        <w:rPr>
          <w:rFonts w:ascii="Arial" w:cs="Arial" w:eastAsia="Arial" w:hAnsi="Arial"/>
          <w:sz w:val="21"/>
          <w:szCs w:val="21"/>
          <w:b w:val="1"/>
          <w:bCs w:val="1"/>
          <w:color w:val="auto"/>
        </w:rPr>
        <w:t>FINANCIAL INSTRUMENTS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the Professional and Residential business segments.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and cross currency swaps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is not to allow the use of derivatives for trading or speculative purposes. The company's primary foreign currency exchange rate exposures are with the Euro, the Australian dollar, the Canadian dollar, the British pound, the Mexican peso, the Japanese yen, and the Chinese Yuan against the U.S. dollar. The company also has exposure with the Romanian New Lei against the Euro and U.S. dollar as a result of its new manufacturing facility in Romania.</w:t>
      </w:r>
    </w:p>
    <w:p>
      <w:pPr>
        <w:spacing w:after="0" w:line="19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The company recognizes all derivative instruments as either assets or liabilities at fair value on the consolidated balance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sheet and formally documents relationships between cash flow hedging instruments and hedged items, as well as its risk-management objective and strategy for undertaking hedge transactions. This process includes linking all derivatives to the forecasted transactions, such as sales to third parties and foreign plant operations. Derivative instruments that are designated and qualify as a cash flow hedge, all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184" w:lineRule="exact"/>
        <w:rPr>
          <w:sz w:val="20"/>
          <w:szCs w:val="20"/>
          <w:color w:val="auto"/>
        </w:rPr>
      </w:pPr>
    </w:p>
    <w:p>
      <w:pPr>
        <w:ind w:firstLine="143"/>
        <w:spacing w:after="0" w:line="235" w:lineRule="auto"/>
        <w:rPr>
          <w:sz w:val="20"/>
          <w:szCs w:val="20"/>
          <w:color w:val="auto"/>
        </w:rPr>
      </w:pPr>
      <w:r>
        <w:rPr>
          <w:rFonts w:ascii="Arial" w:cs="Arial" w:eastAsia="Arial" w:hAnsi="Arial"/>
          <w:sz w:val="18"/>
          <w:szCs w:val="18"/>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other comprehensive income are recognized immediately in net earnings. In all situations in which hedge accounting is discontinued and the derivative remains outstanding, the company carries the derivative at its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4" w:name="page65"/>
    <w:bookmarkEnd w:id="64"/>
    <w:p>
      <w:pPr>
        <w:ind w:right="80"/>
        <w:spacing w:after="0" w:line="238" w:lineRule="auto"/>
        <w:rPr>
          <w:sz w:val="20"/>
          <w:szCs w:val="20"/>
          <w:color w:val="auto"/>
        </w:rPr>
      </w:pPr>
      <w:r>
        <w:rPr>
          <w:rFonts w:ascii="Arial" w:cs="Arial" w:eastAsia="Arial" w:hAnsi="Arial"/>
          <w:sz w:val="18"/>
          <w:szCs w:val="18"/>
          <w:color w:val="auto"/>
        </w:rPr>
        <w:t>fair value on the balance sheet, recognizing future changes in the fair value in other income (expense), net. For the fiscal years ended October 31, 2011 and 2010, there were no gains or losses on contracts reclassified into earnings as a result of the discontinuance of cash flow hedges. As of October 31, 2011, the notional amount outstanding of forward contracts designated as cash flow hedges was $122,840.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Derivatives Not Designated as Hedging Instruments. </w:t>
      </w:r>
      <w:r>
        <w:rPr>
          <w:rFonts w:ascii="Arial" w:cs="Arial" w:eastAsia="Arial" w:hAnsi="Arial"/>
          <w:sz w:val="18"/>
          <w:szCs w:val="18"/>
          <w:color w:val="auto"/>
        </w:rPr>
        <w:t>The company also enters into foreign currency contracts that include forward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cross currency swaps to mitigate the change in fair value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(expense), net, on the consolidated statements of earnings together with the transaction gain or loss from the hedged balance sheet position.</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149860</wp:posOffset>
            </wp:positionV>
            <wp:extent cx="57632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Asset Derivatives</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Liability Derivatives</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October 31, 2011</w:t>
            </w:r>
          </w:p>
        </w:tc>
        <w:tc>
          <w:tcPr>
            <w:tcW w:w="16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October 31, 2010</w:t>
            </w:r>
          </w:p>
        </w:tc>
        <w:tc>
          <w:tcPr>
            <w:tcW w:w="16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October 31, 2011</w:t>
            </w:r>
          </w:p>
        </w:tc>
        <w:tc>
          <w:tcPr>
            <w:tcW w:w="16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October 31, 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Balance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Balance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Balance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Balance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Sheet</w:t>
            </w: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Fair</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Sheet</w:t>
            </w:r>
          </w:p>
        </w:tc>
        <w:tc>
          <w:tcPr>
            <w:tcW w:w="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Fair</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Sheet</w:t>
            </w:r>
          </w:p>
        </w:tc>
        <w:tc>
          <w:tcPr>
            <w:tcW w:w="3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Fair</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Sheet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Location</w:t>
            </w:r>
          </w:p>
        </w:tc>
        <w:tc>
          <w:tcPr>
            <w:tcW w:w="3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Value</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Location</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4"/>
              </w:rPr>
              <w:t>Value</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Location</w:t>
            </w:r>
          </w:p>
        </w:tc>
        <w:tc>
          <w:tcPr>
            <w:tcW w:w="3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Value</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Location</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Designated as Hedging</w:t>
            </w: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Instruments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Prepaid</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Prepaid</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563</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620" w:type="dxa"/>
            <w:vAlign w:val="bottom"/>
            <w:gridSpan w:val="2"/>
          </w:tcPr>
          <w:p>
            <w:pPr>
              <w:spacing w:after="0" w:line="157" w:lineRule="exact"/>
              <w:rPr>
                <w:sz w:val="20"/>
                <w:szCs w:val="20"/>
                <w:color w:val="auto"/>
              </w:rPr>
            </w:pPr>
            <w:r>
              <w:rPr>
                <w:rFonts w:ascii="Arial" w:cs="Arial" w:eastAsia="Arial" w:hAnsi="Arial"/>
                <w:sz w:val="14"/>
                <w:szCs w:val="14"/>
                <w:color w:val="auto"/>
              </w:rPr>
              <w:t>Foreign exchange contracts</w:t>
            </w:r>
          </w:p>
        </w:tc>
        <w:tc>
          <w:tcPr>
            <w:tcW w:w="100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expenses</w:t>
            </w:r>
          </w:p>
        </w:tc>
        <w:tc>
          <w:tcPr>
            <w:tcW w:w="32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expenses</w:t>
            </w:r>
          </w:p>
        </w:tc>
        <w:tc>
          <w:tcPr>
            <w:tcW w:w="3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liabilities</w:t>
            </w:r>
          </w:p>
        </w:tc>
        <w:tc>
          <w:tcPr>
            <w:tcW w:w="36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liabilities</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$ 3,886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Hedging Instruments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Prepaid</w:t>
            </w:r>
          </w:p>
        </w:tc>
        <w:tc>
          <w:tcPr>
            <w:tcW w:w="32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Prepaid</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36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2,587</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620" w:type="dxa"/>
            <w:vAlign w:val="bottom"/>
            <w:gridSpan w:val="2"/>
          </w:tcPr>
          <w:p>
            <w:pPr>
              <w:spacing w:after="0"/>
              <w:rPr>
                <w:sz w:val="20"/>
                <w:szCs w:val="20"/>
                <w:color w:val="auto"/>
              </w:rPr>
            </w:pPr>
            <w:r>
              <w:rPr>
                <w:rFonts w:ascii="Arial" w:cs="Arial" w:eastAsia="Arial" w:hAnsi="Arial"/>
                <w:sz w:val="14"/>
                <w:szCs w:val="14"/>
                <w:color w:val="auto"/>
              </w:rPr>
              <w:t>Foreign exchange contracts</w:t>
            </w: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expenses</w:t>
            </w:r>
          </w:p>
        </w:tc>
        <w:tc>
          <w:tcPr>
            <w:tcW w:w="3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liabilities</w:t>
            </w:r>
          </w:p>
        </w:tc>
        <w:tc>
          <w:tcPr>
            <w:tcW w:w="660" w:type="dxa"/>
            <w:vAlign w:val="bottom"/>
          </w:tcPr>
          <w:p>
            <w:pPr>
              <w:jc w:val="right"/>
              <w:spacing w:after="0"/>
              <w:rPr>
                <w:sz w:val="20"/>
                <w:szCs w:val="20"/>
                <w:color w:val="auto"/>
              </w:rPr>
            </w:pPr>
            <w:r>
              <w:rPr>
                <w:rFonts w:ascii="Arial" w:cs="Arial" w:eastAsia="Arial" w:hAnsi="Arial"/>
                <w:sz w:val="14"/>
                <w:szCs w:val="14"/>
                <w:color w:val="auto"/>
              </w:rPr>
              <w:t>2,626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Derivatives</w:t>
            </w:r>
          </w:p>
        </w:tc>
        <w:tc>
          <w:tcPr>
            <w:tcW w:w="2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3,150</w:t>
            </w:r>
          </w:p>
        </w:tc>
        <w:tc>
          <w:tcPr>
            <w:tcW w:w="1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$ 6,512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560" w:firstLine="143"/>
        <w:spacing w:after="0" w:line="23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fiscal years ended October 31, 2011 and 2010, respectively.</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Location of Gain</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(Loss) Recognized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Location of Gain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Income 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Derivatives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Reclassified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(Ineffective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center"/>
              <w:ind w:right="140"/>
              <w:spacing w:after="0"/>
              <w:rPr>
                <w:sz w:val="20"/>
                <w:szCs w:val="20"/>
                <w:color w:val="auto"/>
              </w:rPr>
            </w:pPr>
            <w:r>
              <w:rPr>
                <w:rFonts w:ascii="Arial" w:cs="Arial" w:eastAsia="Arial" w:hAnsi="Arial"/>
                <w:sz w:val="14"/>
                <w:szCs w:val="14"/>
                <w:color w:val="auto"/>
              </w:rPr>
              <w:t>Gain (Loss) Recognized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88"/>
              <w:spacing w:after="0"/>
              <w:rPr>
                <w:sz w:val="20"/>
                <w:szCs w:val="20"/>
                <w:color w:val="auto"/>
              </w:rPr>
            </w:pPr>
            <w:r>
              <w:rPr>
                <w:rFonts w:ascii="Arial" w:cs="Arial" w:eastAsia="Arial" w:hAnsi="Arial"/>
                <w:sz w:val="14"/>
                <w:szCs w:val="14"/>
                <w:color w:val="auto"/>
              </w:rPr>
              <w:t>Gain (Loss)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from AOCL into</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Portion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center"/>
              <w:ind w:right="140"/>
              <w:spacing w:after="0"/>
              <w:rPr>
                <w:sz w:val="20"/>
                <w:szCs w:val="20"/>
                <w:color w:val="auto"/>
              </w:rPr>
            </w:pPr>
            <w:r>
              <w:rPr>
                <w:rFonts w:ascii="Arial" w:cs="Arial" w:eastAsia="Arial" w:hAnsi="Arial"/>
                <w:sz w:val="14"/>
                <w:szCs w:val="14"/>
                <w:color w:val="auto"/>
              </w:rPr>
              <w:t>in Income on Derivatives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140"/>
              <w:spacing w:after="0"/>
              <w:rPr>
                <w:sz w:val="20"/>
                <w:szCs w:val="20"/>
                <w:color w:val="auto"/>
              </w:rPr>
            </w:pPr>
            <w:r>
              <w:rPr>
                <w:rFonts w:ascii="Arial" w:cs="Arial" w:eastAsia="Arial" w:hAnsi="Arial"/>
                <w:sz w:val="14"/>
                <w:szCs w:val="14"/>
                <w:color w:val="auto"/>
              </w:rPr>
              <w:t>Recognized in OCI on</w:t>
            </w:r>
          </w:p>
        </w:tc>
        <w:tc>
          <w:tcPr>
            <w:tcW w:w="1200" w:type="dxa"/>
            <w:vAlign w:val="bottom"/>
          </w:tcPr>
          <w:p>
            <w:pPr>
              <w:jc w:val="center"/>
              <w:spacing w:after="0"/>
              <w:rPr>
                <w:sz w:val="20"/>
                <w:szCs w:val="20"/>
                <w:color w:val="auto"/>
              </w:rPr>
            </w:pPr>
            <w:r>
              <w:rPr>
                <w:rFonts w:ascii="Arial" w:cs="Arial" w:eastAsia="Arial" w:hAnsi="Arial"/>
                <w:sz w:val="14"/>
                <w:szCs w:val="14"/>
                <w:color w:val="auto"/>
              </w:rPr>
              <w:t>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color w:val="auto"/>
              </w:rPr>
              <w:t>Gain (Loss) Reclassified</w:t>
            </w:r>
          </w:p>
        </w:tc>
        <w:tc>
          <w:tcPr>
            <w:tcW w:w="1240" w:type="dxa"/>
            <w:vAlign w:val="bottom"/>
          </w:tcPr>
          <w:p>
            <w:pPr>
              <w:jc w:val="center"/>
              <w:spacing w:after="0"/>
              <w:rPr>
                <w:sz w:val="20"/>
                <w:szCs w:val="20"/>
                <w:color w:val="auto"/>
              </w:rPr>
            </w:pPr>
            <w:r>
              <w:rPr>
                <w:rFonts w:ascii="Arial" w:cs="Arial" w:eastAsia="Arial" w:hAnsi="Arial"/>
                <w:sz w:val="14"/>
                <w:szCs w:val="14"/>
                <w:color w:val="auto"/>
              </w:rPr>
              <w:t>excluded from</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color w:val="auto"/>
              </w:rPr>
              <w:t>(Ineffective Portion and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308"/>
              <w:spacing w:after="0"/>
              <w:rPr>
                <w:sz w:val="20"/>
                <w:szCs w:val="20"/>
                <w:color w:val="auto"/>
              </w:rPr>
            </w:pPr>
            <w:r>
              <w:rPr>
                <w:rFonts w:ascii="Arial" w:cs="Arial" w:eastAsia="Arial" w:hAnsi="Arial"/>
                <w:sz w:val="14"/>
                <w:szCs w:val="14"/>
                <w:color w:val="auto"/>
              </w:rPr>
              <w:t>Derivatives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(Effective Portion)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4"/>
                <w:szCs w:val="14"/>
                <w:color w:val="auto"/>
              </w:rPr>
              <w:t>from AOCL into Income</w:t>
            </w:r>
          </w:p>
        </w:tc>
        <w:tc>
          <w:tcPr>
            <w:tcW w:w="1240" w:type="dxa"/>
            <w:vAlign w:val="bottom"/>
          </w:tcPr>
          <w:p>
            <w:pPr>
              <w:jc w:val="center"/>
              <w:spacing w:after="0"/>
              <w:rPr>
                <w:sz w:val="20"/>
                <w:szCs w:val="20"/>
                <w:color w:val="auto"/>
              </w:rPr>
            </w:pPr>
            <w:r>
              <w:rPr>
                <w:rFonts w:ascii="Arial" w:cs="Arial" w:eastAsia="Arial" w:hAnsi="Arial"/>
                <w:sz w:val="14"/>
                <w:szCs w:val="14"/>
                <w:color w:val="auto"/>
              </w:rPr>
              <w:t>Effectiveness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color w:val="auto"/>
              </w:rPr>
              <w:t>Excluded from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(Effective Portion)</w:t>
            </w:r>
          </w:p>
        </w:tc>
        <w:tc>
          <w:tcPr>
            <w:tcW w:w="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(Effective Portion)</w:t>
            </w:r>
          </w:p>
        </w:tc>
        <w:tc>
          <w:tcPr>
            <w:tcW w:w="40" w:type="dxa"/>
            <w:vAlign w:val="bottom"/>
          </w:tcPr>
          <w:p>
            <w:pPr>
              <w:spacing w:after="0"/>
              <w:rPr>
                <w:sz w:val="19"/>
                <w:szCs w:val="19"/>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Testing)</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Effectiveness Testing)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Fiscal years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October 31,</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October 31,</w:t>
            </w: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October 31,</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October 31,</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October 31,</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96"/>
        </w:trPr>
        <w:tc>
          <w:tcPr>
            <w:tcW w:w="980" w:type="dxa"/>
            <w:vAlign w:val="bottom"/>
            <w:gridSpan w:val="2"/>
          </w:tcPr>
          <w:p>
            <w:pPr>
              <w:spacing w:after="0"/>
              <w:rPr>
                <w:sz w:val="20"/>
                <w:szCs w:val="20"/>
                <w:color w:val="auto"/>
              </w:rPr>
            </w:pPr>
            <w:r>
              <w:rPr>
                <w:rFonts w:ascii="Arial" w:cs="Arial" w:eastAsia="Arial" w:hAnsi="Arial"/>
                <w:sz w:val="14"/>
                <w:szCs w:val="14"/>
                <w:color w:val="auto"/>
              </w:rPr>
              <w:t>ended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760" w:type="dxa"/>
            <w:vAlign w:val="bottom"/>
          </w:tcPr>
          <w:p>
            <w:pPr>
              <w:jc w:val="right"/>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760" w:type="dxa"/>
            <w:vAlign w:val="bottom"/>
          </w:tcPr>
          <w:p>
            <w:pPr>
              <w:jc w:val="right"/>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Foreign</w:t>
            </w: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exchange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contracts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4,001</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(6,177)</w:t>
            </w:r>
            <w:r>
              <w:rPr>
                <w:rFonts w:ascii="Arial" w:cs="Arial" w:eastAsia="Arial" w:hAnsi="Arial"/>
                <w:sz w:val="14"/>
                <w:szCs w:val="14"/>
                <w:b w:val="1"/>
                <w:bCs w:val="1"/>
                <w:color w:val="auto"/>
              </w:rPr>
              <w:t>Net sales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(6,254)</w:t>
            </w: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(expense), net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(1,049)</w:t>
            </w: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(1,335)</w:t>
            </w:r>
          </w:p>
        </w:tc>
        <w:tc>
          <w:tcPr>
            <w:tcW w:w="380" w:type="dxa"/>
            <w:vAlign w:val="bottom"/>
          </w:tcPr>
          <w:p>
            <w:pPr>
              <w:spacing w:after="0"/>
              <w:rPr>
                <w:sz w:val="17"/>
                <w:szCs w:val="17"/>
                <w:color w:val="auto"/>
              </w:rPr>
            </w:pPr>
          </w:p>
        </w:tc>
        <w:tc>
          <w:tcPr>
            <w:tcW w:w="1720" w:type="dxa"/>
            <w:vAlign w:val="bottom"/>
            <w:gridSpan w:val="3"/>
          </w:tcPr>
          <w:p>
            <w:pPr>
              <w:ind w:left="220"/>
              <w:spacing w:after="0"/>
              <w:rPr>
                <w:sz w:val="20"/>
                <w:szCs w:val="20"/>
                <w:color w:val="auto"/>
              </w:rPr>
            </w:pPr>
            <w:r>
              <w:rPr>
                <w:rFonts w:ascii="Arial" w:cs="Arial" w:eastAsia="Arial" w:hAnsi="Arial"/>
                <w:sz w:val="14"/>
                <w:szCs w:val="14"/>
                <w:color w:val="auto"/>
              </w:rPr>
              <w:t xml:space="preserve">976 </w:t>
            </w:r>
            <w:r>
              <w:rPr>
                <w:rFonts w:ascii="Arial" w:cs="Arial" w:eastAsia="Arial" w:hAnsi="Arial"/>
                <w:sz w:val="14"/>
                <w:szCs w:val="14"/>
                <w:b w:val="1"/>
                <w:bCs w:val="1"/>
                <w:color w:val="auto"/>
              </w:rPr>
              <w:t>Cost of sales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919</w:t>
            </w:r>
          </w:p>
        </w:tc>
        <w:tc>
          <w:tcPr>
            <w:tcW w:w="760" w:type="dxa"/>
            <w:vAlign w:val="bottom"/>
          </w:tcPr>
          <w:p>
            <w:pPr>
              <w:jc w:val="right"/>
              <w:spacing w:after="0"/>
              <w:rPr>
                <w:sz w:val="20"/>
                <w:szCs w:val="20"/>
                <w:color w:val="auto"/>
              </w:rPr>
            </w:pPr>
            <w:r>
              <w:rPr>
                <w:rFonts w:ascii="Arial" w:cs="Arial" w:eastAsia="Arial" w:hAnsi="Arial"/>
                <w:sz w:val="14"/>
                <w:szCs w:val="14"/>
                <w:color w:val="auto"/>
              </w:rPr>
              <w:t>272</w:t>
            </w: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2,666</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(5,201)</w:t>
            </w:r>
          </w:p>
        </w:tc>
        <w:tc>
          <w:tcPr>
            <w:tcW w:w="12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(5,335)</w:t>
            </w: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580" w:firstLine="137"/>
        <w:spacing w:after="0" w:line="239" w:lineRule="auto"/>
        <w:rPr>
          <w:sz w:val="20"/>
          <w:szCs w:val="20"/>
          <w:color w:val="auto"/>
        </w:rPr>
      </w:pPr>
      <w:r>
        <w:rPr>
          <w:rFonts w:ascii="Arial" w:cs="Arial" w:eastAsia="Arial" w:hAnsi="Arial"/>
          <w:sz w:val="18"/>
          <w:szCs w:val="18"/>
          <w:color w:val="auto"/>
        </w:rPr>
        <w:t>As of October 31, 2011, the company anticipates to reclassify approximately $169 of losses from AOCL to earnings during the next twelve months.</w:t>
      </w:r>
    </w:p>
    <w:p>
      <w:pPr>
        <w:spacing w:after="0" w:line="209" w:lineRule="exact"/>
        <w:rPr>
          <w:sz w:val="20"/>
          <w:szCs w:val="20"/>
          <w:color w:val="auto"/>
        </w:rPr>
      </w:pPr>
    </w:p>
    <w:p>
      <w:pPr>
        <w:ind w:right="260" w:firstLine="143"/>
        <w:spacing w:after="0" w:line="23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40" w:type="dxa"/>
            <w:vAlign w:val="bottom"/>
            <w:tcBorders>
              <w:top w:val="single" w:sz="8" w:color="auto"/>
            </w:tcBorders>
          </w:tcPr>
          <w:p>
            <w:pPr>
              <w:spacing w:after="0"/>
              <w:rPr>
                <w:sz w:val="15"/>
                <w:szCs w:val="15"/>
                <w:color w:val="auto"/>
              </w:rPr>
            </w:pPr>
          </w:p>
        </w:tc>
        <w:tc>
          <w:tcPr>
            <w:tcW w:w="4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center"/>
              <w:ind w:right="8"/>
              <w:spacing w:after="0"/>
              <w:rPr>
                <w:sz w:val="20"/>
                <w:szCs w:val="20"/>
                <w:color w:val="auto"/>
              </w:rPr>
            </w:pPr>
            <w:r>
              <w:rPr>
                <w:rFonts w:ascii="Arial" w:cs="Arial" w:eastAsia="Arial" w:hAnsi="Arial"/>
                <w:sz w:val="14"/>
                <w:szCs w:val="14"/>
                <w:color w:val="auto"/>
              </w:rPr>
              <w:t>Gain (Loss) Recognized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240"/>
              <w:spacing w:after="0"/>
              <w:rPr>
                <w:sz w:val="20"/>
                <w:szCs w:val="20"/>
                <w:color w:val="auto"/>
              </w:rPr>
            </w:pPr>
            <w:r>
              <w:rPr>
                <w:rFonts w:ascii="Arial" w:cs="Arial" w:eastAsia="Arial" w:hAnsi="Arial"/>
                <w:sz w:val="14"/>
                <w:szCs w:val="14"/>
                <w:color w:val="auto"/>
              </w:rPr>
              <w:t>in Net Earnings</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3"/>
          </w:tcPr>
          <w:p>
            <w:pPr>
              <w:ind w:left="220"/>
              <w:spacing w:after="0"/>
              <w:rPr>
                <w:sz w:val="20"/>
                <w:szCs w:val="20"/>
                <w:color w:val="auto"/>
              </w:rPr>
            </w:pPr>
            <w:r>
              <w:rPr>
                <w:rFonts w:ascii="Arial" w:cs="Arial" w:eastAsia="Arial" w:hAnsi="Arial"/>
                <w:sz w:val="14"/>
                <w:szCs w:val="14"/>
                <w:color w:val="auto"/>
              </w:rPr>
              <w:t>Fiscal Year Ended</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4260" w:type="dxa"/>
            <w:vAlign w:val="bottom"/>
          </w:tcPr>
          <w:p>
            <w:pPr>
              <w:ind w:left="3120"/>
              <w:spacing w:after="0"/>
              <w:rPr>
                <w:sz w:val="20"/>
                <w:szCs w:val="20"/>
                <w:color w:val="auto"/>
              </w:rPr>
            </w:pPr>
            <w:r>
              <w:rPr>
                <w:rFonts w:ascii="Arial" w:cs="Arial" w:eastAsia="Arial" w:hAnsi="Arial"/>
                <w:sz w:val="14"/>
                <w:szCs w:val="14"/>
                <w:color w:val="auto"/>
              </w:rPr>
              <w:t>Location of Gain</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4260" w:type="dxa"/>
            <w:vAlign w:val="bottom"/>
          </w:tcPr>
          <w:p>
            <w:pPr>
              <w:ind w:left="3120"/>
              <w:spacing w:after="0"/>
              <w:rPr>
                <w:sz w:val="20"/>
                <w:szCs w:val="20"/>
                <w:color w:val="auto"/>
              </w:rPr>
            </w:pPr>
            <w:r>
              <w:rPr>
                <w:rFonts w:ascii="Arial" w:cs="Arial" w:eastAsia="Arial" w:hAnsi="Arial"/>
                <w:sz w:val="14"/>
                <w:szCs w:val="14"/>
                <w:color w:val="auto"/>
              </w:rPr>
              <w:t>(Loss)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October 31,</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4260" w:type="dxa"/>
            <w:vAlign w:val="bottom"/>
          </w:tcPr>
          <w:p>
            <w:pPr>
              <w:ind w:left="3120"/>
              <w:spacing w:after="0" w:line="144" w:lineRule="exact"/>
              <w:rPr>
                <w:sz w:val="20"/>
                <w:szCs w:val="20"/>
                <w:color w:val="auto"/>
              </w:rPr>
            </w:pPr>
            <w:r>
              <w:rPr>
                <w:rFonts w:ascii="Arial" w:cs="Arial" w:eastAsia="Arial" w:hAnsi="Arial"/>
                <w:sz w:val="14"/>
                <w:szCs w:val="14"/>
                <w:color w:val="auto"/>
              </w:rPr>
              <w:t>Recognized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20" w:type="dxa"/>
            <w:vAlign w:val="bottom"/>
            <w:gridSpan w:val="2"/>
          </w:tcPr>
          <w:p>
            <w:pPr>
              <w:spacing w:after="0" w:line="144" w:lineRule="exact"/>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4260" w:type="dxa"/>
            <w:vAlign w:val="bottom"/>
          </w:tcPr>
          <w:p>
            <w:pPr>
              <w:ind w:left="3120"/>
              <w:spacing w:after="0"/>
              <w:rPr>
                <w:sz w:val="20"/>
                <w:szCs w:val="20"/>
                <w:color w:val="auto"/>
              </w:rPr>
            </w:pPr>
            <w:r>
              <w:rPr>
                <w:rFonts w:ascii="Arial" w:cs="Arial" w:eastAsia="Arial" w:hAnsi="Arial"/>
                <w:sz w:val="14"/>
                <w:szCs w:val="14"/>
                <w:color w:val="auto"/>
              </w:rPr>
              <w:t>Net 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2011</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8"/>
        </w:trPr>
        <w:tc>
          <w:tcPr>
            <w:tcW w:w="5040" w:type="dxa"/>
            <w:vAlign w:val="bottom"/>
            <w:tcBorders>
              <w:top w:val="single" w:sz="8" w:color="auto"/>
            </w:tcBorders>
            <w:shd w:val="clear" w:color="auto" w:fill="CCEEFF"/>
          </w:tcPr>
          <w:p>
            <w:pPr>
              <w:spacing w:after="0"/>
              <w:rPr>
                <w:sz w:val="12"/>
                <w:szCs w:val="12"/>
                <w:color w:val="auto"/>
              </w:rPr>
            </w:pPr>
          </w:p>
        </w:tc>
        <w:tc>
          <w:tcPr>
            <w:tcW w:w="4260" w:type="dxa"/>
            <w:vAlign w:val="bottom"/>
            <w:tcBorders>
              <w:top w:val="single" w:sz="8" w:color="auto"/>
            </w:tcBorders>
            <w:shd w:val="clear" w:color="auto" w:fill="CCEEFF"/>
          </w:tcPr>
          <w:p>
            <w:pPr>
              <w:ind w:left="3120"/>
              <w:spacing w:after="0" w:line="149" w:lineRule="exact"/>
              <w:rPr>
                <w:sz w:val="20"/>
                <w:szCs w:val="20"/>
                <w:color w:val="auto"/>
              </w:rPr>
            </w:pPr>
            <w:r>
              <w:rPr>
                <w:rFonts w:ascii="Arial" w:cs="Arial" w:eastAsia="Arial" w:hAnsi="Arial"/>
                <w:sz w:val="14"/>
                <w:szCs w:val="14"/>
                <w:b w:val="1"/>
                <w:bCs w:val="1"/>
                <w:color w:val="auto"/>
              </w:rPr>
              <w:t>Other income</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exchange contracts</w:t>
            </w:r>
          </w:p>
        </w:tc>
        <w:tc>
          <w:tcPr>
            <w:tcW w:w="4260" w:type="dxa"/>
            <w:vAlign w:val="bottom"/>
            <w:shd w:val="clear" w:color="auto" w:fill="CCEEFF"/>
          </w:tcPr>
          <w:p>
            <w:pPr>
              <w:ind w:left="3120"/>
              <w:spacing w:after="0"/>
              <w:rPr>
                <w:sz w:val="20"/>
                <w:szCs w:val="20"/>
                <w:color w:val="auto"/>
              </w:rPr>
            </w:pPr>
            <w:r>
              <w:rPr>
                <w:rFonts w:ascii="Arial" w:cs="Arial" w:eastAsia="Arial" w:hAnsi="Arial"/>
                <w:sz w:val="14"/>
                <w:szCs w:val="14"/>
                <w:b w:val="1"/>
                <w:bCs w:val="1"/>
                <w:color w:val="auto"/>
              </w:rPr>
              <w:t>(expense),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(6,867)  </w:t>
            </w: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$30,000 for two of the agreements and $40,000 for the third agreement. These treasury lock agreements provided for a single payment at maturity, which was April 23, 2007, based on the change in value of the reference treasury security. These agreements were designated as cash flow hedges and resulted in a net settlement of $182, which was recorded in accumulated other comprehensive loss, and will be amortized to interest expense over the 30-year term of the senior notes. The unrecognized loss portion of the fair value of these agreements in accumulated other comprehensive loss as of October 31, 2011 and 2010 was $155 and $161, respectively.</w:t>
      </w:r>
    </w:p>
    <w:p>
      <w:pPr>
        <w:sectPr>
          <w:pgSz w:w="11900" w:h="16838" w:orient="portrait"/>
          <w:cols w:equalWidth="0" w:num="1">
            <w:col w:w="11420"/>
          </w:cols>
          <w:pgMar w:left="240" w:top="143" w:right="239" w:bottom="848"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848"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Fair Value</w:t>
      </w:r>
    </w:p>
    <w:p>
      <w:pPr>
        <w:spacing w:after="0" w:line="23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12"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12"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short-term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Assets and liabilities measured at fair value on a recurring basis, as of October 31, 2011 and 2010, respectively,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 w:type="dxa"/>
            <w:vAlign w:val="bottom"/>
          </w:tcPr>
          <w:p>
            <w:pPr>
              <w:spacing w:after="0"/>
              <w:rPr>
                <w:sz w:val="15"/>
                <w:szCs w:val="15"/>
                <w:color w:val="auto"/>
              </w:rPr>
            </w:pPr>
          </w:p>
        </w:tc>
        <w:tc>
          <w:tcPr>
            <w:tcW w:w="540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Fair</w:t>
            </w: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8"/>
        </w:trPr>
        <w:tc>
          <w:tcPr>
            <w:tcW w:w="5460" w:type="dxa"/>
            <w:vAlign w:val="bottom"/>
            <w:gridSpan w:val="2"/>
          </w:tcPr>
          <w:p>
            <w:pPr>
              <w:ind w:left="60"/>
              <w:spacing w:after="0"/>
              <w:rPr>
                <w:sz w:val="20"/>
                <w:szCs w:val="20"/>
                <w:color w:val="auto"/>
              </w:rPr>
            </w:pPr>
            <w:r>
              <w:rPr>
                <w:rFonts w:ascii="Arial" w:cs="Arial" w:eastAsia="Arial" w:hAnsi="Arial"/>
                <w:sz w:val="14"/>
                <w:szCs w:val="14"/>
                <w:color w:val="auto"/>
              </w:rPr>
              <w:t>October 31, 2011</w:t>
            </w:r>
          </w:p>
        </w:tc>
        <w:tc>
          <w:tcPr>
            <w:tcW w:w="31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Value</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Level 1</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Level 2</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5"/>
                <w:szCs w:val="15"/>
                <w:color w:val="auto"/>
              </w:rPr>
            </w:pPr>
          </w:p>
        </w:tc>
      </w:tr>
      <w:tr>
        <w:trPr>
          <w:trHeight w:val="162"/>
        </w:trPr>
        <w:tc>
          <w:tcPr>
            <w:tcW w:w="60" w:type="dxa"/>
            <w:vAlign w:val="bottom"/>
          </w:tcPr>
          <w:p>
            <w:pPr>
              <w:spacing w:after="0"/>
              <w:rPr>
                <w:sz w:val="14"/>
                <w:szCs w:val="14"/>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60" w:type="dxa"/>
            <w:vAlign w:val="bottom"/>
          </w:tcPr>
          <w:p>
            <w:pPr>
              <w:spacing w:after="0"/>
              <w:rPr>
                <w:sz w:val="16"/>
                <w:szCs w:val="16"/>
                <w:color w:val="auto"/>
              </w:rPr>
            </w:pPr>
          </w:p>
        </w:tc>
        <w:tc>
          <w:tcPr>
            <w:tcW w:w="5400" w:type="dxa"/>
            <w:vAlign w:val="bottom"/>
          </w:tcPr>
          <w:p>
            <w:pPr>
              <w:ind w:left="120"/>
              <w:spacing w:after="0"/>
              <w:rPr>
                <w:sz w:val="20"/>
                <w:szCs w:val="20"/>
                <w:color w:val="auto"/>
              </w:rPr>
            </w:pPr>
            <w:r>
              <w:rPr>
                <w:rFonts w:ascii="Arial" w:cs="Arial" w:eastAsia="Arial" w:hAnsi="Arial"/>
                <w:sz w:val="14"/>
                <w:szCs w:val="14"/>
                <w:b w:val="1"/>
                <w:bCs w:val="1"/>
                <w:color w:val="auto"/>
              </w:rPr>
              <w:t>Cash and cash equivalents</w:t>
            </w:r>
          </w:p>
        </w:tc>
        <w:tc>
          <w:tcPr>
            <w:tcW w:w="3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80,886</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$ 80,886</w:t>
            </w:r>
          </w:p>
        </w:tc>
        <w:tc>
          <w:tcPr>
            <w:tcW w:w="2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54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Total assets</w:t>
            </w:r>
          </w:p>
        </w:tc>
        <w:tc>
          <w:tcPr>
            <w:tcW w:w="3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80,886</w:t>
            </w:r>
          </w:p>
        </w:tc>
        <w:tc>
          <w:tcPr>
            <w:tcW w:w="7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$ 80,886</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r>
      <w:tr>
        <w:trPr>
          <w:trHeight w:val="27"/>
        </w:trPr>
        <w:tc>
          <w:tcPr>
            <w:tcW w:w="546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60" w:type="dxa"/>
            <w:vAlign w:val="bottom"/>
          </w:tcPr>
          <w:p>
            <w:pPr>
              <w:spacing w:after="0"/>
              <w:rPr>
                <w:sz w:val="13"/>
                <w:szCs w:val="13"/>
                <w:color w:val="auto"/>
              </w:rPr>
            </w:pPr>
          </w:p>
        </w:tc>
        <w:tc>
          <w:tcPr>
            <w:tcW w:w="54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3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6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Foreign exchange contracts</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3,150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3,150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89"/>
        </w:trPr>
        <w:tc>
          <w:tcPr>
            <w:tcW w:w="60" w:type="dxa"/>
            <w:vAlign w:val="bottom"/>
          </w:tcPr>
          <w:p>
            <w:pPr>
              <w:spacing w:after="0"/>
              <w:rPr>
                <w:sz w:val="16"/>
                <w:szCs w:val="16"/>
                <w:color w:val="auto"/>
              </w:rPr>
            </w:pPr>
          </w:p>
        </w:tc>
        <w:tc>
          <w:tcPr>
            <w:tcW w:w="5400" w:type="dxa"/>
            <w:vAlign w:val="bottom"/>
          </w:tcPr>
          <w:p>
            <w:pPr>
              <w:ind w:left="120"/>
              <w:spacing w:after="0"/>
              <w:rPr>
                <w:sz w:val="20"/>
                <w:szCs w:val="20"/>
                <w:color w:val="auto"/>
              </w:rPr>
            </w:pPr>
            <w:r>
              <w:rPr>
                <w:rFonts w:ascii="Arial" w:cs="Arial" w:eastAsia="Arial" w:hAnsi="Arial"/>
                <w:sz w:val="14"/>
                <w:szCs w:val="14"/>
                <w:b w:val="1"/>
                <w:bCs w:val="1"/>
                <w:color w:val="auto"/>
              </w:rPr>
              <w:t>Deferred compensation liabilities</w:t>
            </w:r>
          </w:p>
        </w:tc>
        <w:tc>
          <w:tcPr>
            <w:tcW w:w="31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4,297</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4,297</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54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Total liabilities</w:t>
            </w:r>
          </w:p>
        </w:tc>
        <w:tc>
          <w:tcPr>
            <w:tcW w:w="3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7,447</w:t>
            </w:r>
          </w:p>
        </w:tc>
        <w:tc>
          <w:tcPr>
            <w:tcW w:w="7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b w:val="1"/>
                <w:bCs w:val="1"/>
                <w:color w:val="auto"/>
              </w:rPr>
              <w:t>7,447</w:t>
            </w:r>
          </w:p>
        </w:tc>
        <w:tc>
          <w:tcPr>
            <w:tcW w:w="700" w:type="dxa"/>
            <w:vAlign w:val="bottom"/>
            <w:gridSpan w:val="3"/>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r>
      <w:tr>
        <w:trPr>
          <w:trHeight w:val="27"/>
        </w:trPr>
        <w:tc>
          <w:tcPr>
            <w:tcW w:w="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615"/>
        </w:trPr>
        <w:tc>
          <w:tcPr>
            <w:tcW w:w="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Fair</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5460" w:type="dxa"/>
            <w:vAlign w:val="bottom"/>
            <w:gridSpan w:val="2"/>
          </w:tcPr>
          <w:p>
            <w:pPr>
              <w:spacing w:after="0"/>
              <w:rPr>
                <w:sz w:val="20"/>
                <w:szCs w:val="20"/>
                <w:color w:val="auto"/>
              </w:rPr>
            </w:pPr>
            <w:r>
              <w:rPr>
                <w:rFonts w:ascii="Arial" w:cs="Arial" w:eastAsia="Arial" w:hAnsi="Arial"/>
                <w:sz w:val="14"/>
                <w:szCs w:val="14"/>
                <w:color w:val="auto"/>
              </w:rPr>
              <w:t>October 31, 2010</w:t>
            </w:r>
          </w:p>
        </w:tc>
        <w:tc>
          <w:tcPr>
            <w:tcW w:w="3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Value</w:t>
            </w:r>
          </w:p>
        </w:tc>
        <w:tc>
          <w:tcPr>
            <w:tcW w:w="740" w:type="dxa"/>
            <w:vAlign w:val="bottom"/>
          </w:tcPr>
          <w:p>
            <w:pPr>
              <w:jc w:val="right"/>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w w:val="97"/>
              </w:rPr>
              <w:t>Level 2</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5"/>
                <w:szCs w:val="15"/>
                <w:color w:val="auto"/>
              </w:rPr>
            </w:pPr>
          </w:p>
        </w:tc>
      </w:tr>
      <w:tr>
        <w:trPr>
          <w:trHeight w:val="162"/>
        </w:trPr>
        <w:tc>
          <w:tcPr>
            <w:tcW w:w="5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3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3"/>
        </w:trPr>
        <w:tc>
          <w:tcPr>
            <w:tcW w:w="6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Cash and cash equivalents</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177,366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$177,366</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60" w:type="dxa"/>
            <w:vAlign w:val="bottom"/>
            <w:shd w:val="clear" w:color="auto" w:fill="CCEEFF"/>
          </w:tcPr>
          <w:p>
            <w:pPr>
              <w:spacing w:after="0"/>
              <w:rPr>
                <w:sz w:val="14"/>
                <w:szCs w:val="14"/>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assets</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177,366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$177,366</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27"/>
        </w:trPr>
        <w:tc>
          <w:tcPr>
            <w:tcW w:w="5460" w:type="dxa"/>
            <w:vAlign w:val="bottom"/>
            <w:tcBorders>
              <w:bottom w:val="single" w:sz="8" w:color="auto"/>
            </w:tcBorders>
            <w:gridSpan w:val="2"/>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5460" w:type="dxa"/>
            <w:vAlign w:val="bottom"/>
            <w:gridSpan w:val="2"/>
          </w:tcPr>
          <w:p>
            <w:pPr>
              <w:spacing w:after="0" w:line="155" w:lineRule="exact"/>
              <w:rPr>
                <w:sz w:val="20"/>
                <w:szCs w:val="20"/>
                <w:color w:val="auto"/>
              </w:rPr>
            </w:pPr>
            <w:r>
              <w:rPr>
                <w:rFonts w:ascii="Arial" w:cs="Arial" w:eastAsia="Arial" w:hAnsi="Arial"/>
                <w:sz w:val="14"/>
                <w:szCs w:val="14"/>
                <w:color w:val="auto"/>
              </w:rPr>
              <w:t>Liabilities:</w:t>
            </w:r>
          </w:p>
        </w:tc>
        <w:tc>
          <w:tcPr>
            <w:tcW w:w="3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60" w:type="dxa"/>
            <w:vAlign w:val="bottom"/>
            <w:shd w:val="clear" w:color="auto" w:fill="CCEEFF"/>
          </w:tcPr>
          <w:p>
            <w:pPr>
              <w:spacing w:after="0"/>
              <w:rPr>
                <w:sz w:val="14"/>
                <w:szCs w:val="14"/>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Foreign exchange contracts</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183"/>
        </w:trPr>
        <w:tc>
          <w:tcPr>
            <w:tcW w:w="6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Deferred compensation liabilities</w:t>
            </w:r>
          </w:p>
        </w:tc>
        <w:tc>
          <w:tcPr>
            <w:tcW w:w="3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4,994</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60" w:type="dxa"/>
            <w:vAlign w:val="bottom"/>
            <w:shd w:val="clear" w:color="auto" w:fill="CCEEFF"/>
          </w:tcPr>
          <w:p>
            <w:pPr>
              <w:spacing w:after="0"/>
              <w:rPr>
                <w:sz w:val="14"/>
                <w:szCs w:val="14"/>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liabilities</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11,506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19" w:lineRule="exact"/>
        <w:rPr>
          <w:sz w:val="20"/>
          <w:szCs w:val="20"/>
          <w:color w:val="auto"/>
        </w:rPr>
      </w:pPr>
    </w:p>
    <w:p>
      <w:pPr>
        <w:jc w:val="both"/>
        <w:ind w:firstLine="137"/>
        <w:spacing w:after="0" w:line="239" w:lineRule="auto"/>
        <w:rPr>
          <w:sz w:val="20"/>
          <w:szCs w:val="20"/>
          <w:color w:val="auto"/>
        </w:rPr>
      </w:pPr>
      <w:r>
        <w:rPr>
          <w:rFonts w:ascii="Arial" w:cs="Arial" w:eastAsia="Arial" w:hAnsi="Arial"/>
          <w:sz w:val="18"/>
          <w:szCs w:val="18"/>
          <w:color w:val="auto"/>
        </w:rPr>
        <w:t>Assets and liabilities measured at fair value on a nonrecurring basis related to the company's acquisitions of Lawn Solutions and Unique Lighting, as of October 31, 2011, are summarized below:</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Fair</w:t>
            </w:r>
          </w:p>
        </w:tc>
        <w:tc>
          <w:tcPr>
            <w:tcW w:w="6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Value</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Level 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r>
      <w:tr>
        <w:trPr>
          <w:trHeight w:val="162"/>
        </w:trPr>
        <w:tc>
          <w:tcPr>
            <w:tcW w:w="20" w:type="dxa"/>
            <w:vAlign w:val="bottom"/>
          </w:tcPr>
          <w:p>
            <w:pPr>
              <w:spacing w:after="0"/>
              <w:rPr>
                <w:sz w:val="14"/>
                <w:szCs w:val="14"/>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4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20" w:type="dxa"/>
            <w:vAlign w:val="bottom"/>
          </w:tcPr>
          <w:p>
            <w:pPr>
              <w:ind w:left="100"/>
              <w:spacing w:after="0"/>
              <w:rPr>
                <w:sz w:val="20"/>
                <w:szCs w:val="20"/>
                <w:color w:val="auto"/>
              </w:rPr>
            </w:pPr>
            <w:r>
              <w:rPr>
                <w:rFonts w:ascii="Arial" w:cs="Arial" w:eastAsia="Arial" w:hAnsi="Arial"/>
                <w:sz w:val="14"/>
                <w:szCs w:val="14"/>
                <w:b w:val="1"/>
                <w:bCs w:val="1"/>
                <w:color w:val="auto"/>
              </w:rPr>
              <w:t>Trade name</w:t>
            </w:r>
          </w:p>
        </w:tc>
        <w:tc>
          <w:tcPr>
            <w:tcW w:w="3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1,500</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00"/>
              <w:spacing w:after="0" w:line="162" w:lineRule="exact"/>
              <w:rPr>
                <w:sz w:val="20"/>
                <w:szCs w:val="20"/>
                <w:color w:val="auto"/>
              </w:rPr>
            </w:pPr>
            <w:r>
              <w:rPr>
                <w:rFonts w:ascii="Arial" w:cs="Arial" w:eastAsia="Arial" w:hAnsi="Arial"/>
                <w:sz w:val="13"/>
                <w:szCs w:val="13"/>
                <w:b w:val="1"/>
                <w:bCs w:val="1"/>
                <w:color w:val="auto"/>
              </w:rPr>
              <w:t>1,500</w:t>
            </w:r>
            <w:r>
              <w:rPr>
                <w:rFonts w:ascii="Arial" w:cs="Arial" w:eastAsia="Arial" w:hAnsi="Arial"/>
                <w:sz w:val="18"/>
                <w:szCs w:val="18"/>
                <w:b w:val="1"/>
                <w:bCs w:val="1"/>
                <w:color w:val="auto"/>
                <w:vertAlign w:val="superscript"/>
              </w:rPr>
              <w:t>a</w:t>
            </w: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Patents</w:t>
            </w:r>
          </w:p>
        </w:tc>
        <w:tc>
          <w:tcPr>
            <w:tcW w:w="34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700</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3"/>
                <w:szCs w:val="13"/>
                <w:b w:val="1"/>
                <w:bCs w:val="1"/>
                <w:color w:val="auto"/>
              </w:rPr>
              <w:t>700</w:t>
            </w:r>
            <w:r>
              <w:rPr>
                <w:rFonts w:ascii="Arial" w:cs="Arial" w:eastAsia="Arial" w:hAnsi="Arial"/>
                <w:sz w:val="18"/>
                <w:szCs w:val="18"/>
                <w:b w:val="1"/>
                <w:bCs w:val="1"/>
                <w:color w:val="auto"/>
                <w:vertAlign w:val="superscript"/>
              </w:rPr>
              <w:t>a</w:t>
            </w:r>
          </w:p>
        </w:tc>
      </w:tr>
      <w:tr>
        <w:trPr>
          <w:trHeight w:val="162"/>
        </w:trPr>
        <w:tc>
          <w:tcPr>
            <w:tcW w:w="20" w:type="dxa"/>
            <w:vAlign w:val="bottom"/>
          </w:tcPr>
          <w:p>
            <w:pPr>
              <w:spacing w:after="0"/>
              <w:rPr>
                <w:sz w:val="14"/>
                <w:szCs w:val="14"/>
                <w:color w:val="auto"/>
              </w:rPr>
            </w:pPr>
          </w:p>
        </w:tc>
        <w:tc>
          <w:tcPr>
            <w:tcW w:w="5220" w:type="dxa"/>
            <w:vAlign w:val="bottom"/>
          </w:tcPr>
          <w:p>
            <w:pPr>
              <w:ind w:left="100"/>
              <w:spacing w:after="0"/>
              <w:rPr>
                <w:sz w:val="20"/>
                <w:szCs w:val="20"/>
                <w:color w:val="auto"/>
              </w:rPr>
            </w:pPr>
            <w:r>
              <w:rPr>
                <w:rFonts w:ascii="Arial" w:cs="Arial" w:eastAsia="Arial" w:hAnsi="Arial"/>
                <w:sz w:val="14"/>
                <w:szCs w:val="14"/>
                <w:b w:val="1"/>
                <w:bCs w:val="1"/>
                <w:color w:val="auto"/>
              </w:rPr>
              <w:t>Non-compete agreements</w:t>
            </w:r>
          </w:p>
        </w:tc>
        <w:tc>
          <w:tcPr>
            <w:tcW w:w="34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3,100</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Arial" w:cs="Arial" w:eastAsia="Arial" w:hAnsi="Arial"/>
                <w:sz w:val="13"/>
                <w:szCs w:val="13"/>
                <w:b w:val="1"/>
                <w:bCs w:val="1"/>
                <w:color w:val="auto"/>
              </w:rPr>
              <w:t>3,100</w:t>
            </w:r>
            <w:r>
              <w:rPr>
                <w:rFonts w:ascii="Arial" w:cs="Arial" w:eastAsia="Arial" w:hAnsi="Arial"/>
                <w:sz w:val="18"/>
                <w:szCs w:val="18"/>
                <w:b w:val="1"/>
                <w:bCs w:val="1"/>
                <w:color w:val="auto"/>
                <w:vertAlign w:val="superscript"/>
              </w:rPr>
              <w:t>a</w:t>
            </w: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Customer list</w:t>
            </w:r>
          </w:p>
        </w:tc>
        <w:tc>
          <w:tcPr>
            <w:tcW w:w="34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713</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3"/>
                <w:szCs w:val="13"/>
                <w:b w:val="1"/>
                <w:bCs w:val="1"/>
                <w:color w:val="auto"/>
              </w:rPr>
              <w:t>713</w:t>
            </w:r>
            <w:r>
              <w:rPr>
                <w:rFonts w:ascii="Arial" w:cs="Arial" w:eastAsia="Arial" w:hAnsi="Arial"/>
                <w:sz w:val="18"/>
                <w:szCs w:val="18"/>
                <w:b w:val="1"/>
                <w:bCs w:val="1"/>
                <w:color w:val="auto"/>
                <w:vertAlign w:val="superscript"/>
              </w:rPr>
              <w:t>b</w:t>
            </w:r>
          </w:p>
        </w:tc>
      </w:tr>
      <w:tr>
        <w:trPr>
          <w:trHeight w:val="189"/>
        </w:trPr>
        <w:tc>
          <w:tcPr>
            <w:tcW w:w="20" w:type="dxa"/>
            <w:vAlign w:val="bottom"/>
          </w:tcPr>
          <w:p>
            <w:pPr>
              <w:spacing w:after="0"/>
              <w:rPr>
                <w:sz w:val="16"/>
                <w:szCs w:val="16"/>
                <w:color w:val="auto"/>
              </w:rPr>
            </w:pPr>
          </w:p>
        </w:tc>
        <w:tc>
          <w:tcPr>
            <w:tcW w:w="5220" w:type="dxa"/>
            <w:vAlign w:val="bottom"/>
          </w:tcPr>
          <w:p>
            <w:pPr>
              <w:ind w:left="100"/>
              <w:spacing w:after="0"/>
              <w:rPr>
                <w:sz w:val="20"/>
                <w:szCs w:val="20"/>
                <w:color w:val="auto"/>
              </w:rPr>
            </w:pPr>
            <w:r>
              <w:rPr>
                <w:rFonts w:ascii="Arial" w:cs="Arial" w:eastAsia="Arial" w:hAnsi="Arial"/>
                <w:sz w:val="14"/>
                <w:szCs w:val="14"/>
                <w:b w:val="1"/>
                <w:bCs w:val="1"/>
                <w:color w:val="auto"/>
              </w:rPr>
              <w:t>Developed technology</w:t>
            </w:r>
          </w:p>
        </w:tc>
        <w:tc>
          <w:tcPr>
            <w:tcW w:w="34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11,250</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4"/>
                <w:szCs w:val="14"/>
                <w:b w:val="1"/>
                <w:bCs w:val="1"/>
                <w:color w:val="auto"/>
              </w:rPr>
              <w:t>11,250</w:t>
            </w:r>
            <w:r>
              <w:rPr>
                <w:rFonts w:ascii="Arial" w:cs="Arial" w:eastAsia="Arial" w:hAnsi="Arial"/>
                <w:sz w:val="21"/>
                <w:szCs w:val="21"/>
                <w:b w:val="1"/>
                <w:bCs w:val="1"/>
                <w:color w:val="auto"/>
                <w:vertAlign w:val="superscript"/>
              </w:rPr>
              <w:t>a</w:t>
            </w:r>
          </w:p>
        </w:tc>
      </w:tr>
      <w:tr>
        <w:trPr>
          <w:trHeight w:val="156"/>
        </w:trPr>
        <w:tc>
          <w:tcPr>
            <w:tcW w:w="20" w:type="dxa"/>
            <w:vAlign w:val="bottom"/>
          </w:tcPr>
          <w:p>
            <w:pPr>
              <w:spacing w:after="0"/>
              <w:rPr>
                <w:sz w:val="13"/>
                <w:szCs w:val="13"/>
                <w:color w:val="auto"/>
              </w:rPr>
            </w:pPr>
          </w:p>
        </w:tc>
        <w:tc>
          <w:tcPr>
            <w:tcW w:w="5220" w:type="dxa"/>
            <w:vAlign w:val="bottom"/>
            <w:tcBorders>
              <w:top w:val="single" w:sz="8" w:color="auto"/>
            </w:tcBorders>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Total assets</w:t>
            </w:r>
          </w:p>
        </w:tc>
        <w:tc>
          <w:tcPr>
            <w:tcW w:w="3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17,263</w:t>
            </w:r>
          </w:p>
        </w:tc>
        <w:tc>
          <w:tcPr>
            <w:tcW w:w="6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17,263</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180" w:firstLine="137"/>
        <w:spacing w:after="0" w:line="239" w:lineRule="auto"/>
        <w:rPr>
          <w:sz w:val="20"/>
          <w:szCs w:val="20"/>
          <w:color w:val="auto"/>
        </w:rPr>
      </w:pPr>
      <w:r>
        <w:rPr>
          <w:rFonts w:ascii="Arial" w:cs="Arial" w:eastAsia="Arial" w:hAnsi="Arial"/>
          <w:sz w:val="18"/>
          <w:szCs w:val="18"/>
          <w:color w:val="auto"/>
        </w:rPr>
        <w:t>Assets and liabilities measured at fair value are based on one or more valuation techniques. The valuation techniques are identified in the table above and are as follows:</w:t>
      </w:r>
    </w:p>
    <w:p>
      <w:pPr>
        <w:spacing w:after="0" w:line="209" w:lineRule="exact"/>
        <w:rPr>
          <w:sz w:val="20"/>
          <w:szCs w:val="20"/>
          <w:color w:val="auto"/>
        </w:rPr>
      </w:pPr>
    </w:p>
    <w:p>
      <w:pPr>
        <w:ind w:left="1080" w:right="500" w:hanging="532"/>
        <w:spacing w:after="0" w:line="23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used an internally developed income-based approach to value these assets. Inputs for this valuation model were based on internally developed forecasts and assumptions.</w:t>
      </w:r>
    </w:p>
    <w:p>
      <w:pPr>
        <w:spacing w:after="0" w:line="208"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used a replacement cost model to value these assets. Inputs for this valuation model were based on internal estimates of the cost to recreate these assets.</w:t>
      </w:r>
    </w:p>
    <w:p>
      <w:pPr>
        <w:spacing w:after="0" w:line="209" w:lineRule="exact"/>
        <w:rPr>
          <w:sz w:val="20"/>
          <w:szCs w:val="20"/>
          <w:color w:val="auto"/>
        </w:rPr>
      </w:pPr>
    </w:p>
    <w:p>
      <w:pPr>
        <w:ind w:right="440" w:firstLine="137"/>
        <w:spacing w:after="0" w:line="239" w:lineRule="auto"/>
        <w:rPr>
          <w:sz w:val="20"/>
          <w:szCs w:val="20"/>
          <w:color w:val="auto"/>
        </w:rPr>
      </w:pPr>
      <w:r>
        <w:rPr>
          <w:rFonts w:ascii="Arial" w:cs="Arial" w:eastAsia="Arial" w:hAnsi="Arial"/>
          <w:sz w:val="18"/>
          <w:szCs w:val="18"/>
          <w:color w:val="auto"/>
        </w:rPr>
        <w:t>As of October 31, 2011, the estimated fair value of long-term debt with fixed interest rates was $248,653 compared to its carrying amount of $228,735. As of October 31, 2010, the estimated fair</w:t>
      </w:r>
    </w:p>
    <w:p>
      <w:pPr>
        <w:sectPr>
          <w:pgSz w:w="11900" w:h="16838" w:orient="portrait"/>
          <w:cols w:equalWidth="0" w:num="1">
            <w:col w:w="11420"/>
          </w:cols>
          <w:pgMar w:left="240" w:top="32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66" w:name="page67"/>
    <w:bookmarkEnd w:id="66"/>
    <w:p>
      <w:pPr>
        <w:ind w:right="600"/>
        <w:spacing w:after="0" w:line="239" w:lineRule="auto"/>
        <w:rPr>
          <w:sz w:val="20"/>
          <w:szCs w:val="20"/>
          <w:color w:val="auto"/>
        </w:rPr>
      </w:pPr>
      <w:r>
        <w:rPr>
          <w:rFonts w:ascii="Arial" w:cs="Arial" w:eastAsia="Arial" w:hAnsi="Arial"/>
          <w:sz w:val="18"/>
          <w:szCs w:val="18"/>
          <w:color w:val="auto"/>
        </w:rPr>
        <w:t>value of long-term debt with fixed interest rates was $227,388 compared to its carrying amount of $227,190. The fair value is estimated by discounting the projected cash flows using the rate at which similar amounts of debt could currently be borrowed.</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15</w:t>
      </w:r>
      <w:r>
        <w:rPr>
          <w:sz w:val="20"/>
          <w:szCs w:val="20"/>
          <w:color w:val="auto"/>
        </w:rPr>
        <w:tab/>
      </w:r>
      <w:r>
        <w:rPr>
          <w:rFonts w:ascii="Arial" w:cs="Arial" w:eastAsia="Arial" w:hAnsi="Arial"/>
          <w:sz w:val="21"/>
          <w:szCs w:val="21"/>
          <w:b w:val="1"/>
          <w:bCs w:val="1"/>
          <w:color w:val="auto"/>
        </w:rPr>
        <w:t>SUBSEQUENT EVENTS</w:t>
      </w:r>
    </w:p>
    <w:p>
      <w:pPr>
        <w:spacing w:after="0" w:line="27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900" w:type="dxa"/>
            <w:vAlign w:val="bottom"/>
            <w:gridSpan w:val="2"/>
          </w:tcPr>
          <w:p>
            <w:pPr>
              <w:spacing w:after="0"/>
              <w:rPr>
                <w:sz w:val="20"/>
                <w:szCs w:val="20"/>
                <w:color w:val="auto"/>
              </w:rPr>
            </w:pPr>
            <w:r>
              <w:rPr>
                <w:rFonts w:ascii="Arial" w:cs="Arial" w:eastAsia="Arial" w:hAnsi="Arial"/>
                <w:sz w:val="43"/>
                <w:szCs w:val="43"/>
                <w:b w:val="1"/>
                <w:bCs w:val="1"/>
                <w:color w:val="auto"/>
              </w:rPr>
              <w:t>16</w:t>
            </w:r>
          </w:p>
        </w:tc>
        <w:tc>
          <w:tcPr>
            <w:tcW w:w="6160" w:type="dxa"/>
            <w:vAlign w:val="bottom"/>
          </w:tcPr>
          <w:p>
            <w:pPr>
              <w:ind w:left="20"/>
              <w:spacing w:after="0"/>
              <w:rPr>
                <w:sz w:val="20"/>
                <w:szCs w:val="20"/>
                <w:color w:val="auto"/>
              </w:rPr>
            </w:pPr>
            <w:r>
              <w:rPr>
                <w:rFonts w:ascii="Arial" w:cs="Arial" w:eastAsia="Arial" w:hAnsi="Arial"/>
                <w:sz w:val="22"/>
                <w:szCs w:val="22"/>
                <w:b w:val="1"/>
                <w:bCs w:val="1"/>
                <w:color w:val="auto"/>
              </w:rPr>
              <w:t>QUARTERLY FINANCIAL DATA (unaudited)</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7060" w:type="dxa"/>
            <w:vAlign w:val="bottom"/>
            <w:gridSpan w:val="3"/>
          </w:tcPr>
          <w:p>
            <w:pPr>
              <w:spacing w:after="0"/>
              <w:rPr>
                <w:sz w:val="20"/>
                <w:szCs w:val="20"/>
                <w:color w:val="auto"/>
              </w:rPr>
            </w:pPr>
            <w:r>
              <w:rPr>
                <w:rFonts w:ascii="Arial" w:cs="Arial" w:eastAsia="Arial" w:hAnsi="Arial"/>
                <w:sz w:val="18"/>
                <w:szCs w:val="18"/>
                <w:color w:val="auto"/>
              </w:rPr>
              <w:t>Summarized quarterly financial data for fiscal 2011 and 2010 are as follows:</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2"/>
        </w:trPr>
        <w:tc>
          <w:tcPr>
            <w:tcW w:w="120" w:type="dxa"/>
            <w:vAlign w:val="bottom"/>
          </w:tcPr>
          <w:p>
            <w:pPr>
              <w:spacing w:after="0"/>
              <w:rPr>
                <w:sz w:val="20"/>
                <w:szCs w:val="20"/>
                <w:color w:val="auto"/>
              </w:rPr>
            </w:pPr>
          </w:p>
        </w:tc>
        <w:tc>
          <w:tcPr>
            <w:tcW w:w="6940" w:type="dxa"/>
            <w:vAlign w:val="bottom"/>
            <w:tcBorders>
              <w:bottom w:val="single" w:sz="8" w:color="auto"/>
            </w:tcBorders>
            <w:gridSpan w:val="2"/>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60"/>
        </w:trPr>
        <w:tc>
          <w:tcPr>
            <w:tcW w:w="120" w:type="dxa"/>
            <w:vAlign w:val="bottom"/>
          </w:tcPr>
          <w:p>
            <w:pPr>
              <w:spacing w:after="0"/>
              <w:rPr>
                <w:sz w:val="13"/>
                <w:szCs w:val="13"/>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Fiscal year ended</w:t>
            </w: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October 31, 2011</w:t>
            </w: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Quarter</w:t>
            </w:r>
          </w:p>
        </w:tc>
        <w:tc>
          <w:tcPr>
            <w:tcW w:w="6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First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Second</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Third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Fourth</w:t>
            </w:r>
          </w:p>
        </w:tc>
        <w:tc>
          <w:tcPr>
            <w:tcW w:w="160" w:type="dxa"/>
            <w:vAlign w:val="bottom"/>
          </w:tcPr>
          <w:p>
            <w:pPr>
              <w:spacing w:after="0"/>
              <w:rPr>
                <w:sz w:val="15"/>
                <w:szCs w:val="15"/>
                <w:color w:val="auto"/>
              </w:rPr>
            </w:pPr>
          </w:p>
        </w:tc>
      </w:tr>
      <w:tr>
        <w:trPr>
          <w:trHeight w:val="162"/>
        </w:trPr>
        <w:tc>
          <w:tcPr>
            <w:tcW w:w="1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616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$383,213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$631,601</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$501,045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$368,094</w:t>
            </w: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Gross profit</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136,645</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213,554</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167,661</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118,787</w:t>
            </w:r>
          </w:p>
        </w:tc>
      </w:tr>
      <w:tr>
        <w:trPr>
          <w:trHeight w:val="162"/>
        </w:trPr>
        <w:tc>
          <w:tcPr>
            <w:tcW w:w="120" w:type="dxa"/>
            <w:vAlign w:val="bottom"/>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17,282</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60,250</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35,091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5,035</w:t>
            </w:r>
          </w:p>
        </w:tc>
      </w:tr>
      <w:tr>
        <w:trPr>
          <w:trHeight w:val="189"/>
        </w:trPr>
        <w:tc>
          <w:tcPr>
            <w:tcW w:w="120" w:type="dxa"/>
            <w:vAlign w:val="bottom"/>
          </w:tcPr>
          <w:p>
            <w:pPr>
              <w:spacing w:after="0"/>
              <w:rPr>
                <w:sz w:val="16"/>
                <w:szCs w:val="16"/>
                <w:color w:val="auto"/>
              </w:rPr>
            </w:pPr>
          </w:p>
        </w:tc>
        <w:tc>
          <w:tcPr>
            <w:tcW w:w="694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color w:val="auto"/>
                <w:vertAlign w:val="superscript"/>
              </w:rPr>
              <w:t>1</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0.54</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1.92</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1.13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0.16</w:t>
            </w:r>
          </w:p>
        </w:tc>
      </w:tr>
      <w:tr>
        <w:trPr>
          <w:trHeight w:val="189"/>
        </w:trPr>
        <w:tc>
          <w:tcPr>
            <w:tcW w:w="12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color w:val="auto"/>
                <w:vertAlign w:val="superscript"/>
              </w:rPr>
              <w:t>1</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0.53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1.88</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0.16</w:t>
            </w:r>
          </w:p>
        </w:tc>
      </w:tr>
      <w:tr>
        <w:trPr>
          <w:trHeight w:val="27"/>
        </w:trPr>
        <w:tc>
          <w:tcPr>
            <w:tcW w:w="120" w:type="dxa"/>
            <w:vAlign w:val="bottom"/>
          </w:tcPr>
          <w:p>
            <w:pPr>
              <w:spacing w:after="0"/>
              <w:rPr>
                <w:sz w:val="2"/>
                <w:szCs w:val="2"/>
                <w:color w:val="auto"/>
              </w:rPr>
            </w:pPr>
          </w:p>
        </w:tc>
        <w:tc>
          <w:tcPr>
            <w:tcW w:w="694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615"/>
        </w:trPr>
        <w:tc>
          <w:tcPr>
            <w:tcW w:w="120" w:type="dxa"/>
            <w:vAlign w:val="bottom"/>
          </w:tcPr>
          <w:p>
            <w:pPr>
              <w:spacing w:after="0"/>
              <w:rPr>
                <w:sz w:val="24"/>
                <w:szCs w:val="24"/>
                <w:color w:val="auto"/>
              </w:rPr>
            </w:pPr>
          </w:p>
        </w:tc>
        <w:tc>
          <w:tcPr>
            <w:tcW w:w="694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120" w:type="dxa"/>
            <w:vAlign w:val="bottom"/>
          </w:tcPr>
          <w:p>
            <w:pPr>
              <w:spacing w:after="0"/>
              <w:rPr>
                <w:sz w:val="13"/>
                <w:szCs w:val="13"/>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Fiscal year ended</w:t>
            </w: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October 31, 2010</w:t>
            </w: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Quarter</w:t>
            </w:r>
          </w:p>
        </w:tc>
        <w:tc>
          <w:tcPr>
            <w:tcW w:w="6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First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Second</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Third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Fourth</w:t>
            </w:r>
          </w:p>
        </w:tc>
        <w:tc>
          <w:tcPr>
            <w:tcW w:w="160" w:type="dxa"/>
            <w:vAlign w:val="bottom"/>
          </w:tcPr>
          <w:p>
            <w:pPr>
              <w:spacing w:after="0"/>
              <w:rPr>
                <w:sz w:val="15"/>
                <w:szCs w:val="15"/>
                <w:color w:val="auto"/>
              </w:rPr>
            </w:pPr>
          </w:p>
        </w:tc>
      </w:tr>
      <w:tr>
        <w:trPr>
          <w:trHeight w:val="162"/>
        </w:trPr>
        <w:tc>
          <w:tcPr>
            <w:tcW w:w="1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616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$331,358</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$562,819</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$458,890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$337,311</w:t>
            </w:r>
          </w:p>
        </w:tc>
      </w:tr>
      <w:tr>
        <w:trPr>
          <w:trHeight w:val="162"/>
        </w:trPr>
        <w:tc>
          <w:tcPr>
            <w:tcW w:w="1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color w:val="auto"/>
              </w:rPr>
              <w:t>Gross profit</w:t>
            </w:r>
          </w:p>
        </w:tc>
        <w:tc>
          <w:tcPr>
            <w:tcW w:w="616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116,391</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187,412</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161,633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110,955</w:t>
            </w:r>
          </w:p>
        </w:tc>
      </w:tr>
      <w:tr>
        <w:trPr>
          <w:trHeight w:val="162"/>
        </w:trPr>
        <w:tc>
          <w:tcPr>
            <w:tcW w:w="120" w:type="dxa"/>
            <w:vAlign w:val="bottom"/>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10,918</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45,661</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33,414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3,244</w:t>
            </w:r>
          </w:p>
        </w:tc>
      </w:tr>
      <w:tr>
        <w:trPr>
          <w:trHeight w:val="189"/>
        </w:trPr>
        <w:tc>
          <w:tcPr>
            <w:tcW w:w="120" w:type="dxa"/>
            <w:vAlign w:val="bottom"/>
          </w:tcPr>
          <w:p>
            <w:pPr>
              <w:spacing w:after="0"/>
              <w:rPr>
                <w:sz w:val="16"/>
                <w:szCs w:val="16"/>
                <w:color w:val="auto"/>
              </w:rPr>
            </w:pPr>
          </w:p>
        </w:tc>
        <w:tc>
          <w:tcPr>
            <w:tcW w:w="6940" w:type="dxa"/>
            <w:vAlign w:val="bottom"/>
            <w:gridSpan w:val="2"/>
          </w:tcPr>
          <w:p>
            <w:pPr>
              <w:spacing w:after="0" w:line="189" w:lineRule="exact"/>
              <w:rPr>
                <w:sz w:val="20"/>
                <w:szCs w:val="20"/>
                <w:color w:val="auto"/>
              </w:rPr>
            </w:pPr>
            <w:r>
              <w:rPr>
                <w:rFonts w:ascii="Arial" w:cs="Arial" w:eastAsia="Arial" w:hAnsi="Arial"/>
                <w:sz w:val="14"/>
                <w:szCs w:val="14"/>
                <w:color w:val="auto"/>
              </w:rPr>
              <w:t>Basic net earnings per share</w:t>
            </w:r>
            <w:r>
              <w:rPr>
                <w:rFonts w:ascii="Arial" w:cs="Arial" w:eastAsia="Arial" w:hAnsi="Arial"/>
                <w:sz w:val="21"/>
                <w:szCs w:val="21"/>
                <w:color w:val="auto"/>
                <w:vertAlign w:val="superscript"/>
              </w:rPr>
              <w:t>1</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0.32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0.10</w:t>
            </w:r>
          </w:p>
        </w:tc>
      </w:tr>
      <w:tr>
        <w:trPr>
          <w:trHeight w:val="189"/>
        </w:trPr>
        <w:tc>
          <w:tcPr>
            <w:tcW w:w="12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Diluted net earnings per share</w:t>
            </w:r>
            <w:r>
              <w:rPr>
                <w:rFonts w:ascii="Arial" w:cs="Arial" w:eastAsia="Arial" w:hAnsi="Arial"/>
                <w:sz w:val="21"/>
                <w:szCs w:val="21"/>
                <w:color w:val="auto"/>
                <w:vertAlign w:val="superscript"/>
              </w:rPr>
              <w:t>1</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0.32</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0.10</w:t>
            </w:r>
          </w:p>
        </w:tc>
      </w:tr>
      <w:tr>
        <w:trPr>
          <w:trHeight w:val="27"/>
        </w:trPr>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40"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67" w:name="page68"/>
    <w:bookmarkEnd w:id="67"/>
    <w:p>
      <w:pPr>
        <w:ind w:right="660"/>
        <w:spacing w:after="0" w:line="262"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relating to the company and its consolidated subsidiaries is accumulated and communicated to management, including the Chief Executive Officer and Chief Financial Officer, as appropriate to allow timely decisions regarding required disclosures.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2011 that has materially affected, or is reasonably likely to materially affect, the company's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4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 Audit Committee," in the company's proxy statement for its 2012 Annual Meeting of Shareholders to be filed with the SEC.</w:t>
      </w:r>
    </w:p>
    <w:p>
      <w:pPr>
        <w:spacing w:after="0" w:line="210"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 xml:space="preserve">During the fourth quarter of fiscal 2011, the company did not make any material changes to the procedures by which shareholders may recommend nominees to the board of directors, as described in the company's proxy statement for its 2011 Annual Meeting of Shareholders. The company has a Code of Ethics for its CEO and Senior Financial Officers, a copy of which is posted on the company's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The company intends to satisfy the disclosure requirements of Item 5.05 of Form 8-K and applicable NYSE rules regarding amendments to or waivers from any provision of its code of ethics by posting such information on its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4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"Executive Compensation" and "Corporate Governance – Director Compensation" in the company's proxy statement for its 2012 Annual Meeting of Shareholders to be filed with the SEC.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8" w:name="page69"/>
    <w:bookmarkEnd w:id="68"/>
    <w:p>
      <w:pPr>
        <w:ind w:right="460"/>
        <w:spacing w:after="0" w:line="262"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87"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"Stock Ownership" and "Equity Compensation Plan Information" in the company's proxy statement for its 2012 Annual Meeting of Shareholders to be filed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Policies and Procedures Regarding Related Person Transactions" in the company's proxy statement for its 2012 Annual Meeting of Shareholders to be filed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42"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2012 Annual Meeting of Shareholders to be filed with the SEC.</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24"/>
          <w:szCs w:val="24"/>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Toro Company and its consolidated subsidiaries are included in Part II, Item 8, "Financial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of this report:</w:t>
      </w:r>
    </w:p>
    <w:p>
      <w:pPr>
        <w:spacing w:after="0" w:line="212"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ind w:left="540" w:hanging="532"/>
        <w:spacing w:after="0" w:line="23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2011, 2010, and 2009.</w:t>
      </w: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Balance Sheets as of October 31, 2011 and 2010.</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2011, 2010, and 2009.</w:t>
      </w: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Consolidated Statements of Stockholders' Equity and Comprehensive Income for the fiscal years ended October 31, 2011, 2010, and 2009.</w:t>
      </w:r>
    </w:p>
    <w:p>
      <w:pPr>
        <w:spacing w:after="0" w:line="18"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25"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12" w:lineRule="exact"/>
        <w:rPr>
          <w:sz w:val="20"/>
          <w:szCs w:val="20"/>
          <w:color w:val="auto"/>
        </w:rPr>
      </w:pPr>
    </w:p>
    <w:p>
      <w:pPr>
        <w:ind w:right="460" w:firstLine="137"/>
        <w:spacing w:after="0" w:line="239"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195"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36" w:lineRule="exact"/>
        <w:rPr>
          <w:sz w:val="20"/>
          <w:szCs w:val="20"/>
          <w:color w:val="auto"/>
        </w:rPr>
      </w:pPr>
    </w:p>
    <w:p>
      <w:pPr>
        <w:ind w:right="500"/>
        <w:spacing w:after="0" w:line="328" w:lineRule="auto"/>
        <w:rPr>
          <w:sz w:val="20"/>
          <w:szCs w:val="20"/>
          <w:color w:val="auto"/>
        </w:rPr>
      </w:pPr>
      <w:r>
        <w:rPr>
          <w:rFonts w:ascii="Arial" w:cs="Arial" w:eastAsia="Arial" w:hAnsi="Arial"/>
          <w:sz w:val="16"/>
          <w:szCs w:val="16"/>
          <w:b w:val="1"/>
          <w:bCs w:val="1"/>
          <w:color w:val="auto"/>
        </w:rPr>
        <w:t xml:space="preserve">2.1 (1) </w:t>
      </w:r>
      <w:r>
        <w:rPr>
          <w:rFonts w:ascii="Arial" w:cs="Arial" w:eastAsia="Arial" w:hAnsi="Arial"/>
          <w:sz w:val="16"/>
          <w:szCs w:val="16"/>
          <w:color w:val="auto"/>
        </w:rPr>
        <w:t>Agreement to Form Joint Venture dated August 12, 2009 by and between The Toro Company and TCF Inventory Finance, Inc.</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August 12, 2009, Commission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2.2 (1) </w:t>
      </w:r>
      <w:r>
        <w:rPr>
          <w:rFonts w:ascii="Arial" w:cs="Arial" w:eastAsia="Arial" w:hAnsi="Arial"/>
          <w:sz w:val="18"/>
          <w:szCs w:val="18"/>
          <w:color w:val="auto"/>
        </w:rPr>
        <w:t>Limited Liability Company Agreement of Red Iron Acceptance, LLC dated August 12, 2009 by and between Red Iron Holding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TCFIF Joint Venture I, LLC (incorporated by reference to Exhibit 2.2 to Registrant's Current Report on Form 8-K dated August 12, 2009, Commission File No. 1-8649).**</w:t>
      </w:r>
    </w:p>
    <w:p>
      <w:pPr>
        <w:spacing w:after="0" w:line="207"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Receivable Purchase Agreement by and among Toro Credit Company, as Seller, The Toro Company, and Red Iron Acceptance, LLC, as</w:t>
      </w:r>
      <w:r>
        <w:rPr>
          <w:rFonts w:ascii="Arial" w:cs="Arial" w:eastAsia="Arial" w:hAnsi="Arial"/>
          <w:sz w:val="16"/>
          <w:szCs w:val="16"/>
          <w:b w:val="1"/>
          <w:bCs w:val="1"/>
          <w:color w:val="auto"/>
        </w:rPr>
        <w:t xml:space="preserve"> </w:t>
      </w:r>
      <w:r>
        <w:rPr>
          <w:rFonts w:ascii="Arial" w:cs="Arial" w:eastAsia="Arial" w:hAnsi="Arial"/>
          <w:sz w:val="16"/>
          <w:szCs w:val="16"/>
          <w:color w:val="auto"/>
        </w:rPr>
        <w:t>Buyer (incorporated by reference to Exhibit 2.1 to Registrant's Current Report on Form 8-K dated October 1, 2009, Commission File No. 1-8649).**</w:t>
      </w:r>
    </w:p>
    <w:p>
      <w:pPr>
        <w:spacing w:after="0" w:line="145"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Second Amended and Restated Repurchase Agreement, dated as of October 29, 2010, by and between The Toro Company and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LLC (incorporated by reference to Exhibit 2.1 to Registrant's Current Report on Form 8-K dated October 29, 2010, Commission File No. 1-8649).**</w:t>
      </w:r>
    </w:p>
    <w:p>
      <w:pPr>
        <w:sectPr>
          <w:pgSz w:w="11900" w:h="16838" w:orient="portrait"/>
          <w:cols w:equalWidth="0" w:num="1">
            <w:col w:w="11400"/>
          </w:cols>
          <w:pgMar w:left="240" w:top="106" w:right="259" w:bottom="1440" w:gutter="0" w:footer="0" w:header="0"/>
        </w:sect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type w:val="continuous"/>
        </w:sectPr>
      </w:pPr>
    </w:p>
    <w:bookmarkStart w:id="69" w:name="page70"/>
    <w:bookmarkEnd w:id="69"/>
    <w:p>
      <w:pPr>
        <w:ind w:right="200"/>
        <w:spacing w:after="0" w:line="264"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First Amendment to Second Amended and Restated Repurchase Agreement (Two Step), by and between The Toro Company and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LLC (filed herewith).</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3.1 and 4.1 </w:t>
      </w:r>
      <w:r>
        <w:rPr>
          <w:rFonts w:ascii="Arial" w:cs="Arial" w:eastAsia="Arial" w:hAnsi="Arial"/>
          <w:sz w:val="18"/>
          <w:szCs w:val="18"/>
          <w:color w:val="auto"/>
        </w:rPr>
        <w:t>Restated Certificate of Incorporation of The Toro Company (incorporated by reference to Exhibit 3.1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 xml:space="preserve">3.2 and 4.2 </w:t>
      </w:r>
      <w:r>
        <w:rPr>
          <w:rFonts w:ascii="Arial" w:cs="Arial" w:eastAsia="Arial" w:hAnsi="Arial"/>
          <w:sz w:val="18"/>
          <w:szCs w:val="18"/>
          <w:color w:val="auto"/>
        </w:rPr>
        <w:t>Amended and Restated Bylaws of The Toro Company (incorporated by reference to Exhibit 3.2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Specimen Form of Common Stock Certificate (incorporated by reference to Exhibit 4(c) to Registrant's Quarterly Report on Form 10-Q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August 1, 2008, Commission File No. 1-8649).</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Indenture dated as of January 31, 1997, between Registrant and First National Trust Association, as Trustee, relating to The Toro Company's</w:t>
      </w:r>
    </w:p>
    <w:p>
      <w:pPr>
        <w:spacing w:after="0" w:line="4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7.80% Debentures due June 15, 2027 (incorporated by reference to Exhibit 4(a) to Registrant's Current Report on Form 8-K dated June 24, 1997, Commission File No. 1-8649).</w:t>
      </w:r>
    </w:p>
    <w:p>
      <w:pPr>
        <w:spacing w:after="0" w:line="21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Indenture dated as of April 20, 2007, between Registrant and The Bank of New York Trust Company, N.A., as Trustee, relating to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6.625% Notes due May 1, 2037 (incorporated by reference to Exhibit 4.3 to Registrant's Registration Statement on Form S-3 filed with the Securities and Exchange Commission on April 23, 2007, Registration No. 333-142282).</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First Supplemental Indenture dated as of April 26, 2007, between Registrant and The Bank of New York Trust Company, N.A., as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Toro Company's 6.625% Notes due May 1, 2037 (incorporated by reference to Exhibit 4.1 to Registrant's Current Report on Form 8-K dated April 23, 2007, Commission File No. 1-8649).</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Form of The Toro Company 6.625% Note due May 1, 2037 (incorporated by reference to Exhibit 4.2 to Registrant's Current Report on Form 8-K dated April 23, 2007, Commission File No. 1-8649).</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Toro Company 2010 Equity and Incentive Plan (incorporated by reference to Exhibit 10.1 to Registrant's Current Report on Form 8-K</w:t>
      </w:r>
      <w:r>
        <w:rPr>
          <w:rFonts w:ascii="Arial" w:cs="Arial" w:eastAsia="Arial" w:hAnsi="Arial"/>
          <w:sz w:val="18"/>
          <w:szCs w:val="18"/>
          <w:b w:val="1"/>
          <w:bCs w:val="1"/>
          <w:color w:val="auto"/>
        </w:rPr>
        <w:t xml:space="preserve"> </w:t>
      </w:r>
      <w:r>
        <w:rPr>
          <w:rFonts w:ascii="Arial" w:cs="Arial" w:eastAsia="Arial" w:hAnsi="Arial"/>
          <w:sz w:val="18"/>
          <w:szCs w:val="18"/>
          <w:color w:val="auto"/>
        </w:rPr>
        <w:t>dated March 16, 2010, Commission File No. 1-8649).*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Amendment No. 1 to The Toro Company 2010 Equity and Incentive Plan (filed herewith).*</w:t>
      </w:r>
    </w:p>
    <w:p>
      <w:pPr>
        <w:spacing w:after="0" w:line="23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The Toro Company 1993 Stock Option Plan, as amended (incorporated by reference to Exhibit 10(f)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July 30, 1999, Commission File No. 1-8649).*</w:t>
      </w:r>
    </w:p>
    <w:p>
      <w:pPr>
        <w:spacing w:after="0" w:line="19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The Toro Company Performance Share Plan (As Amended January 15, 2008) (incorporated by reference to Exhibit 10.2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January 15, 2008, Commission File No. 1-8649).*</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The Toro Company 2000 Stock Option Plan (As Amended December 3, 2008) (incorporated by reference to Exhibit 10.5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for the fiscal year ended October 31, 2008, Commission File No. 1-8649).*</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The Toro Company Supplemental Benefit Plan, Amended and Restated Effective January 1, 2009 (incorporated by reference to Exhibit 10(d)</w:t>
      </w:r>
      <w:r>
        <w:rPr>
          <w:rFonts w:ascii="Arial" w:cs="Arial" w:eastAsia="Arial" w:hAnsi="Arial"/>
          <w:sz w:val="18"/>
          <w:szCs w:val="18"/>
          <w:b w:val="1"/>
          <w:bCs w:val="1"/>
          <w:color w:val="auto"/>
        </w:rPr>
        <w:t xml:space="preserve"> </w:t>
      </w:r>
      <w:r>
        <w:rPr>
          <w:rFonts w:ascii="Arial" w:cs="Arial" w:eastAsia="Arial" w:hAnsi="Arial"/>
          <w:sz w:val="18"/>
          <w:szCs w:val="18"/>
          <w:color w:val="auto"/>
        </w:rPr>
        <w:t>to Registrant's Quarterly Report on Form 10-Q for the quarter ended August 1, 2008, Commission File No. 1-8649).*</w:t>
      </w:r>
    </w:p>
    <w:p>
      <w:pPr>
        <w:spacing w:after="0" w:line="193"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The Toro Company Deferred Compensation Plan, Amended and Restated Effective January 1, 2009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10(a) to Registrant's Quarterly Report on Form 10-Q for the quarter ended August 1, 2008, Commission File No. 1-8649).*</w:t>
      </w:r>
    </w:p>
    <w:p>
      <w:pPr>
        <w:spacing w:after="0" w:line="193"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b w:val="1"/>
          <w:bCs w:val="1"/>
          <w:color w:val="auto"/>
        </w:rPr>
        <w:t xml:space="preserve">10.8 </w:t>
      </w:r>
      <w:r>
        <w:rPr>
          <w:rFonts w:ascii="Arial" w:cs="Arial" w:eastAsia="Arial" w:hAnsi="Arial"/>
          <w:sz w:val="16"/>
          <w:szCs w:val="16"/>
          <w:color w:val="auto"/>
        </w:rPr>
        <w:t>The Toro Company Deferred Compensation Plan for Officers, Amended and Restated Effective January 1, 2009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to Exhibit 10 (b) to Registrant's Quarterly Report on Form 10-Q for the quarter ended August 1, 2008, Commission File No. 1-8649).*</w:t>
      </w:r>
    </w:p>
    <w:p>
      <w:pPr>
        <w:spacing w:after="0" w:line="14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The Toro Company Deferred Compensation Plan for Non-Employee Directors, Amended and Restated Effective January 1, 2009</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10(c) to Registrant's Quarterly Report on Form 10-Q for the quarter ended August 1, 2008, Commission File No. 1-8649).*</w:t>
      </w:r>
    </w:p>
    <w:p>
      <w:pPr>
        <w:spacing w:after="0" w:line="20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color w:val="auto"/>
        </w:rPr>
        <w:t>The Toro Company 2000 Directors Stock Plan (As Amended March 18, 2009) (incorporated by reference to Exhibit 10.1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May 1, 2009, Commission File No. 1-8649).*</w:t>
      </w:r>
    </w:p>
    <w:p>
      <w:pPr>
        <w:spacing w:after="0" w:line="193"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Form of Nonqualified Stock Option Agreement between The Toro Company and its Non-Employee Directors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Directors Stock Plan (incorporated by reference to Exhibit 10.20 to Registrant's Annual Report on Form 10-K for the fiscal year ended October 31, 2008, Commission File No. 1-8649).*</w:t>
      </w:r>
    </w:p>
    <w:p>
      <w:pPr>
        <w:spacing w:after="0" w:line="207"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Form of Nonemployee Director Stock Option Agreement between The Toro Company and its Non-Employee Directors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(incorporated by reference to Exhibit 10.1 to Registrant's Quarterly Report on Form 10-Q for the quarter ended July 30, 2010, Commission File No. 1-8649).*</w:t>
      </w:r>
    </w:p>
    <w:p>
      <w:pPr>
        <w:sectPr>
          <w:pgSz w:w="11900" w:h="16838" w:orient="portrait"/>
          <w:cols w:equalWidth="0" w:num="1">
            <w:col w:w="11420"/>
          </w:cols>
          <w:pgMar w:left="240" w:top="12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0" w:name="page71"/>
    <w:bookmarkEnd w:id="70"/>
    <w:p>
      <w:pPr>
        <w:ind w:right="60"/>
        <w:spacing w:after="0" w:line="249"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Stock Option Plan (incorporated by reference to Exhibit 10.21 to Registrant's Annual Report on Form 10-K for the fiscal year ended October 31, 2008, Commission File No. 1-8649).*</w:t>
      </w:r>
    </w:p>
    <w:p>
      <w:pPr>
        <w:spacing w:after="0" w:line="20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10.2 to Registrant's Quarterly Report on Form 10-Q for the quarter ended July 30, 2010, Commission File No. 1-8649).*</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Plan (incorporated by reference to Exhibit 10(t) to Registrant's Annual Report on Form 10-K for the fiscal year ended October 31, 2007, Commission File No. 1-8649).*</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10.17 to Registrant's Annual Report on Form 10-K for the fiscal year ended October 31, 2010, Commission File No. 1-8649).*</w:t>
      </w:r>
    </w:p>
    <w:p>
      <w:pPr>
        <w:spacing w:after="0" w:line="207"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Form of Annual Performance Award Agreement between The Toro Company and its officers and other employees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(filed herewith).*</w:t>
      </w:r>
    </w:p>
    <w:p>
      <w:pPr>
        <w:spacing w:after="0" w:line="193"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auto"/>
        </w:rPr>
        <w:t xml:space="preserve">10.18 </w:t>
      </w:r>
      <w:r>
        <w:rPr>
          <w:rFonts w:ascii="Arial" w:cs="Arial" w:eastAsia="Arial" w:hAnsi="Arial"/>
          <w:sz w:val="18"/>
          <w:szCs w:val="18"/>
          <w:color w:val="auto"/>
        </w:rPr>
        <w:t>Form of Restricted Stock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10.3 to Registrant's Quarterly Report on Form 10-Q for the quarter ended July 30, 2010, Commission File No. 1-8649).*</w:t>
      </w:r>
    </w:p>
    <w:p>
      <w:pPr>
        <w:spacing w:after="0" w:line="2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color w:val="auto"/>
        </w:rPr>
        <w:t>Indemnification Agreement with the members of the Board of Directors (incorporated by reference to Exhibit 10(u)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ended October 31, 2006, Commission File No. 1-8649).*</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color w:val="auto"/>
        </w:rPr>
        <w:t>Restricted Stock Agreement – Judy Altmaier (incorporated by reference to Exhibit 10.16 to Registrant's Annual Report on Form 10-K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ended October 31, 2009, Commission File No. 1-8649).*</w:t>
      </w:r>
    </w:p>
    <w:p>
      <w:pPr>
        <w:spacing w:after="0" w:line="19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The Toro Company Change in Control Severance Compensation Policy and attached Form of Release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10.1 to Registrant's Current Report on Form 8-K dated January 18, 2011, Commission File No. 1-8649).*</w:t>
      </w:r>
    </w:p>
    <w:p>
      <w:pPr>
        <w:spacing w:after="0" w:line="1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Summary of Retirement Arrangements with Stephen P. Wolfe (incorporated by reference to Item 5.02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March 30, 2011, Commission File No. 1-8649).*</w:t>
      </w:r>
    </w:p>
    <w:p>
      <w:pPr>
        <w:spacing w:after="0" w:line="193"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Offer Letter dated July 25, 2011 between The Toro Company and Renee J. Peterson (incorporated by reference to Exhibit 10.1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July 29, 2011, Commission File No. 1-8649).*</w:t>
      </w:r>
    </w:p>
    <w:p>
      <w:pPr>
        <w:spacing w:after="0" w:line="193"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b w:val="1"/>
          <w:bCs w:val="1"/>
          <w:color w:val="auto"/>
        </w:rPr>
        <w:t xml:space="preserve">10.24 </w:t>
      </w:r>
      <w:r>
        <w:rPr>
          <w:rFonts w:ascii="Arial" w:cs="Arial" w:eastAsia="Arial" w:hAnsi="Arial"/>
          <w:sz w:val="16"/>
          <w:szCs w:val="16"/>
          <w:color w:val="auto"/>
        </w:rPr>
        <w:t>Credit Agreement dated as of July 28, 2011, among The Toro Company, Toro Manufacturing LLC, Exmark Manufacturing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Toro International Company and certain subsidiaries, as Borrowers, the lenders from time to time party thereto, Bank of America, N.A., as Administrative Agent, Swing Line Lender and Letter of Credit Issuer and Wells Fargo Bank, National Association, as Syndication Agent (incorporated by reference to Exhibit 10.1 to Registrant's Current Report on Form 8-K dated July 28, 2011, Commission File No. 1-8649).</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10.25 </w:t>
      </w:r>
      <w:r>
        <w:rPr>
          <w:rFonts w:ascii="Arial" w:cs="Arial" w:eastAsia="Arial" w:hAnsi="Arial"/>
          <w:sz w:val="18"/>
          <w:szCs w:val="18"/>
          <w:color w:val="auto"/>
        </w:rPr>
        <w:t>Underwriting Agreement, dated as of April 23, 2007, between The Toro Company and Banc of America Securities LLC, as representative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several underwriters named therein (incorporated by reference to Exhibit 1.1 to Registrant's Current Report on Form 8-K dated April 23, 2007, Commission File No. 1-8649).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10.26 (1)  </w:t>
      </w:r>
      <w:r>
        <w:rPr>
          <w:rFonts w:ascii="Arial" w:cs="Arial" w:eastAsia="Arial" w:hAnsi="Arial"/>
          <w:sz w:val="18"/>
          <w:szCs w:val="18"/>
          <w:color w:val="auto"/>
        </w:rPr>
        <w:t>Credit and Security Agreement dated August 12, 2009 by and between Red Iron Acceptance, LLC and TCF Inventory Finance,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 to Registrant's Current Report on Form 8-K dated August 12, 2009, Commission File No. 1-8649).</w:t>
      </w:r>
    </w:p>
    <w:p>
      <w:pPr>
        <w:spacing w:after="0" w:line="21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10.27 </w:t>
      </w:r>
      <w:r>
        <w:rPr>
          <w:rFonts w:ascii="Arial" w:cs="Arial" w:eastAsia="Arial" w:hAnsi="Arial"/>
          <w:sz w:val="18"/>
          <w:szCs w:val="18"/>
          <w:color w:val="auto"/>
        </w:rPr>
        <w:t>Asset Purchase Agreement, dated as of February 8, 2005, by and among Editland Limited, Toro Hayter (Guernsey) Limited, Hayter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Toro Company (incorporated by reference to Exhibit 99.1 to Registrant's Current Report on Form 8-K dated February 8, 2005, Commission File No. 1-8649).</w:t>
      </w:r>
    </w:p>
    <w:p>
      <w:pPr>
        <w:spacing w:after="0" w:line="22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 (filed herewith).</w:t>
      </w:r>
    </w:p>
    <w:p>
      <w:pPr>
        <w:spacing w:after="0" w:line="23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Subsidiaries of Registrant (filed herewith).</w:t>
      </w:r>
    </w:p>
    <w:p>
      <w:pPr>
        <w:spacing w:after="0" w:line="23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 (filed herewith).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Certification of Chief Executive Officer Pursuant to Rule 13a-14(a) (Section 302 of the Sarbanes-Oxley Act of 2002) (filed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Certification of Chief Financial Officer Pursuant to Rule 13a-14(a) (Section 302 of the Sarbanes-Oxley Act of 2002) (filed herewith).</w:t>
      </w:r>
    </w:p>
    <w:p>
      <w:pPr>
        <w:sectPr>
          <w:pgSz w:w="11900" w:h="16838" w:orient="portrait"/>
          <w:cols w:equalWidth="0" w:num="1">
            <w:col w:w="11400"/>
          </w:cols>
          <w:pgMar w:left="240" w:top="121" w:right="259"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1" w:name="page72"/>
    <w:bookmarkEnd w:id="71"/>
    <w:p>
      <w:pPr>
        <w:ind w:right="20" w:firstLine="8"/>
        <w:spacing w:after="0" w:line="239" w:lineRule="auto"/>
        <w:tabs>
          <w:tab w:leader="none" w:pos="342"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36" w:lineRule="exact"/>
        <w:rPr>
          <w:sz w:val="20"/>
          <w:szCs w:val="20"/>
          <w:color w:val="auto"/>
        </w:rPr>
      </w:pPr>
    </w:p>
    <w:p>
      <w:pPr>
        <w:ind w:right="120" w:firstLine="8"/>
        <w:spacing w:after="0" w:line="264" w:lineRule="auto"/>
        <w:tabs>
          <w:tab w:leader="none" w:pos="436"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The following financial information from The Toro Company's Annual Report on Form 10-K for the fiscal year ended October 31, 2011, filed with the SEC on December 21, 2011, formatted in eXtensible Business Reporting Language (XBRL): (i) Consolidated Statements of Earnings for each of the fiscal years in the three-year period ended October 31, 2011, (ii) Consolidated Balance Sheets as of October 31, 2011 and 2010, (iii) Consolidated Statements of Cash Flows for each of the fiscal years in the three-year period ended October 31, 2011, (iv) Consolidated Statements of Stockholders' Equity and Comprehensive Income for each of the fiscal years in the three-year period ended October 31, 2011, and</w:t>
      </w:r>
    </w:p>
    <w:p>
      <w:pPr>
        <w:spacing w:after="0"/>
        <w:rPr>
          <w:rFonts w:ascii="Arial" w:cs="Arial" w:eastAsia="Arial" w:hAnsi="Arial"/>
          <w:sz w:val="16"/>
          <w:szCs w:val="16"/>
          <w:b w:val="1"/>
          <w:bCs w:val="1"/>
          <w:color w:val="auto"/>
        </w:rPr>
      </w:pPr>
      <w:r>
        <w:rPr>
          <w:rFonts w:ascii="Arial" w:cs="Arial" w:eastAsia="Arial" w:hAnsi="Arial"/>
          <w:sz w:val="18"/>
          <w:szCs w:val="18"/>
          <w:color w:val="auto"/>
        </w:rPr>
        <w:t>(v) Notes to Consolidated Financial Statements.***</w:t>
      </w:r>
    </w:p>
    <w:p>
      <w:pPr>
        <w:spacing w:after="0" w:line="213" w:lineRule="exact"/>
        <w:rPr>
          <w:sz w:val="20"/>
          <w:szCs w:val="20"/>
          <w:color w:val="auto"/>
        </w:rPr>
      </w:pPr>
    </w:p>
    <w:p>
      <w:pPr>
        <w:ind w:left="540" w:right="420" w:hanging="532"/>
        <w:spacing w:after="0" w:line="258"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240x). The redacted material was filed separately with the Securities and Exchange Commission.</w:t>
      </w:r>
    </w:p>
    <w:p>
      <w:pPr>
        <w:spacing w:after="0" w:line="140" w:lineRule="exact"/>
        <w:rPr>
          <w:sz w:val="20"/>
          <w:szCs w:val="20"/>
          <w:color w:val="auto"/>
        </w:rPr>
      </w:pPr>
    </w:p>
    <w:p>
      <w:pPr>
        <w:ind w:left="540" w:right="80" w:hanging="532"/>
        <w:spacing w:after="0" w:line="24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required to be filed as an exhibit to this Annual Report on Form 10-K pursuant to Item 15(b) of Regulation S-K.</w:t>
      </w:r>
    </w:p>
    <w:p>
      <w:pPr>
        <w:spacing w:after="0" w:line="319" w:lineRule="exact"/>
        <w:rPr>
          <w:sz w:val="20"/>
          <w:szCs w:val="20"/>
          <w:color w:val="auto"/>
        </w:rPr>
      </w:pPr>
    </w:p>
    <w:p>
      <w:pPr>
        <w:ind w:left="540" w:right="480" w:hanging="532"/>
        <w:spacing w:after="0" w:line="258"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40" w:lineRule="exact"/>
        <w:rPr>
          <w:rFonts w:ascii="Arial" w:cs="Arial" w:eastAsia="Arial" w:hAnsi="Arial"/>
          <w:sz w:val="14"/>
          <w:szCs w:val="14"/>
          <w:color w:val="auto"/>
        </w:rPr>
      </w:pPr>
    </w:p>
    <w:p>
      <w:pPr>
        <w:ind w:left="540" w:hanging="532"/>
        <w:spacing w:after="0" w:line="247"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Pursuant to Rule 406T of Regulation S-T, the XBRL related information in Exhibit 101 to this Annual Report on Form 10-K shall not be deemed to be "filed" for purposes of Section 18 of the Securities Exchange Act of 1934, as amended, or otherwise subject to the liability of that section, and shall not be deemed part of a registration statement, prospectus or other document filed under Sections 11 or 12 of the Securities Act of 1933, as amended, or otherwise subject to the liability of those sections, except as shall be expressly set forth by specific reference in such filings.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2" w:name="page73"/>
    <w:bookmarkEnd w:id="72"/>
    <w:p>
      <w:pPr>
        <w:ind w:left="4900"/>
        <w:spacing w:after="0"/>
        <w:rPr>
          <w:sz w:val="20"/>
          <w:szCs w:val="20"/>
          <w:color w:val="auto"/>
        </w:rPr>
      </w:pPr>
      <w:r>
        <w:rPr>
          <w:rFonts w:ascii="Arial" w:cs="Arial" w:eastAsia="Arial" w:hAnsi="Arial"/>
          <w:sz w:val="24"/>
          <w:szCs w:val="24"/>
          <w:b w:val="1"/>
          <w:bCs w:val="1"/>
          <w:color w:val="auto"/>
        </w:rPr>
        <w:t>SCHEDULE II</w:t>
      </w:r>
    </w:p>
    <w:p>
      <w:pPr>
        <w:spacing w:after="0" w:line="224" w:lineRule="exact"/>
        <w:rPr>
          <w:sz w:val="20"/>
          <w:szCs w:val="20"/>
          <w:color w:val="auto"/>
        </w:rPr>
      </w:pPr>
    </w:p>
    <w:p>
      <w:pPr>
        <w:ind w:left="3240"/>
        <w:spacing w:after="0"/>
        <w:rPr>
          <w:sz w:val="20"/>
          <w:szCs w:val="20"/>
          <w:color w:val="auto"/>
        </w:rPr>
      </w:pPr>
      <w:r>
        <w:rPr>
          <w:rFonts w:ascii="Arial" w:cs="Arial" w:eastAsia="Arial" w:hAnsi="Arial"/>
          <w:sz w:val="24"/>
          <w:szCs w:val="24"/>
          <w:b w:val="1"/>
          <w:bCs w:val="1"/>
          <w:color w:val="auto"/>
        </w:rPr>
        <w:t>THE TORO COMPANY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Valuation and Qualifying Accounts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0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Balance as of</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Charged to</w:t>
            </w: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Balance as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jc w:val="right"/>
              <w:ind w:right="8"/>
              <w:spacing w:after="0" w:line="157" w:lineRule="exact"/>
              <w:rPr>
                <w:sz w:val="20"/>
                <w:szCs w:val="20"/>
                <w:color w:val="auto"/>
              </w:rPr>
            </w:pPr>
            <w:r>
              <w:rPr>
                <w:rFonts w:ascii="Arial" w:cs="Arial" w:eastAsia="Arial" w:hAnsi="Arial"/>
                <w:sz w:val="14"/>
                <w:szCs w:val="14"/>
                <w:color w:val="auto"/>
              </w:rPr>
              <w:t>the beginning</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costs and</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108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of the fiscal year</w:t>
            </w:r>
          </w:p>
        </w:tc>
        <w:tc>
          <w:tcPr>
            <w:tcW w:w="88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expenses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500" w:type="dxa"/>
            <w:vAlign w:val="bottom"/>
          </w:tcPr>
          <w:p>
            <w:pPr>
              <w:jc w:val="right"/>
              <w:ind w:right="8"/>
              <w:spacing w:after="0" w:line="216" w:lineRule="exact"/>
              <w:rPr>
                <w:sz w:val="20"/>
                <w:szCs w:val="20"/>
                <w:color w:val="auto"/>
              </w:rPr>
            </w:pPr>
            <w:r>
              <w:rPr>
                <w:rFonts w:ascii="Arial" w:cs="Arial" w:eastAsia="Arial" w:hAnsi="Arial"/>
                <w:sz w:val="14"/>
                <w:szCs w:val="14"/>
                <w:color w:val="auto"/>
                <w:w w:val="93"/>
              </w:rPr>
              <w:t>Other</w:t>
            </w:r>
            <w:r>
              <w:rPr>
                <w:rFonts w:ascii="Arial" w:cs="Arial" w:eastAsia="Arial" w:hAnsi="Arial"/>
                <w:sz w:val="21"/>
                <w:szCs w:val="21"/>
                <w:color w:val="auto"/>
                <w:w w:val="93"/>
                <w:vertAlign w:val="superscript"/>
              </w:rPr>
              <w:t>2</w:t>
            </w:r>
          </w:p>
        </w:tc>
        <w:tc>
          <w:tcPr>
            <w:tcW w:w="160" w:type="dxa"/>
            <w:vAlign w:val="bottom"/>
          </w:tcPr>
          <w:p>
            <w:pPr>
              <w:spacing w:after="0"/>
              <w:rPr>
                <w:sz w:val="18"/>
                <w:szCs w:val="18"/>
                <w:color w:val="auto"/>
              </w:rPr>
            </w:pPr>
          </w:p>
        </w:tc>
        <w:tc>
          <w:tcPr>
            <w:tcW w:w="860" w:type="dxa"/>
            <w:vAlign w:val="bottom"/>
          </w:tcPr>
          <w:p>
            <w:pPr>
              <w:jc w:val="right"/>
              <w:ind w:right="8"/>
              <w:spacing w:after="0" w:line="216"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3</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2011</w:t>
            </w:r>
          </w:p>
        </w:tc>
        <w:tc>
          <w:tcPr>
            <w:tcW w:w="10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3,904</w:t>
            </w:r>
          </w:p>
        </w:tc>
        <w:tc>
          <w:tcPr>
            <w:tcW w:w="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2010</w:t>
            </w:r>
          </w:p>
        </w:tc>
        <w:tc>
          <w:tcPr>
            <w:tcW w:w="10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40" w:type="dxa"/>
            <w:vAlign w:val="bottom"/>
            <w:gridSpan w:val="3"/>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10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4,151</w:t>
            </w:r>
          </w:p>
        </w:tc>
        <w:tc>
          <w:tcPr>
            <w:tcW w:w="6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666</w:t>
            </w:r>
          </w:p>
        </w:tc>
        <w:tc>
          <w:tcPr>
            <w:tcW w:w="26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983</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Fiscal year ended October 31, 2009</w:t>
            </w:r>
          </w:p>
        </w:tc>
        <w:tc>
          <w:tcPr>
            <w:tcW w:w="10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2,726</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1,811</w:t>
            </w: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386</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5040" w:type="dxa"/>
            <w:vAlign w:val="bottom"/>
            <w:vMerge w:val="restart"/>
          </w:tcPr>
          <w:p>
            <w:pPr>
              <w:ind w:left="240"/>
              <w:spacing w:after="0"/>
              <w:rPr>
                <w:sz w:val="20"/>
                <w:szCs w:val="20"/>
                <w:color w:val="auto"/>
              </w:rPr>
            </w:pPr>
            <w:r>
              <w:rPr>
                <w:rFonts w:ascii="Arial" w:cs="Arial" w:eastAsia="Arial" w:hAnsi="Arial"/>
                <w:sz w:val="14"/>
                <w:szCs w:val="14"/>
                <w:color w:val="auto"/>
              </w:rPr>
              <w:t>Provision/(recovery).</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0" w:type="dxa"/>
            <w:vAlign w:val="bottom"/>
            <w:gridSpan w:val="2"/>
            <w:vMerge w:val="restart"/>
          </w:tcPr>
          <w:p>
            <w:pPr>
              <w:spacing w:after="0"/>
              <w:rPr>
                <w:sz w:val="20"/>
                <w:szCs w:val="20"/>
                <w:color w:val="auto"/>
              </w:rPr>
            </w:pPr>
            <w:r>
              <w:rPr>
                <w:rFonts w:ascii="Arial" w:cs="Arial" w:eastAsia="Arial" w:hAnsi="Arial"/>
                <w:sz w:val="11"/>
                <w:szCs w:val="11"/>
                <w:color w:val="auto"/>
              </w:rPr>
              <w:t>2</w:t>
            </w:r>
          </w:p>
        </w:tc>
        <w:tc>
          <w:tcPr>
            <w:tcW w:w="5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gridSpan w:val="2"/>
            <w:vMerge w:val="continue"/>
          </w:tcPr>
          <w:p>
            <w:pPr>
              <w:spacing w:after="0"/>
              <w:rPr>
                <w:sz w:val="8"/>
                <w:szCs w:val="8"/>
                <w:color w:val="auto"/>
              </w:rPr>
            </w:pPr>
          </w:p>
        </w:tc>
        <w:tc>
          <w:tcPr>
            <w:tcW w:w="5040" w:type="dxa"/>
            <w:vAlign w:val="bottom"/>
            <w:vMerge w:val="restart"/>
          </w:tcPr>
          <w:p>
            <w:pPr>
              <w:ind w:left="240"/>
              <w:spacing w:after="0"/>
              <w:rPr>
                <w:sz w:val="20"/>
                <w:szCs w:val="20"/>
                <w:color w:val="auto"/>
              </w:rPr>
            </w:pPr>
            <w:r>
              <w:rPr>
                <w:rFonts w:ascii="Arial" w:cs="Arial" w:eastAsia="Arial" w:hAnsi="Arial"/>
                <w:sz w:val="14"/>
                <w:szCs w:val="14"/>
                <w:color w:val="auto"/>
              </w:rPr>
              <w:t>Addition, net due to acquisitions and divestitures.</w:t>
            </w: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00" w:type="dxa"/>
            <w:vAlign w:val="bottom"/>
            <w:gridSpan w:val="2"/>
            <w:vMerge w:val="restart"/>
          </w:tcPr>
          <w:p>
            <w:pPr>
              <w:spacing w:after="0"/>
              <w:rPr>
                <w:sz w:val="20"/>
                <w:szCs w:val="20"/>
                <w:color w:val="auto"/>
              </w:rPr>
            </w:pPr>
            <w:r>
              <w:rPr>
                <w:rFonts w:ascii="Arial" w:cs="Arial" w:eastAsia="Arial" w:hAnsi="Arial"/>
                <w:sz w:val="11"/>
                <w:szCs w:val="11"/>
                <w:color w:val="auto"/>
              </w:rPr>
              <w:t>3</w:t>
            </w:r>
          </w:p>
        </w:tc>
        <w:tc>
          <w:tcPr>
            <w:tcW w:w="5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gridSpan w:val="2"/>
            <w:vMerge w:val="continue"/>
          </w:tcPr>
          <w:p>
            <w:pPr>
              <w:spacing w:after="0"/>
              <w:rPr>
                <w:sz w:val="8"/>
                <w:szCs w:val="8"/>
                <w:color w:val="auto"/>
              </w:rPr>
            </w:pPr>
          </w:p>
        </w:tc>
        <w:tc>
          <w:tcPr>
            <w:tcW w:w="5040" w:type="dxa"/>
            <w:vAlign w:val="bottom"/>
            <w:vMerge w:val="restart"/>
          </w:tcPr>
          <w:p>
            <w:pPr>
              <w:ind w:left="240"/>
              <w:spacing w:after="0"/>
              <w:rPr>
                <w:sz w:val="20"/>
                <w:szCs w:val="20"/>
                <w:color w:val="auto"/>
              </w:rPr>
            </w:pPr>
            <w:r>
              <w:rPr>
                <w:rFonts w:ascii="Arial" w:cs="Arial" w:eastAsia="Arial" w:hAnsi="Arial"/>
                <w:sz w:val="14"/>
                <w:szCs w:val="14"/>
                <w:color w:val="auto"/>
              </w:rPr>
              <w:t>Uncollectible accounts charged off.</w:t>
            </w: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Balance as of</w:t>
            </w:r>
          </w:p>
        </w:tc>
        <w:tc>
          <w:tcPr>
            <w:tcW w:w="10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Charged to</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the beginning</w:t>
            </w:r>
          </w:p>
        </w:tc>
        <w:tc>
          <w:tcPr>
            <w:tcW w:w="10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of the fiscal</w:t>
            </w:r>
          </w:p>
        </w:tc>
        <w:tc>
          <w:tcPr>
            <w:tcW w:w="260" w:type="dxa"/>
            <w:vAlign w:val="bottom"/>
          </w:tcPr>
          <w:p>
            <w:pPr>
              <w:spacing w:after="0"/>
              <w:rPr>
                <w:sz w:val="13"/>
                <w:szCs w:val="13"/>
                <w:color w:val="auto"/>
              </w:rPr>
            </w:pPr>
          </w:p>
        </w:tc>
        <w:tc>
          <w:tcPr>
            <w:tcW w:w="76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costs and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year</w:t>
            </w:r>
          </w:p>
        </w:tc>
        <w:tc>
          <w:tcPr>
            <w:tcW w:w="260" w:type="dxa"/>
            <w:vAlign w:val="bottom"/>
          </w:tcPr>
          <w:p>
            <w:pPr>
              <w:spacing w:after="0"/>
              <w:rPr>
                <w:sz w:val="18"/>
                <w:szCs w:val="18"/>
                <w:color w:val="auto"/>
              </w:rPr>
            </w:pPr>
          </w:p>
        </w:tc>
        <w:tc>
          <w:tcPr>
            <w:tcW w:w="760" w:type="dxa"/>
            <w:vAlign w:val="bottom"/>
            <w:gridSpan w:val="2"/>
          </w:tcPr>
          <w:p>
            <w:pPr>
              <w:jc w:val="right"/>
              <w:ind w:right="8"/>
              <w:spacing w:after="0" w:line="216" w:lineRule="exact"/>
              <w:rPr>
                <w:sz w:val="20"/>
                <w:szCs w:val="20"/>
                <w:color w:val="auto"/>
              </w:rPr>
            </w:pPr>
            <w:r>
              <w:rPr>
                <w:rFonts w:ascii="Arial" w:cs="Arial" w:eastAsia="Arial" w:hAnsi="Arial"/>
                <w:sz w:val="14"/>
                <w:szCs w:val="14"/>
                <w:color w:val="auto"/>
                <w:w w:val="97"/>
              </w:rPr>
              <w:t>expenses</w:t>
            </w:r>
            <w:r>
              <w:rPr>
                <w:rFonts w:ascii="Arial" w:cs="Arial" w:eastAsia="Arial" w:hAnsi="Arial"/>
                <w:sz w:val="21"/>
                <w:szCs w:val="21"/>
                <w:color w:val="auto"/>
                <w:w w:val="97"/>
                <w:vertAlign w:val="superscript"/>
              </w:rPr>
              <w:t>1</w:t>
            </w:r>
          </w:p>
        </w:tc>
        <w:tc>
          <w:tcPr>
            <w:tcW w:w="160" w:type="dxa"/>
            <w:vAlign w:val="bottom"/>
          </w:tcPr>
          <w:p>
            <w:pPr>
              <w:spacing w:after="0"/>
              <w:rPr>
                <w:sz w:val="18"/>
                <w:szCs w:val="18"/>
                <w:color w:val="auto"/>
              </w:rPr>
            </w:pPr>
          </w:p>
        </w:tc>
        <w:tc>
          <w:tcPr>
            <w:tcW w:w="860" w:type="dxa"/>
            <w:vAlign w:val="bottom"/>
          </w:tcPr>
          <w:p>
            <w:pPr>
              <w:jc w:val="right"/>
              <w:ind w:right="8"/>
              <w:spacing w:after="0" w:line="216"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2</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2011</w:t>
            </w:r>
          </w:p>
        </w:tc>
        <w:tc>
          <w:tcPr>
            <w:tcW w:w="10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10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43,095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190,021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185,955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47,161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2010</w:t>
            </w:r>
          </w:p>
        </w:tc>
        <w:tc>
          <w:tcPr>
            <w:tcW w:w="10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40" w:type="dxa"/>
            <w:vAlign w:val="bottom"/>
            <w:gridSpan w:val="3"/>
          </w:tcPr>
          <w:p>
            <w:pPr>
              <w:spacing w:after="0"/>
              <w:rPr>
                <w:sz w:val="20"/>
                <w:szCs w:val="20"/>
                <w:color w:val="auto"/>
              </w:rPr>
            </w:pPr>
            <w:r>
              <w:rPr>
                <w:rFonts w:ascii="Arial" w:cs="Arial" w:eastAsia="Arial" w:hAnsi="Arial"/>
                <w:sz w:val="14"/>
                <w:szCs w:val="14"/>
                <w:color w:val="auto"/>
              </w:rPr>
              <w:t>Accrued advertising and marketing programs</w:t>
            </w: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45,298</w:t>
            </w:r>
          </w:p>
        </w:tc>
        <w:tc>
          <w:tcPr>
            <w:tcW w:w="260" w:type="dxa"/>
            <w:vAlign w:val="bottom"/>
          </w:tcPr>
          <w:p>
            <w:pPr>
              <w:spacing w:after="0"/>
              <w:rPr>
                <w:sz w:val="15"/>
                <w:szCs w:val="15"/>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191,799</w:t>
            </w: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194,002</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43,095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Fiscal year ended October 31, 2009</w:t>
            </w:r>
          </w:p>
        </w:tc>
        <w:tc>
          <w:tcPr>
            <w:tcW w:w="10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Accrued advertising and marketing programs</w:t>
            </w: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48,412</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187,724</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190,838</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Provision consists of rebates, cooperative advertising, floor planning costs, commissions, and other promotional program expenses. The expense of each program is</w:t>
      </w:r>
    </w:p>
    <w:tbl>
      <w:tblPr>
        <w:tblLayout w:type="fixed"/>
        <w:tblInd w:w="0" w:type="dxa"/>
        <w:tblCellMar>
          <w:top w:w="0" w:type="dxa"/>
          <w:left w:w="0" w:type="dxa"/>
          <w:bottom w:w="0" w:type="dxa"/>
          <w:right w:w="0" w:type="dxa"/>
        </w:tblCellMar>
      </w:tblP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120" w:type="dxa"/>
            <w:vAlign w:val="bottom"/>
          </w:tcPr>
          <w:p>
            <w:pPr>
              <w:ind w:left="240"/>
              <w:spacing w:after="0"/>
              <w:rPr>
                <w:sz w:val="20"/>
                <w:szCs w:val="20"/>
                <w:color w:val="auto"/>
              </w:rPr>
            </w:pPr>
            <w:r>
              <w:rPr>
                <w:rFonts w:ascii="Arial" w:cs="Arial" w:eastAsia="Arial" w:hAnsi="Arial"/>
                <w:sz w:val="14"/>
                <w:szCs w:val="14"/>
                <w:color w:val="auto"/>
              </w:rPr>
              <w:t>classified either as a reduction of net sales or as a component of selling, general, and administrative expense.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120" w:type="dxa"/>
            <w:vAlign w:val="bottom"/>
            <w:vMerge w:val="restart"/>
          </w:tcPr>
          <w:p>
            <w:pPr>
              <w:ind w:left="240"/>
              <w:spacing w:after="0"/>
              <w:rPr>
                <w:sz w:val="20"/>
                <w:szCs w:val="20"/>
                <w:color w:val="auto"/>
              </w:rPr>
            </w:pPr>
            <w:r>
              <w:rPr>
                <w:rFonts w:ascii="Arial" w:cs="Arial" w:eastAsia="Arial" w:hAnsi="Arial"/>
                <w:sz w:val="14"/>
                <w:szCs w:val="14"/>
                <w:color w:val="auto"/>
              </w:rPr>
              <w:t>Claims paid.</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11120" w:type="dxa"/>
            <w:vAlign w:val="bottom"/>
          </w:tcPr>
          <w:p>
            <w:pPr>
              <w:jc w:val="right"/>
              <w:ind w:right="552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5"/>
        </w:trPr>
        <w:tc>
          <w:tcPr>
            <w:tcW w:w="300" w:type="dxa"/>
            <w:vAlign w:val="bottom"/>
            <w:tcBorders>
              <w:bottom w:val="single" w:sz="8" w:color="808080"/>
            </w:tcBorders>
          </w:tcPr>
          <w:p>
            <w:pPr>
              <w:spacing w:after="0"/>
              <w:rPr>
                <w:sz w:val="18"/>
                <w:szCs w:val="18"/>
                <w:color w:val="auto"/>
              </w:rPr>
            </w:pPr>
          </w:p>
        </w:tc>
        <w:tc>
          <w:tcPr>
            <w:tcW w:w="11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73" w:name="page74"/>
    <w:bookmarkEnd w:id="73"/>
    <w:p>
      <w:pPr>
        <w:jc w:val="center"/>
        <w:ind w:right="60"/>
        <w:spacing w:after="0"/>
        <w:rPr>
          <w:sz w:val="20"/>
          <w:szCs w:val="20"/>
          <w:color w:val="auto"/>
        </w:rPr>
      </w:pPr>
      <w:r>
        <w:rPr>
          <w:rFonts w:ascii="Arial" w:cs="Arial" w:eastAsia="Arial" w:hAnsi="Arial"/>
          <w:sz w:val="24"/>
          <w:szCs w:val="24"/>
          <w:b w:val="1"/>
          <w:bCs w:val="1"/>
          <w:color w:val="auto"/>
        </w:rPr>
        <w:t>SIGNATURES</w:t>
      </w:r>
    </w:p>
    <w:p>
      <w:pPr>
        <w:spacing w:after="0" w:line="2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55245</wp:posOffset>
            </wp:positionV>
            <wp:extent cx="1886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ind w:left="660"/>
        <w:spacing w:after="0"/>
        <w:tabs>
          <w:tab w:leader="none" w:pos="1380" w:val="left"/>
          <w:tab w:leader="none" w:pos="172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Renee J. Peterson</w:t>
      </w:r>
      <w:r>
        <w:rPr>
          <w:sz w:val="20"/>
          <w:szCs w:val="20"/>
          <w:color w:val="auto"/>
        </w:rPr>
        <w:tab/>
      </w:r>
      <w:r>
        <w:rPr>
          <w:rFonts w:ascii="Arial" w:cs="Arial" w:eastAsia="Arial" w:hAnsi="Arial"/>
          <w:sz w:val="16"/>
          <w:szCs w:val="16"/>
          <w:color w:val="auto"/>
        </w:rPr>
        <w:t>Dated: December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55245</wp:posOffset>
            </wp:positionV>
            <wp:extent cx="18865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Renee J. Peterson</w:t>
      </w:r>
    </w:p>
    <w:p>
      <w:pPr>
        <w:ind w:left="1400"/>
        <w:spacing w:after="0" w:line="234" w:lineRule="auto"/>
        <w:rPr>
          <w:sz w:val="20"/>
          <w:szCs w:val="20"/>
          <w:color w:val="auto"/>
        </w:rPr>
      </w:pPr>
      <w:r>
        <w:rPr>
          <w:rFonts w:ascii="Arial" w:cs="Arial" w:eastAsia="Arial" w:hAnsi="Arial"/>
          <w:sz w:val="18"/>
          <w:szCs w:val="18"/>
          <w:color w:val="auto"/>
        </w:rPr>
        <w:t>Vice President, Finance and</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147955</wp:posOffset>
            </wp:positionV>
            <wp:extent cx="5780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13" w:lineRule="exact"/>
        <w:rPr>
          <w:sz w:val="20"/>
          <w:szCs w:val="20"/>
          <w:color w:val="auto"/>
        </w:rPr>
      </w:pPr>
    </w:p>
    <w:p>
      <w:pPr>
        <w:ind w:left="1140"/>
        <w:spacing w:after="0"/>
        <w:tabs>
          <w:tab w:leader="none" w:pos="4420" w:val="left"/>
          <w:tab w:leader="none" w:pos="83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26035</wp:posOffset>
            </wp:positionV>
            <wp:extent cx="5780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55245</wp:posOffset>
            </wp:positionV>
            <wp:extent cx="17494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J. Hoffman</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55245</wp:posOffset>
            </wp:positionV>
            <wp:extent cx="17494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Renee J. Peterson</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Blake M. 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55245</wp:posOffset>
            </wp:positionV>
            <wp:extent cx="17494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Blake M. Grams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69850</wp:posOffset>
            </wp:positionV>
            <wp:extent cx="17494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December 21, 2011</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Vice President, Finance and</w:t>
      </w:r>
      <w:r>
        <w:rPr>
          <w:sz w:val="20"/>
          <w:szCs w:val="20"/>
          <w:color w:val="auto"/>
        </w:rPr>
        <w:tab/>
      </w:r>
      <w:r>
        <w:rPr>
          <w:rFonts w:ascii="Arial" w:cs="Arial" w:eastAsia="Arial" w:hAnsi="Arial"/>
          <w:sz w:val="16"/>
          <w:szCs w:val="16"/>
          <w:color w:val="auto"/>
        </w:rPr>
        <w:t>December 21, 2011</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Vice President, Corporate Controller</w:t>
      </w:r>
      <w:r>
        <w:rPr>
          <w:sz w:val="20"/>
          <w:szCs w:val="20"/>
          <w:color w:val="auto"/>
        </w:rPr>
        <w:tab/>
      </w:r>
      <w:r>
        <w:rPr>
          <w:rFonts w:ascii="Arial" w:cs="Arial" w:eastAsia="Arial" w:hAnsi="Arial"/>
          <w:sz w:val="16"/>
          <w:szCs w:val="16"/>
          <w:color w:val="auto"/>
        </w:rPr>
        <w:t>December 21, 2011</w:t>
      </w: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8" w:lineRule="exact"/>
        <w:rPr>
          <w:sz w:val="20"/>
          <w:szCs w:val="20"/>
          <w:color w:val="auto"/>
        </w:rPr>
      </w:pPr>
    </w:p>
    <w:p>
      <w:pPr>
        <w:spacing w:after="0"/>
        <w:tabs>
          <w:tab w:leader="none" w:pos="3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21, 2011</w:t>
      </w:r>
    </w:p>
    <w:p>
      <w:pPr>
        <w:spacing w:after="0" w:line="614" w:lineRule="exact"/>
        <w:rPr>
          <w:sz w:val="20"/>
          <w:szCs w:val="20"/>
          <w:color w:val="auto"/>
        </w:rPr>
      </w:pPr>
    </w:p>
    <w:p>
      <w:pPr>
        <w:sectPr>
          <w:pgSz w:w="11900" w:h="16838" w:orient="portrait"/>
          <w:cols w:equalWidth="0" w:num="2">
            <w:col w:w="3720" w:space="720"/>
            <w:col w:w="6980"/>
          </w:cols>
          <w:pgMar w:left="240" w:top="314" w:right="239" w:bottom="1440" w:gutter="0" w:footer="0" w:header="0"/>
          <w:type w:val="continuous"/>
        </w:sectPr>
      </w:pPr>
    </w:p>
    <w:p>
      <w:pPr>
        <w:spacing w:after="0" w:line="39"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780" w:type="dxa"/>
            <w:vAlign w:val="bottom"/>
          </w:tcPr>
          <w:p>
            <w:pPr>
              <w:spacing w:after="0"/>
              <w:rPr>
                <w:sz w:val="20"/>
                <w:szCs w:val="20"/>
                <w:color w:val="auto"/>
              </w:rPr>
            </w:pPr>
            <w:r>
              <w:rPr>
                <w:rFonts w:ascii="Arial" w:cs="Arial" w:eastAsia="Arial" w:hAnsi="Arial"/>
                <w:sz w:val="18"/>
                <w:szCs w:val="18"/>
                <w:color w:val="auto"/>
              </w:rPr>
              <w:t>/s/ Janet K. Cooper</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Janet K. Cooper</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Gary L. Ellis</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Gary L. Ellis</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Jeffrey M. Ettinger</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Jeffrey M. Ettinger</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Katherine J. Harless</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Katherine J. Harless</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Robert H. Nassau</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Robert H. Nassau</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Gregg W. Steinhafel</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Gregg W. Steinhafel</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Inge G. Thulin</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Inge G. Thulin</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Christopher A. Twomey</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2011</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Christopher A. Twomey</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14" w:right="23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color w:val="auto"/>
        </w:rPr>
        <w:t>QuickLinks</w:t>
      </w:r>
    </w:p>
    <w:p>
      <w:pPr>
        <w:spacing w:after="0" w:line="22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THE TORO COMPANY FORM 10-K TABLE OF CONTENTS</w:t>
        </w:r>
      </w:hyperlink>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p>
      <w:pPr>
        <w:ind w:left="540"/>
        <w:spacing w:after="0" w:line="234"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Introduction</w:t>
        </w:r>
      </w:hyperlink>
    </w:p>
    <w:p>
      <w:pPr>
        <w:ind w:left="540"/>
        <w:spacing w:after="0" w:line="235"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Products by Market</w:t>
        </w:r>
      </w:hyperlink>
    </w:p>
    <w:p>
      <w:pPr>
        <w:ind w:left="540"/>
        <w:spacing w:after="0" w:line="235"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 about Foreign Operations and Business Segments</w:t>
        </w:r>
      </w:hyperlink>
    </w:p>
    <w:p>
      <w:pPr>
        <w:ind w:left="540"/>
        <w:spacing w:after="0" w:line="235"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Engineering and Research</w:t>
        </w:r>
      </w:hyperlink>
    </w:p>
    <w:p>
      <w:pPr>
        <w:ind w:left="540"/>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Manufacturing and Production</w:t>
        </w:r>
      </w:hyperlink>
    </w:p>
    <w:p>
      <w:pPr>
        <w:ind w:left="540"/>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Raw Materials</w:t>
        </w:r>
      </w:hyperlink>
    </w:p>
    <w:p>
      <w:pPr>
        <w:ind w:left="540"/>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Service and Warranty</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Product Liability</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Patents and Trademarks</w:t>
        </w:r>
      </w:hyperlink>
    </w:p>
    <w:p>
      <w:pPr>
        <w:ind w:left="540"/>
        <w:spacing w:after="0" w:line="234"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Seasonality</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Effects of Weather</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Working Capital</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Distribution and Marketing</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Customers</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Backlog of Orders</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Competition</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Environmental Matters and Other Governmental Regulation</w:t>
        </w:r>
      </w:hyperlink>
    </w:p>
    <w:p>
      <w:pPr>
        <w:ind w:left="540"/>
        <w:spacing w:after="0" w:line="235"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Customer Financing</w:t>
        </w:r>
      </w:hyperlink>
    </w:p>
    <w:p>
      <w:pPr>
        <w:ind w:left="540"/>
        <w:spacing w:after="0" w:line="234" w:lineRule="auto"/>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Employees</w:t>
        </w:r>
      </w:hyperlink>
    </w:p>
    <w:p>
      <w:pPr>
        <w:ind w:left="540"/>
        <w:spacing w:after="0" w:line="235" w:lineRule="auto"/>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Available Information</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Forward-Looking Statements</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1A. RISK FACTORS</w:t>
        </w:r>
      </w:hyperlink>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1B. UNRESOLVED STAFF COMMENTS</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PROPERTIES</w:t>
        </w:r>
      </w:hyperlink>
    </w:p>
    <w:p>
      <w:pPr>
        <w:ind w:left="540"/>
        <w:spacing w:after="0" w:line="234"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LEGAL PROCEEDINGS</w:t>
        </w:r>
      </w:hyperlink>
    </w:p>
    <w:p>
      <w:pPr>
        <w:ind w:left="540"/>
        <w:spacing w:after="0" w:line="235"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 (REMOVED AND RESERVED)</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OFFICERS OF THE REGISTRANT</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PART II</w:t>
        </w:r>
      </w:hyperlink>
    </w:p>
    <w:p>
      <w:pPr>
        <w:spacing w:after="0" w:line="212" w:lineRule="exact"/>
        <w:rPr>
          <w:sz w:val="20"/>
          <w:szCs w:val="20"/>
          <w:color w:val="auto"/>
        </w:rPr>
      </w:pPr>
    </w:p>
    <w:p>
      <w:pPr>
        <w:ind w:left="540"/>
        <w:spacing w:after="0" w:line="234"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5. MARKET FOR REGISTRANT'S COMMON EQUITY, RELATED STOCKHOLDER MATTERS, AND ISSUER PURCHASES OF</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EQUITY SECURITIES</w:t>
        </w:r>
      </w:hyperlink>
    </w:p>
    <w:p>
      <w:pPr>
        <w:spacing w:after="0" w:line="2"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The Toro Company Common Stock Comparative Performance Graph</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6. SELECTED FINANCIAL DATA</w:t>
        </w:r>
      </w:hyperlink>
    </w:p>
    <w:p>
      <w:pPr>
        <w:ind w:left="540" w:right="880"/>
        <w:spacing w:after="0" w:line="234"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7.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OVERVIEW</w:t>
        </w:r>
      </w:hyperlink>
    </w:p>
    <w:p>
      <w:pPr>
        <w:ind w:left="540"/>
        <w:spacing w:after="0" w:line="236"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of Fiscal 2011 Results</w:t>
        </w:r>
      </w:hyperlink>
    </w:p>
    <w:p>
      <w:pPr>
        <w:ind w:left="540"/>
        <w:spacing w:after="0" w:line="235"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Destination 2014</w:t>
        </w:r>
      </w:hyperlink>
    </w:p>
    <w:p>
      <w:pPr>
        <w:ind w:left="54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Outlook for Fiscal 2012</w:t>
        </w:r>
      </w:hyperlink>
    </w:p>
    <w:p>
      <w:pPr>
        <w:ind w:left="540"/>
        <w:spacing w:after="0" w:line="235"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RESULTS OF OPERATIONS</w:t>
        </w:r>
      </w:hyperlink>
    </w:p>
    <w:p>
      <w:pPr>
        <w:ind w:left="540"/>
        <w:spacing w:after="0" w:line="235"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Fiscal 2011 Compared With Fiscal 2010</w:t>
        </w:r>
      </w:hyperlink>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Fiscal 2010 Compared With Fiscal 2009</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PERFORMANCE BY BUSINESS SEGMENT</w:t>
        </w:r>
      </w:hyperlink>
    </w:p>
    <w:p>
      <w:pPr>
        <w:ind w:left="540"/>
        <w:spacing w:after="0" w:line="234"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Professional</w:t>
        </w:r>
      </w:hyperlink>
    </w:p>
    <w:p>
      <w:pPr>
        <w:ind w:left="540"/>
        <w:spacing w:after="0" w:line="235"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Residential</w:t>
        </w:r>
      </w:hyperlink>
    </w:p>
    <w:p>
      <w:pPr>
        <w:ind w:left="540"/>
        <w:spacing w:after="0" w:line="235"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w:t>
        </w:r>
      </w:hyperlink>
    </w:p>
    <w:p>
      <w:pPr>
        <w:ind w:left="540"/>
        <w:spacing w:after="0" w:line="235"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FINANCIAL CONDITION</w:t>
        </w:r>
      </w:hyperlink>
    </w:p>
    <w:p>
      <w:pPr>
        <w:ind w:left="540"/>
        <w:spacing w:after="0" w:line="235"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Working Capital</w:t>
        </w:r>
      </w:hyperlink>
    </w:p>
    <w:p>
      <w:pPr>
        <w:ind w:left="54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Capital Expenditures and Other Long-Term Assets</w:t>
        </w:r>
      </w:hyperlink>
    </w:p>
    <w:p>
      <w:pPr>
        <w:ind w:left="54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Capital Structure</w:t>
        </w:r>
      </w:hyperlink>
    </w:p>
    <w:p>
      <w:pPr>
        <w:ind w:left="54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Liquidity and Capital Resources</w:t>
        </w:r>
      </w:hyperlink>
    </w:p>
    <w:p>
      <w:pPr>
        <w:ind w:left="54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Cash Dividends</w:t>
        </w:r>
      </w:hyperlink>
    </w:p>
    <w:p>
      <w:pPr>
        <w:ind w:left="540"/>
        <w:spacing w:after="0" w:line="234"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Cash Flow</w:t>
        </w:r>
      </w:hyperlink>
    </w:p>
    <w:p>
      <w:pPr>
        <w:ind w:left="54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Credit Lines and Other Capital Resources</w:t>
        </w:r>
      </w:hyperlink>
    </w:p>
    <w:p>
      <w:pPr>
        <w:ind w:left="54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Share Repurchase Plan</w:t>
        </w:r>
      </w:hyperlink>
    </w:p>
    <w:p>
      <w:pPr>
        <w:ind w:left="540"/>
        <w:spacing w:after="0" w:line="235"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Customer Financing Arrangements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Contractual Obligations</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Market Risk</w:t>
        </w:r>
      </w:hyperlink>
    </w:p>
    <w:p>
      <w:pPr>
        <w:ind w:left="540"/>
        <w:spacing w:after="0" w:line="234"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Inflation</w:t>
        </w:r>
      </w:hyperlink>
    </w:p>
    <w:p>
      <w:pPr>
        <w:ind w:left="54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Acquisitions and Divestiture</w:t>
        </w:r>
      </w:hyperlink>
    </w:p>
    <w:p>
      <w:pPr>
        <w:ind w:left="54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CRITICAL ACCOUNTING POLICIES AND ESTIMATES</w:t>
        </w:r>
      </w:hyperlink>
    </w:p>
    <w:p>
      <w:pPr>
        <w:ind w:left="540"/>
        <w:spacing w:after="0" w:line="235"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New Accounting Pronouncements to be Adopted</w:t>
        </w:r>
      </w:hyperlink>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7A. QUANTITATIVE AND QUALITATIVE DISCLOSURES ABOUT MARKET RISK</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8. FINANCIAL STATEMENTS AND SUPPLEMENTARY DATA</w:t>
        </w:r>
      </w:hyperlink>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Report on Internal Control over Financial Reporting</w:t>
        </w:r>
      </w:hyperlink>
    </w:p>
    <w:p>
      <w:pPr>
        <w:sectPr>
          <w:pgSz w:w="11900" w:h="16838" w:orient="portrait"/>
          <w:cols w:equalWidth="0" w:num="1">
            <w:col w:w="11000"/>
          </w:cols>
          <w:pgMar w:left="240" w:top="820" w:right="659" w:bottom="0" w:gutter="0" w:footer="0" w:header="0"/>
        </w:sectPr>
      </w:pPr>
    </w:p>
    <w:bookmarkStart w:id="75" w:name="page76"/>
    <w:bookmarkEnd w:id="75"/>
    <w:p>
      <w:pPr>
        <w:ind w:left="5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Report of Independent Registered Public Accounting Firm</w:t>
        </w:r>
      </w:hyperlink>
    </w:p>
    <w:p>
      <w:pPr>
        <w:spacing w:after="0" w:line="207"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EARNINGS</w:t>
        </w:r>
      </w:hyperlink>
    </w:p>
    <w:p>
      <w:pPr>
        <w:spacing w:after="0" w:line="234"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BALANCE SHEETS</w:t>
        </w:r>
      </w:hyperlink>
    </w:p>
    <w:p>
      <w:pPr>
        <w:spacing w:after="0" w:line="235"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CASH FLOWS</w:t>
        </w:r>
      </w:hyperlink>
    </w:p>
    <w:p>
      <w:pPr>
        <w:spacing w:after="0" w:line="1" w:lineRule="exact"/>
        <w:rPr>
          <w:sz w:val="20"/>
          <w:szCs w:val="20"/>
          <w:color w:val="auto"/>
        </w:rPr>
      </w:pPr>
    </w:p>
    <w:p>
      <w:pPr>
        <w:ind w:right="2660"/>
        <w:spacing w:after="0" w:line="299"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CONSOLIDATED STATEMENTS OF STOCKHOLDERS' EQUITY AND COMPREHENSIVE INCOME</w:t>
        </w:r>
      </w:hyperlink>
      <w:r>
        <w:rPr>
          <w:rFonts w:ascii="Arial" w:cs="Arial" w:eastAsia="Arial" w:hAnsi="Arial"/>
          <w:sz w:val="16"/>
          <w:szCs w:val="16"/>
          <w:u w:val="single" w:color="auto"/>
          <w:color w:val="0000EE"/>
        </w:rPr>
        <w:t xml:space="preserve"> </w:t>
      </w:r>
      <w:hyperlink w:anchor="page47">
        <w:r>
          <w:rPr>
            <w:rFonts w:ascii="Arial" w:cs="Arial" w:eastAsia="Arial" w:hAnsi="Arial"/>
            <w:sz w:val="16"/>
            <w:szCs w:val="16"/>
            <w:u w:val="single" w:color="auto"/>
            <w:color w:val="0000EE"/>
          </w:rPr>
          <w:t>NOTES TO CONSOLIDATED FINANCIAL STATEMENTS (Dollars in thousands, except per share data)</w:t>
        </w:r>
      </w:hyperlink>
    </w:p>
    <w:p>
      <w:pPr>
        <w:spacing w:after="0" w:line="158" w:lineRule="exact"/>
        <w:rPr>
          <w:sz w:val="20"/>
          <w:szCs w:val="20"/>
          <w:color w:val="auto"/>
        </w:rPr>
      </w:pPr>
    </w:p>
    <w:p>
      <w:pPr>
        <w:ind w:left="5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Basis of Presentation and Consolidation</w:t>
        </w:r>
      </w:hyperlink>
    </w:p>
    <w:p>
      <w:pPr>
        <w:ind w:left="540"/>
        <w:spacing w:after="0" w:line="234"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Accounting Estimates</w:t>
        </w:r>
      </w:hyperlink>
    </w:p>
    <w:p>
      <w:pPr>
        <w:ind w:left="540"/>
        <w:spacing w:after="0" w:line="235"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Cash and Cash Equivalents</w:t>
        </w:r>
      </w:hyperlink>
    </w:p>
    <w:p>
      <w:pPr>
        <w:ind w:left="540"/>
        <w:spacing w:after="0" w:line="235"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Receivables</w:t>
        </w:r>
      </w:hyperlink>
    </w:p>
    <w:p>
      <w:pPr>
        <w:ind w:left="540"/>
        <w:spacing w:after="0" w:line="235"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Allowance for Doubtful Accounts</w:t>
        </w:r>
      </w:hyperlink>
    </w:p>
    <w:p>
      <w:pPr>
        <w:ind w:left="540"/>
        <w:spacing w:after="0" w:line="235"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Inventory Valuations</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Property and Depreciation</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Goodwill and Other Intangible Assets</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Impairment of Long-Lived Assets</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Accounts Payable</w:t>
        </w:r>
      </w:hyperlink>
    </w:p>
    <w:p>
      <w:pPr>
        <w:ind w:left="540"/>
        <w:spacing w:after="0" w:line="234"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Insurance</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Accrued Warranties</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Derivatives</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Foreign Currency Translation and Transactions</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Income Taxes</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Revenue Recognition</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Sales Promotions and Incentives</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Cost of Sales</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Selling, General, and Administrative Expense</w:t>
        </w:r>
      </w:hyperlink>
    </w:p>
    <w:p>
      <w:pPr>
        <w:ind w:left="540"/>
        <w:spacing w:after="0" w:line="234"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Cost of Financing Distributor/Dealer Inventory</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Advertising</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Stock-Based Compensation</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Statement of Stockholders' Equity and Comprehensive Income Information</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Net Earnings Per Share</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Cash Flow Presentation</w:t>
        </w:r>
      </w:hyperlink>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New Accounting Pronouncements Adopted</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Geographic Data</w:t>
        </w:r>
      </w:hyperlink>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Leases</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Customer Financing</w:t>
        </w:r>
      </w:hyperlink>
    </w:p>
    <w:p>
      <w:pPr>
        <w:ind w:left="540"/>
        <w:spacing w:after="0" w:line="234"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Purchase Commitments</w:t>
        </w:r>
      </w:hyperlink>
    </w:p>
    <w:p>
      <w:pPr>
        <w:ind w:left="540"/>
        <w:spacing w:after="0" w:line="235"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Letters of Credit</w:t>
        </w:r>
      </w:hyperlink>
    </w:p>
    <w:p>
      <w:pPr>
        <w:ind w:left="540"/>
        <w:spacing w:after="0" w:line="235"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Litigation</w:t>
        </w:r>
      </w:hyperlink>
    </w:p>
    <w:p>
      <w:pPr>
        <w:ind w:left="540"/>
        <w:spacing w:after="0" w:line="235" w:lineRule="auto"/>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Concentrations of Credit Risk</w:t>
        </w:r>
      </w:hyperlink>
    </w:p>
    <w:p>
      <w:pPr>
        <w:ind w:left="540"/>
        <w:spacing w:after="0" w:line="235" w:lineRule="auto"/>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Derivative Instruments and Hedging Activities</w:t>
        </w:r>
      </w:hyperlink>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Fair Value</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9. CHANGES IN AND DISAGREEMENTS WITH ACCOUNTANTS ON ACCOUNTING AND FINANCIAL DISCLOSURE</w:t>
        </w:r>
      </w:hyperlink>
    </w:p>
    <w:p>
      <w:pPr>
        <w:ind w:left="540"/>
        <w:spacing w:after="0" w:line="234"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9A. CONTROLS AND PROCEDURES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9B. OTHER INFORMATION</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PART III</w:t>
        </w:r>
      </w:hyperlink>
    </w:p>
    <w:p>
      <w:pPr>
        <w:spacing w:after="0" w:line="212" w:lineRule="exact"/>
        <w:rPr>
          <w:sz w:val="20"/>
          <w:szCs w:val="20"/>
          <w:color w:val="auto"/>
        </w:rPr>
      </w:pPr>
    </w:p>
    <w:p>
      <w:pPr>
        <w:ind w:left="540" w:right="3460"/>
        <w:spacing w:after="0" w:line="234"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ITEM 11. EXECUTIVE COMPENSATION</w:t>
        </w:r>
      </w:hyperlink>
    </w:p>
    <w:p>
      <w:pPr>
        <w:spacing w:after="0" w:line="2" w:lineRule="exact"/>
        <w:rPr>
          <w:sz w:val="20"/>
          <w:szCs w:val="20"/>
          <w:color w:val="auto"/>
        </w:rPr>
      </w:pPr>
    </w:p>
    <w:p>
      <w:pPr>
        <w:ind w:left="540"/>
        <w:spacing w:after="0" w:line="234"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12. SECURITY OWNERSHIP OF CERTAIN BENEFICIAL OWNERS AND MANAGEMENT AND RELATED STOCKHOLDER</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MATTERS</w:t>
        </w:r>
      </w:hyperlink>
    </w:p>
    <w:p>
      <w:pPr>
        <w:spacing w:after="0" w:line="2" w:lineRule="exact"/>
        <w:rPr>
          <w:sz w:val="20"/>
          <w:szCs w:val="20"/>
          <w:color w:val="auto"/>
        </w:rPr>
      </w:pPr>
    </w:p>
    <w:p>
      <w:pPr>
        <w:ind w:left="540" w:right="1640"/>
        <w:spacing w:after="0" w:line="239"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ITEM 14. PRINCIPAL ACCOUNTING FEES AND SERVICES</w:t>
        </w:r>
      </w:hyperlink>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PART IV</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15. EXHIBITS, FINANCIAL STATEMENT SCHEDULES</w:t>
        </w:r>
      </w:hyperlink>
    </w:p>
    <w:p>
      <w:pPr>
        <w:spacing w:after="0" w:line="207"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SCHEDULE II</w:t>
        </w:r>
      </w:hyperlink>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SIGNATURES</w:t>
        </w:r>
      </w:hyperlink>
    </w:p>
    <w:p>
      <w:pPr>
        <w:sectPr>
          <w:pgSz w:w="11900" w:h="16838" w:orient="portrait"/>
          <w:cols w:equalWidth="0" w:num="1">
            <w:col w:w="10700"/>
          </w:cols>
          <w:pgMar w:left="240" w:top="143" w:right="9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Step)</w:t>
      </w:r>
    </w:p>
    <w:p>
      <w:pPr>
        <w:spacing w:after="0" w:line="20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THIS FIRST AMENDMENT TO SECOND AMENDED AND RESTATED REPURCHASE AGREEMENT (Two Step)</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12, 2011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by and between THE TORO COMPANY, a Delaware corporation (hereinafter, “</w:t>
      </w:r>
      <w:r>
        <w:rPr>
          <w:rFonts w:ascii="Arial" w:cs="Arial" w:eastAsia="Arial" w:hAnsi="Arial"/>
          <w:sz w:val="18"/>
          <w:szCs w:val="18"/>
          <w:u w:val="single" w:color="auto"/>
          <w:color w:val="auto"/>
        </w:rPr>
        <w:t>Seller</w:t>
      </w:r>
      <w:r>
        <w:rPr>
          <w:rFonts w:ascii="Arial" w:cs="Arial" w:eastAsia="Arial" w:hAnsi="Arial"/>
          <w:sz w:val="18"/>
          <w:szCs w:val="18"/>
          <w:color w:val="auto"/>
        </w:rPr>
        <w:t>”), and RED IRON ACCEPTANCE, LLC, a Delaware limited liability company (“</w:t>
      </w:r>
      <w:r>
        <w:rPr>
          <w:rFonts w:ascii="Arial" w:cs="Arial" w:eastAsia="Arial" w:hAnsi="Arial"/>
          <w:sz w:val="18"/>
          <w:szCs w:val="18"/>
          <w:u w:val="single" w:color="auto"/>
          <w:color w:val="auto"/>
        </w:rPr>
        <w:t>Red Iron</w:t>
      </w:r>
      <w:r>
        <w:rPr>
          <w:rFonts w:ascii="Arial" w:cs="Arial" w:eastAsia="Arial" w:hAnsi="Arial"/>
          <w:sz w:val="18"/>
          <w:szCs w:val="18"/>
          <w:color w:val="auto"/>
        </w:rPr>
        <w:t>”). Capitalized terms used herein and not otherwise defined shall have the meanings ascribed thereto in the Repurchase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620" w:firstLine="656"/>
        <w:spacing w:after="0" w:line="277" w:lineRule="auto"/>
        <w:tabs>
          <w:tab w:leader="none" w:pos="13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Seller and Red Iron are parties to that certain Second Amended and Restated Repurchase Agreement (Two Step), entered into as of October 29, 2010 (as amended and modified from time to time, the “</w:t>
      </w:r>
      <w:r>
        <w:rPr>
          <w:rFonts w:ascii="Arial" w:cs="Arial" w:eastAsia="Arial" w:hAnsi="Arial"/>
          <w:sz w:val="18"/>
          <w:szCs w:val="18"/>
          <w:u w:val="single" w:color="auto"/>
          <w:color w:val="auto"/>
        </w:rPr>
        <w:t>Repurchase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parties hereto have agreed to amend the Repurchase Agreement as provided herein.</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77" w:lineRule="auto"/>
        <w:tabs>
          <w:tab w:leader="none" w:pos="2003"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Seller’s Repurchase of Inventory Sold by Seller or its Affiliates Directly to a Dealer or Distributor</w:t>
      </w:r>
      <w:r>
        <w:rPr>
          <w:rFonts w:ascii="Arial" w:cs="Arial" w:eastAsia="Arial" w:hAnsi="Arial"/>
          <w:sz w:val="18"/>
          <w:szCs w:val="18"/>
          <w:color w:val="auto"/>
        </w:rPr>
        <w:t>. Section 3(a) of the Repurchase Agreement is amended by deleting the first sentence thereof and inserting the following in lieu thereof:</w:t>
      </w:r>
    </w:p>
    <w:p>
      <w:pPr>
        <w:spacing w:after="0" w:line="170" w:lineRule="exact"/>
        <w:rPr>
          <w:sz w:val="20"/>
          <w:szCs w:val="20"/>
          <w:color w:val="auto"/>
        </w:rPr>
      </w:pPr>
    </w:p>
    <w:p>
      <w:pPr>
        <w:ind w:left="660" w:right="120" w:firstLine="648"/>
        <w:spacing w:after="0" w:line="293" w:lineRule="auto"/>
        <w:rPr>
          <w:sz w:val="20"/>
          <w:szCs w:val="20"/>
          <w:color w:val="auto"/>
        </w:rPr>
      </w:pPr>
      <w:r>
        <w:rPr>
          <w:rFonts w:ascii="Arial" w:cs="Arial" w:eastAsia="Arial" w:hAnsi="Arial"/>
          <w:sz w:val="16"/>
          <w:szCs w:val="16"/>
          <w:color w:val="auto"/>
        </w:rPr>
        <w:t>Subject to Section 4, if Red Iron shall repossess or come into possession of any Inventory, or any part thereof, covered by any Dealer Invoice or Distributor Invoice, Seller agrees to repurchase such Inventory from Red Iron in a condition that is new and unused, subject to normal wear and tear resulting from display or demonstration, or in the case of an item of Inventory that is “</w:t>
      </w:r>
      <w:r>
        <w:rPr>
          <w:rFonts w:ascii="Arial" w:cs="Arial" w:eastAsia="Arial" w:hAnsi="Arial"/>
          <w:sz w:val="16"/>
          <w:szCs w:val="16"/>
          <w:u w:val="single" w:color="auto"/>
          <w:color w:val="auto"/>
        </w:rPr>
        <w:t>Dealer/Distributor Demo/Rental Inventory</w:t>
      </w:r>
      <w:r>
        <w:rPr>
          <w:rFonts w:ascii="Arial" w:cs="Arial" w:eastAsia="Arial" w:hAnsi="Arial"/>
          <w:sz w:val="16"/>
          <w:szCs w:val="16"/>
          <w:color w:val="auto"/>
        </w:rPr>
        <w:t>”, as defined in the following sentence, in any condition, and in either case, wherever located. For the purposes the preceding sentence “Dealer/Distributor Demo/Rental Inventory” means Inventory covered by a Dealer Invoice or Distributor Invoice which indicates (either by a terms code or other means) that such Inventory is eligible to be used by a Dealer or Distributor for rental or extended demonstration purposes.</w:t>
      </w:r>
    </w:p>
    <w:p>
      <w:pPr>
        <w:spacing w:after="0" w:line="165" w:lineRule="exact"/>
        <w:rPr>
          <w:sz w:val="20"/>
          <w:szCs w:val="20"/>
          <w:color w:val="auto"/>
        </w:rPr>
      </w:pPr>
    </w:p>
    <w:p>
      <w:pPr>
        <w:ind w:left="660" w:right="360" w:firstLine="645"/>
        <w:spacing w:after="0" w:line="277" w:lineRule="auto"/>
        <w:tabs>
          <w:tab w:leader="none" w:pos="201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Seller’s Repurchase of Inventory Sold by a Distributor to a Dealer</w:t>
      </w:r>
      <w:r>
        <w:rPr>
          <w:rFonts w:ascii="Arial" w:cs="Arial" w:eastAsia="Arial" w:hAnsi="Arial"/>
          <w:sz w:val="18"/>
          <w:szCs w:val="18"/>
          <w:color w:val="auto"/>
        </w:rPr>
        <w:t>. Section 3(b) of the Repurchase Agreement is amended by deleting the first sentence thereof and inserting the following in lieu thereof:</w:t>
      </w:r>
    </w:p>
    <w:p>
      <w:pPr>
        <w:spacing w:after="0" w:line="170" w:lineRule="exact"/>
        <w:rPr>
          <w:sz w:val="20"/>
          <w:szCs w:val="20"/>
          <w:color w:val="auto"/>
        </w:rPr>
      </w:pPr>
    </w:p>
    <w:p>
      <w:pPr>
        <w:ind w:left="660" w:right="40" w:firstLine="648"/>
        <w:spacing w:after="0" w:line="272" w:lineRule="auto"/>
        <w:rPr>
          <w:sz w:val="20"/>
          <w:szCs w:val="20"/>
          <w:color w:val="auto"/>
        </w:rPr>
      </w:pPr>
      <w:r>
        <w:rPr>
          <w:rFonts w:ascii="Arial" w:cs="Arial" w:eastAsia="Arial" w:hAnsi="Arial"/>
          <w:sz w:val="17"/>
          <w:szCs w:val="17"/>
          <w:color w:val="auto"/>
        </w:rPr>
        <w:t>Subject to Section 4, if Red Iron shall repossess or come into possession of any Inventory, or any part thereof, covered by any Distributor to Dealer Invoice, and Distributor fails to repurchase such Inventory from Red Iron within thirty (30) days of Red Iron’s demand therefor, Seller agrees to repurchase such Inventory from Red Iron in a condition that is new and unused, subject to normal wear and tear resulting from display or demonstration, or in the case of an item of Inventory that is “</w:t>
      </w:r>
      <w:r>
        <w:rPr>
          <w:rFonts w:ascii="Arial" w:cs="Arial" w:eastAsia="Arial" w:hAnsi="Arial"/>
          <w:sz w:val="17"/>
          <w:szCs w:val="17"/>
          <w:u w:val="single" w:color="auto"/>
          <w:color w:val="auto"/>
        </w:rPr>
        <w:t>Distributor to Dealer Demo/Rental Inventory</w:t>
      </w:r>
      <w:r>
        <w:rPr>
          <w:rFonts w:ascii="Arial" w:cs="Arial" w:eastAsia="Arial" w:hAnsi="Arial"/>
          <w:sz w:val="17"/>
          <w:szCs w:val="17"/>
          <w:color w:val="auto"/>
        </w:rPr>
        <w:t>”, as defined in the following sentence, in any condition, and in either case, wherever located. For the purposes the preceding sentence “Distributor to Dealer Demo/Rental Inventory” means Inventory covered by a Distributor to Dealer Invoice which indicates (either by a terms code or other means) that such Inventory is eligible to be used by a Dealer for rental or extended demonstration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firstLine="656"/>
        <w:spacing w:after="0" w:line="264"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Confirmation of the Repurchase Agreement</w:t>
      </w:r>
      <w:r>
        <w:rPr>
          <w:rFonts w:ascii="Arial" w:cs="Arial" w:eastAsia="Arial" w:hAnsi="Arial"/>
          <w:sz w:val="18"/>
          <w:szCs w:val="18"/>
          <w:color w:val="auto"/>
        </w:rPr>
        <w:t>. Except as amended herein, the Repurchase Agreement is hereby ratified and confirmed in all respects and all the terms, provisions and conditions thereof shall be and remain in full force and effect, and the terms, provisions and conditions of this Amendment shall be deemed to be part of the Repurchase Agreement.</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subject to and governed by the laws of the state of Illinois, without regard to conflicts of law</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principles.</w:t>
      </w:r>
    </w:p>
    <w:p>
      <w:pPr>
        <w:spacing w:after="0" w:line="210" w:lineRule="exact"/>
        <w:rPr>
          <w:rFonts w:ascii="Arial" w:cs="Arial" w:eastAsia="Arial" w:hAnsi="Arial"/>
          <w:sz w:val="17"/>
          <w:szCs w:val="17"/>
          <w:color w:val="auto"/>
        </w:rPr>
      </w:pPr>
    </w:p>
    <w:p>
      <w:pPr>
        <w:ind w:right="80" w:firstLine="656"/>
        <w:spacing w:after="0" w:line="264"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one or more counterparts, each of which shall be deemed an original, but all of which together shall constitute one and the same instrument. This Amendment may be executed by facsimile signature or electronic transmission, as directed by Red Iron.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Amendment to be executed as of the date first above written.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The Toro Company</w:t>
            </w:r>
          </w:p>
        </w:tc>
        <w:tc>
          <w:tcPr>
            <w:tcW w:w="5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Red Iron Acceptance, LLC</w:t>
            </w:r>
          </w:p>
        </w:tc>
      </w:tr>
      <w:tr>
        <w:trPr>
          <w:trHeight w:val="224"/>
        </w:trPr>
        <w:tc>
          <w:tcPr>
            <w:tcW w:w="2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Seller</w:t>
            </w:r>
          </w:p>
        </w:tc>
        <w:tc>
          <w:tcPr>
            <w:tcW w:w="42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tcPr>
          <w:p>
            <w:pPr>
              <w:spacing w:after="0"/>
              <w:rPr>
                <w:sz w:val="19"/>
                <w:szCs w:val="19"/>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Larson</w:t>
            </w:r>
          </w:p>
        </w:tc>
        <w:tc>
          <w:tcPr>
            <w:tcW w:w="5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Evans</w:t>
            </w:r>
          </w:p>
        </w:tc>
      </w:tr>
    </w:tbl>
    <w:p>
      <w:pPr>
        <w:sectPr>
          <w:pgSz w:w="11900" w:h="16838" w:orient="portrait"/>
          <w:cols w:equalWidth="0" w:num="1">
            <w:col w:w="11420"/>
          </w:cols>
          <w:pgMar w:left="240" w:top="364" w:right="2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Print Name:</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J. Larson</w:t>
            </w:r>
          </w:p>
        </w:tc>
        <w:tc>
          <w:tcPr>
            <w:tcW w:w="1740" w:type="dxa"/>
            <w:vAlign w:val="bottom"/>
          </w:tcPr>
          <w:p>
            <w:pPr>
              <w:ind w:left="520"/>
              <w:spacing w:after="0"/>
              <w:rPr>
                <w:sz w:val="20"/>
                <w:szCs w:val="20"/>
                <w:color w:val="auto"/>
              </w:rPr>
            </w:pPr>
            <w:r>
              <w:rPr>
                <w:rFonts w:ascii="Arial" w:cs="Arial" w:eastAsia="Arial" w:hAnsi="Arial"/>
                <w:sz w:val="18"/>
                <w:szCs w:val="18"/>
                <w:color w:val="auto"/>
              </w:rPr>
              <w:t>Print Name: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 Evans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Treasurer</w:t>
            </w:r>
          </w:p>
        </w:tc>
        <w:tc>
          <w:tcPr>
            <w:tcW w:w="1740" w:type="dxa"/>
            <w:vAlign w:val="bottom"/>
          </w:tcPr>
          <w:p>
            <w:pPr>
              <w:ind w:left="520"/>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Manager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1740" w:type="dxa"/>
            <w:vAlign w:val="bottom"/>
            <w:vMerge w:val="restart"/>
          </w:tcPr>
          <w:p>
            <w:pPr>
              <w:jc w:val="right"/>
              <w:ind w:right="1430"/>
              <w:spacing w:after="0"/>
              <w:rPr>
                <w:sz w:val="20"/>
                <w:szCs w:val="20"/>
                <w:color w:val="auto"/>
              </w:rPr>
            </w:pPr>
            <w:r>
              <w:rPr>
                <w:rFonts w:ascii="Arial" w:cs="Arial" w:eastAsia="Arial" w:hAnsi="Arial"/>
                <w:sz w:val="18"/>
                <w:szCs w:val="18"/>
                <w:color w:val="auto"/>
              </w:rPr>
              <w:t>3</w:t>
            </w:r>
          </w:p>
        </w:tc>
        <w:tc>
          <w:tcPr>
            <w:tcW w:w="4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42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2010 EQUITY AND INCENTIVE PLAN</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of Directors (the “Board”) and shareholders of The Toro Company, a Delaware corporation (the “Company”), have heretofore approved and adopted The Toro Company 2010 Equity and Incentive Plan (the “Plan”), and pursuant to the power of amendment reserved to the Compensation and Human Resources Committee of the Board (the “Committee”) in Section 20.1 of the Plan, the Committee has adopted and approved this Amendment No. 1 to the Plan (this “Amendment”), effective as September 20, 2011.</w:t>
      </w:r>
    </w:p>
    <w:p>
      <w:pPr>
        <w:spacing w:after="0" w:line="187" w:lineRule="exact"/>
        <w:rPr>
          <w:sz w:val="20"/>
          <w:szCs w:val="20"/>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11.1 of the Plan is hereby amended and restated in its entirety to read as follows:</w:t>
      </w:r>
    </w:p>
    <w:p>
      <w:pPr>
        <w:spacing w:after="0" w:line="221" w:lineRule="exact"/>
        <w:rPr>
          <w:sz w:val="20"/>
          <w:szCs w:val="20"/>
          <w:color w:val="auto"/>
        </w:rPr>
      </w:pPr>
    </w:p>
    <w:p>
      <w:pPr>
        <w:ind w:left="1300" w:right="20"/>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Nonemployee Director Shares</w:t>
      </w:r>
      <w:r>
        <w:rPr>
          <w:rFonts w:ascii="Arial" w:cs="Arial" w:eastAsia="Arial" w:hAnsi="Arial"/>
          <w:sz w:val="18"/>
          <w:szCs w:val="18"/>
          <w:color w:val="auto"/>
        </w:rPr>
        <w:t>. On the first business day of each fiscal year, the Company shall issue to each person who is then a Nonemployee Director, Shares in an amount equal to $44,000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hereof.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89" w:lineRule="exact"/>
        <w:rPr>
          <w:sz w:val="20"/>
          <w:szCs w:val="20"/>
          <w:color w:val="auto"/>
        </w:rPr>
      </w:pPr>
    </w:p>
    <w:p>
      <w:pPr>
        <w:ind w:left="1320" w:hanging="66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11.2(a) of the Plan is hereby amended and restated in its entirety to read as follows:</w:t>
      </w:r>
    </w:p>
    <w:p>
      <w:pPr>
        <w:spacing w:after="0" w:line="221" w:lineRule="exact"/>
        <w:rPr>
          <w:sz w:val="20"/>
          <w:szCs w:val="20"/>
          <w:color w:val="auto"/>
        </w:rPr>
      </w:pPr>
    </w:p>
    <w:p>
      <w:pPr>
        <w:ind w:left="1300" w:right="2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Annual Grant</w:t>
      </w:r>
      <w:r>
        <w:rPr>
          <w:rFonts w:ascii="Arial" w:cs="Arial" w:eastAsia="Arial" w:hAnsi="Arial"/>
          <w:sz w:val="17"/>
          <w:szCs w:val="17"/>
          <w:color w:val="auto"/>
        </w:rPr>
        <w:t>. Subject to the terms and conditions of this Section 11.2, on the first business day of each fiscal year, the Company shall grant to each person who is then a Nonemployee Director, a Nonqualified Stock Option to purchase Shares (a “Nonemployee Director Option”). Each Nonemployee Director Option shall have a grant date fair value of $44,000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176" w:lineRule="exact"/>
        <w:rPr>
          <w:sz w:val="20"/>
          <w:szCs w:val="20"/>
          <w:color w:val="auto"/>
        </w:rPr>
      </w:pPr>
    </w:p>
    <w:p>
      <w:pPr>
        <w:ind w:right="440" w:firstLine="656"/>
        <w:spacing w:after="0" w:line="277" w:lineRule="auto"/>
        <w:tabs>
          <w:tab w:leader="none" w:pos="131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specifically set forth in Sections 1 and 2 of this Amendment, the Plan shall remain unchanged and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Toro Company has hereunto subscribed its name effective this 20</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2011.</w:t>
      </w:r>
    </w:p>
    <w:p>
      <w:pPr>
        <w:spacing w:after="0" w:line="16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18"/>
          <w:szCs w:val="18"/>
          <w:color w:val="auto"/>
        </w:rPr>
        <w:t>By:</w:t>
        <w:tab/>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Chairman and 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PERFORMANCE AWARD AGREEMENT</w:t>
      </w:r>
    </w:p>
    <w:p>
      <w:pPr>
        <w:spacing w:after="0" w:line="23" w:lineRule="exact"/>
        <w:rPr>
          <w:sz w:val="20"/>
          <w:szCs w:val="20"/>
          <w:color w:val="auto"/>
        </w:rPr>
      </w:pPr>
    </w:p>
    <w:p>
      <w:pPr>
        <w:ind w:left="5080"/>
        <w:spacing w:after="0"/>
        <w:tabs>
          <w:tab w:leader="none" w:pos="6200" w:val="left"/>
        </w:tabs>
        <w:rPr>
          <w:sz w:val="20"/>
          <w:szCs w:val="20"/>
          <w:color w:val="auto"/>
        </w:rPr>
      </w:pPr>
      <w:r>
        <w:rPr>
          <w:rFonts w:ascii="Arial" w:cs="Arial" w:eastAsia="Arial" w:hAnsi="Arial"/>
          <w:sz w:val="18"/>
          <w:szCs w:val="18"/>
          <w:color w:val="auto"/>
        </w:rPr>
        <w:t>(FISCAL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2010 EQUITY AND INCENTIVE PLAN</w:t>
      </w:r>
    </w:p>
    <w:p>
      <w:pPr>
        <w:spacing w:after="0" w:line="211" w:lineRule="exact"/>
        <w:rPr>
          <w:sz w:val="20"/>
          <w:szCs w:val="20"/>
          <w:color w:val="auto"/>
        </w:rPr>
      </w:pPr>
    </w:p>
    <w:p>
      <w:pPr>
        <w:ind w:left="660"/>
        <w:spacing w:after="0"/>
        <w:tabs>
          <w:tab w:leader="none" w:pos="522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(“you”) sets forth the terms and conditions of a grant to you of an annual performance award (this “Annual Performance Award”) under</w:t>
      </w:r>
    </w:p>
    <w:p>
      <w:pPr>
        <w:spacing w:after="0" w:line="3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Toro Company 2010 Equity and Incentive Plan, as amended (the “Plan”). This Annual Performance Award is subject to all of the terms and conditions set forth in the Plan, this Agreement and the Annual Performance Award Acceptance Agreement. All of the terms in this Agreement and the Annual Performance Award Acceptance Agreement that begin with a capital letter are either defined in this Agreement or in the Plan.</w:t>
      </w:r>
    </w:p>
    <w:p>
      <w:pPr>
        <w:spacing w:after="0" w:line="173" w:lineRule="exact"/>
        <w:rPr>
          <w:sz w:val="20"/>
          <w:szCs w:val="20"/>
          <w:color w:val="auto"/>
        </w:rPr>
      </w:pPr>
    </w:p>
    <w:p>
      <w:pPr>
        <w:ind w:right="80" w:firstLine="8"/>
        <w:spacing w:after="0" w:line="291" w:lineRule="auto"/>
        <w:tabs>
          <w:tab w:leader="none" w:pos="662"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Annual Performance Award</w:t>
      </w:r>
      <w:r>
        <w:rPr>
          <w:rFonts w:ascii="Arial" w:cs="Arial" w:eastAsia="Arial" w:hAnsi="Arial"/>
          <w:sz w:val="16"/>
          <w:szCs w:val="16"/>
          <w:color w:val="auto"/>
        </w:rPr>
        <w:t>. Toro hereby grants you this Annual Performance Award denominated and to be paid if earned entirely in cash,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which will be based on the achievement of the Performance Goals during the Performance Period (as defined below). For purposes of this Annual</w:t>
      </w:r>
    </w:p>
    <w:p>
      <w:pPr>
        <w:ind w:right="40"/>
        <w:spacing w:after="0" w:line="255" w:lineRule="auto"/>
        <w:rPr>
          <w:sz w:val="20"/>
          <w:szCs w:val="20"/>
          <w:color w:val="auto"/>
        </w:rPr>
      </w:pPr>
      <w:r>
        <w:rPr>
          <w:rFonts w:ascii="Arial" w:cs="Arial" w:eastAsia="Arial" w:hAnsi="Arial"/>
          <w:sz w:val="18"/>
          <w:szCs w:val="18"/>
          <w:color w:val="auto"/>
        </w:rPr>
        <w:t>Performance Award, your “Target Potential Payout” is equal to [ ]% of your actual base salary earnings for the fiscal year ending October 31, [ ], and your “Maximum Potential Payout” is equal to 200% of your Target Potential Payout</w:t>
      </w:r>
      <w:r>
        <w:rPr>
          <w:rFonts w:ascii="Arial" w:cs="Arial" w:eastAsia="Arial" w:hAnsi="Arial"/>
          <w:sz w:val="18"/>
          <w:szCs w:val="18"/>
          <w:i w:val="1"/>
          <w:iCs w:val="1"/>
          <w:color w:val="auto"/>
        </w:rPr>
        <w:t>; provided, however</w:t>
      </w:r>
      <w:r>
        <w:rPr>
          <w:rFonts w:ascii="Arial" w:cs="Arial" w:eastAsia="Arial" w:hAnsi="Arial"/>
          <w:sz w:val="18"/>
          <w:szCs w:val="18"/>
          <w:color w:val="auto"/>
        </w:rPr>
        <w:t>, that if you are a Covered Employee your actual base salary earnings taken into account may not exceed your annual base salary in effect on the Grant Date.</w:t>
      </w:r>
    </w:p>
    <w:p>
      <w:pPr>
        <w:spacing w:after="0" w:line="190" w:lineRule="exact"/>
        <w:rPr>
          <w:sz w:val="20"/>
          <w:szCs w:val="20"/>
          <w:color w:val="auto"/>
        </w:rPr>
      </w:pPr>
    </w:p>
    <w:p>
      <w:pPr>
        <w:jc w:val="both"/>
        <w:ind w:right="360" w:firstLine="8"/>
        <w:spacing w:after="0" w:line="291" w:lineRule="auto"/>
        <w:tabs>
          <w:tab w:leader="none" w:pos="662"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 Section 3 of this Agreement must be met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amount of cash payout under this Annual Performance Award pursuant to Section 4 of this Agreement is the fiscal year ending October 31,</w:t>
      </w: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 ] (the “Performance Period”). Except as otherwise provided in Section 8 of this Agreement, Toro intends to make payment to you only at the end of the Performance Period and only upon the achievement of the Performance Goals described in Section 3 of this Agreement, and except as otherwise provided in Section 8 of this Agreement, no payment shall be made to you in settlement of this Annual Performance Award prior to the end of the Performance Period or if none of the Performance Goals for the Performance Measures meet the Threshold for payment as set forth in the table in Section 3 of this Agreement.</w:t>
      </w:r>
    </w:p>
    <w:p>
      <w:pPr>
        <w:spacing w:after="0" w:line="161" w:lineRule="exact"/>
        <w:rPr>
          <w:rFonts w:ascii="Arial" w:cs="Arial" w:eastAsia="Arial" w:hAnsi="Arial"/>
          <w:sz w:val="16"/>
          <w:szCs w:val="16"/>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right="60" w:firstLine="648"/>
        <w:spacing w:after="0" w:line="291" w:lineRule="auto"/>
        <w:rPr>
          <w:rFonts w:ascii="Arial" w:cs="Arial" w:eastAsia="Arial" w:hAnsi="Arial"/>
          <w:sz w:val="18"/>
          <w:szCs w:val="18"/>
          <w:color w:val="auto"/>
        </w:rPr>
      </w:pPr>
      <w:r>
        <w:rPr>
          <w:rFonts w:ascii="Arial" w:cs="Arial" w:eastAsia="Arial" w:hAnsi="Arial"/>
          <w:sz w:val="16"/>
          <w:szCs w:val="16"/>
          <w:color w:val="auto"/>
        </w:rPr>
        <w:t>a. Except as otherwise provided in this Section 3, the amount of cash payable in settlement of this Annual Performance Award shall be determined by reference to the Performance Measures and Performance Goals achieved during the Performance Period in accordance with the tables set forth</w:t>
      </w:r>
    </w:p>
    <w:p>
      <w:pPr>
        <w:spacing w:after="0"/>
        <w:tabs>
          <w:tab w:leader="none" w:pos="4440" w:val="left"/>
        </w:tabs>
        <w:rPr>
          <w:sz w:val="20"/>
          <w:szCs w:val="20"/>
          <w:color w:val="auto"/>
        </w:rPr>
      </w:pPr>
      <w:r>
        <w:rPr>
          <w:rFonts w:ascii="Arial" w:cs="Arial" w:eastAsia="Arial" w:hAnsi="Arial"/>
          <w:sz w:val="18"/>
          <w:szCs w:val="18"/>
          <w:color w:val="auto"/>
        </w:rPr>
        <w:t>on Exhibit A attached hereto, and may range from 0% to [</w:t>
      </w:r>
      <w:r>
        <w:rPr>
          <w:sz w:val="20"/>
          <w:szCs w:val="20"/>
          <w:color w:val="auto"/>
        </w:rPr>
        <w:tab/>
      </w:r>
      <w:r>
        <w:rPr>
          <w:rFonts w:ascii="Arial" w:cs="Arial" w:eastAsia="Arial" w:hAnsi="Arial"/>
          <w:sz w:val="16"/>
          <w:szCs w:val="16"/>
          <w:color w:val="auto"/>
        </w:rPr>
        <w:t>]% of your Target Potential Payout.</w:t>
      </w:r>
    </w:p>
    <w:p>
      <w:pPr>
        <w:spacing w:after="0" w:line="211" w:lineRule="exact"/>
        <w:rPr>
          <w:sz w:val="20"/>
          <w:szCs w:val="20"/>
          <w:color w:val="auto"/>
        </w:rPr>
      </w:pPr>
    </w:p>
    <w:p>
      <w:pPr>
        <w:ind w:right="60" w:firstLine="656"/>
        <w:spacing w:after="0" w:line="264"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Absent the occurrence of a Change of Control prior to the end of the Performance Period, and to the extent not previously forfeited or terminated pursuant to Section 5, 6 or 7 of this Agreement, this Annual Performance Award shall be immediately forfeited and terminated as of the end of the Performance Period if either: (i) none of the Performance Goals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Performance Measures meet the Threshold for payment as set forth in the tables on Exhibit A and the Committee determines that Section 3(c) of this Agreement does not apply, or (ii) the Committee determines that Section 3(c) of this Agreement applies but exercises its discretion pursuant to Section 3(d) of this Agreement not to make any payment.</w:t>
      </w:r>
    </w:p>
    <w:p>
      <w:pPr>
        <w:spacing w:after="0" w:line="181" w:lineRule="exact"/>
        <w:rPr>
          <w:sz w:val="20"/>
          <w:szCs w:val="20"/>
          <w:color w:val="auto"/>
        </w:rPr>
      </w:pPr>
    </w:p>
    <w:p>
      <w:pPr>
        <w:ind w:right="20" w:firstLine="656"/>
        <w:spacing w:after="0" w:line="268" w:lineRule="auto"/>
        <w:tabs>
          <w:tab w:leader="none" w:pos="13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determining whether and to what extent each Performance Goal has been achieved, the Committee [may/shall] exclude from the calculation each of the following events that occurs during a Performance Period, each as defined by generally accepted accounting principles and as identified in Toro’s consolidated financial statements, notes to the consolidated financial statements, management’s discussion and analysis or other filings with the Securities and Exchange Commission by Toro: [(i) items related to a change in accounting or measurement principles; (ii) items relating to financing activities; (iii) expenses for restructuring or productivity initiatives; (iv) other non-operating items; (v) items related to acquisitions; (vi) items attributable to the business operations of any entity acquired by Toro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Toro’s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foreign exchange gains and losses; or (xx) items relating to any other unusual or nonrecurring events or changes in applicable laws, accounting principles or business conditions].</w:t>
      </w:r>
    </w:p>
    <w:p>
      <w:pPr>
        <w:spacing w:after="0" w:line="185" w:lineRule="exact"/>
        <w:rPr>
          <w:rFonts w:ascii="Arial" w:cs="Arial" w:eastAsia="Arial" w:hAnsi="Arial"/>
          <w:sz w:val="17"/>
          <w:szCs w:val="17"/>
          <w:color w:val="auto"/>
        </w:rPr>
      </w:pPr>
    </w:p>
    <w:p>
      <w:pPr>
        <w:ind w:right="60" w:firstLine="656"/>
        <w:spacing w:after="0" w:line="264" w:lineRule="auto"/>
        <w:tabs>
          <w:tab w:leader="none" w:pos="12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actual amount that becomes payable under this Annual Performance Award based upon achieving the Performance Goals during the Performance Period may be adjusted downward by the Committee in its sole and absolute discretion based on such factors as the Committee determines to be appropriate and/or advisable.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Settlement;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656"/>
        <w:spacing w:after="0" w:line="273" w:lineRule="auto"/>
        <w:tabs>
          <w:tab w:leader="none" w:pos="13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 the event and only upon the achievement of the “Threshold” level of performance with respect to the Performance Goals specified in the tables set forth on Exhibit A of this Agreement during the Performance Period, which achievement must be confirmed by the Committee following the expiration of the Performance Period, you will receive such amount in cash up to your Maximum Potential Payout under this Annual Performance Award as determined pursuant to Section 3 of this Agreement and subject to applicable withholding. If none of the Performance Goals are achieved at the “Threshold” level of performance or above, then this Annual Performance Award will be forfeited and canceled and you will receive no payment in settlement thereof. You may not receive a greater amount in cash than your Maximum Potential Payout.</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event this Annual Performance Award is forfeited or cancelled for any</w:t>
      </w:r>
    </w:p>
    <w:p>
      <w:pPr>
        <w:sectPr>
          <w:pgSz w:w="11900" w:h="16838" w:orient="portrait"/>
          <w:cols w:equalWidth="0" w:num="1">
            <w:col w:w="11420"/>
          </w:cols>
          <w:pgMar w:left="240" w:top="364"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color w:val="auto"/>
        </w:rPr>
        <w:t>reason pursuant to Sections 3, 5, 6 or 7 of this Agreement or otherwise, no payment shall be made in settlement of this Annual Performance Award.</w:t>
      </w:r>
    </w:p>
    <w:p>
      <w:pPr>
        <w:spacing w:after="0" w:line="237" w:lineRule="exact"/>
        <w:rPr>
          <w:sz w:val="20"/>
          <w:szCs w:val="20"/>
          <w:color w:val="auto"/>
        </w:rPr>
      </w:pPr>
    </w:p>
    <w:p>
      <w:pPr>
        <w:ind w:right="180" w:firstLine="656"/>
        <w:spacing w:after="0" w:line="277"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as provided in paragraph (d) below, in no event will Toro make payment to you later than March 15 of the calendar year following the calendar year in which the Performance Period ends.</w:t>
      </w:r>
    </w:p>
    <w:p>
      <w:pPr>
        <w:spacing w:after="0" w:line="170" w:lineRule="exact"/>
        <w:rPr>
          <w:rFonts w:ascii="Arial" w:cs="Arial" w:eastAsia="Arial" w:hAnsi="Arial"/>
          <w:sz w:val="18"/>
          <w:szCs w:val="18"/>
          <w:color w:val="auto"/>
        </w:rPr>
      </w:pPr>
    </w:p>
    <w:p>
      <w:pPr>
        <w:jc w:val="both"/>
        <w:ind w:right="40" w:firstLine="656"/>
        <w:spacing w:after="0" w:line="264" w:lineRule="auto"/>
        <w:tabs>
          <w:tab w:leader="none" w:pos="12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Notwithstanding any of the foregoing or any other provision of this Agreement, in the event you have properly elected to defer your receipt of any payment pursuant to this Annual Performance Award under The Toro Company Deferred Compensation Plan, as such plan may be amended from time to time, or any similar successor plan, you will receive such payment in accordance with your deferral election.</w:t>
      </w:r>
    </w:p>
    <w:p>
      <w:pPr>
        <w:spacing w:after="0" w:line="181" w:lineRule="exact"/>
        <w:rPr>
          <w:rFonts w:ascii="Arial" w:cs="Arial" w:eastAsia="Arial" w:hAnsi="Arial"/>
          <w:sz w:val="18"/>
          <w:szCs w:val="18"/>
          <w:color w:val="auto"/>
        </w:rPr>
      </w:pPr>
    </w:p>
    <w:p>
      <w:pPr>
        <w:ind w:right="740" w:firstLine="656"/>
        <w:spacing w:after="0" w:line="277"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payment pursuant to this Annual Performance Award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0" w:right="140" w:firstLine="56"/>
        <w:spacing w:after="0" w:line="259" w:lineRule="auto"/>
        <w:tabs>
          <w:tab w:leader="none" w:pos="1316"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your employment or other service with Toro or any Affiliate or Subsidiary, as the case may be, is terminated for any reason other than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w:t>
      </w:r>
    </w:p>
    <w:p>
      <w:pPr>
        <w:spacing w:after="0" w:line="186" w:lineRule="exact"/>
        <w:rPr>
          <w:rFonts w:ascii="Arial" w:cs="Arial" w:eastAsia="Arial" w:hAnsi="Arial"/>
          <w:sz w:val="18"/>
          <w:szCs w:val="18"/>
          <w:color w:val="auto"/>
        </w:rPr>
      </w:pPr>
    </w:p>
    <w:p>
      <w:pPr>
        <w:ind w:left="600" w:right="20" w:firstLine="56"/>
        <w:spacing w:after="0" w:line="293" w:lineRule="auto"/>
        <w:tabs>
          <w:tab w:leader="none" w:pos="1313"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In the event your employment or other service with Toro or any Affiliate or Subsidiary, as the case may be, is terminated by reason of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in its sole discretion, cause payment to be made with respect this Annual Performance Award and in accordance with the payment terms hereof, but only if otherwise earned for the entire Performance Period and only with respect to the portion of the Performance Period completed as of the date of such death, Disability or Retirement.</w:t>
      </w:r>
    </w:p>
    <w:p>
      <w:pPr>
        <w:spacing w:after="0" w:line="164" w:lineRule="exact"/>
        <w:rPr>
          <w:rFonts w:ascii="Arial" w:cs="Arial" w:eastAsia="Arial" w:hAnsi="Arial"/>
          <w:sz w:val="16"/>
          <w:szCs w:val="16"/>
          <w:color w:val="auto"/>
        </w:rPr>
      </w:pPr>
    </w:p>
    <w:p>
      <w:pPr>
        <w:ind w:firstLine="8"/>
        <w:spacing w:after="0" w:line="255" w:lineRule="auto"/>
        <w:tabs>
          <w:tab w:leader="none" w:pos="662"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Adverse Action</w:t>
      </w:r>
      <w:r>
        <w:rPr>
          <w:rFonts w:ascii="Arial" w:cs="Arial" w:eastAsia="Arial" w:hAnsi="Arial"/>
          <w:sz w:val="18"/>
          <w:szCs w:val="18"/>
          <w:color w:val="auto"/>
        </w:rPr>
        <w:t>. In addition to the other rights of the Committee under the Plan, if you are determined by the Committee, acting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to have taken any action that would constitute an Adverse Action, (a) all of your rights under the Plan and any agreements evidencing an Award granted under the Plan, including this Agreement evidencing this Annual Performance Award, then held by you shall terminate and be forfeited without notice of any kind, and (b) the Committee in its sole discretion may require you to disgorge all or any profits or any other economic value (however defined by the Committee) made or realized by you, during the period beginning one (1) year prior to your termination of employment or other service with Toro, an Affiliate or a Subsidiary, in connection with any Awards granted under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Plan, including this Annual Performance Award. This Section 6 shall not apply following the occurrence of a Change of Control.</w:t>
      </w:r>
    </w:p>
    <w:p>
      <w:pPr>
        <w:spacing w:after="0" w:line="225" w:lineRule="exact"/>
        <w:rPr>
          <w:sz w:val="20"/>
          <w:szCs w:val="20"/>
          <w:color w:val="auto"/>
        </w:rPr>
      </w:pPr>
    </w:p>
    <w:p>
      <w:pPr>
        <w:ind w:right="60" w:firstLine="8"/>
        <w:spacing w:after="0" w:line="264" w:lineRule="auto"/>
        <w:tabs>
          <w:tab w:leader="none" w:pos="66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amounts paid to you under this Annual Performance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right="140" w:firstLine="8"/>
        <w:spacing w:after="0" w:line="255" w:lineRule="auto"/>
        <w:tabs>
          <w:tab w:leader="none" w:pos="66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Notwithstanding any provision of this Agreement to the contrary and subject to the terms of any separate Change of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agreement to which you are bound or Change of Control or similar policy or plan under which you are covered, upon the occurrence of a Change of Control prior to the end of the Performance Period, this Annual Performance Award shall be settled by payment of your Target Potential Payout within 60 days after the Change of Control, unless you have properly elected to defer your receipt of any payment pursuant to this Annual Performance Award under The Toro Company Deferred Compensation Plan, as such plan may be amended from time to time, or any similar successor plan, in which case, you will receive such payment in accordance with your deferral election.</w:t>
      </w:r>
    </w:p>
    <w:p>
      <w:pPr>
        <w:spacing w:after="0" w:line="193" w:lineRule="exact"/>
        <w:rPr>
          <w:rFonts w:ascii="Arial" w:cs="Arial" w:eastAsia="Arial" w:hAnsi="Arial"/>
          <w:sz w:val="18"/>
          <w:szCs w:val="18"/>
          <w:color w:val="auto"/>
        </w:rPr>
      </w:pPr>
    </w:p>
    <w:p>
      <w:pPr>
        <w:ind w:right="200" w:firstLine="8"/>
        <w:spacing w:after="0" w:line="264" w:lineRule="auto"/>
        <w:tabs>
          <w:tab w:leader="none" w:pos="66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Annual Performance Award or any rights granted under this Annual Performance Award other than by will</w:t>
      </w:r>
      <w:r>
        <w:rPr>
          <w:rFonts w:ascii="Arial" w:cs="Arial" w:eastAsia="Arial" w:hAnsi="Arial"/>
          <w:sz w:val="18"/>
          <w:szCs w:val="18"/>
          <w:i w:val="1"/>
          <w:iCs w:val="1"/>
          <w:color w:val="auto"/>
        </w:rPr>
        <w:t xml:space="preserve"> </w:t>
      </w:r>
      <w:r>
        <w:rPr>
          <w:rFonts w:ascii="Arial" w:cs="Arial" w:eastAsia="Arial" w:hAnsi="Arial"/>
          <w:sz w:val="18"/>
          <w:szCs w:val="18"/>
          <w:color w:val="auto"/>
        </w:rPr>
        <w:t>or 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20" w:firstLine="8"/>
        <w:spacing w:after="0" w:line="264"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will deduct or withhold from the payment issued under this Agreement any federal, state, local or other taxes of any kind that</w:t>
      </w:r>
      <w:r>
        <w:rPr>
          <w:rFonts w:ascii="Arial" w:cs="Arial" w:eastAsia="Arial" w:hAnsi="Arial"/>
          <w:sz w:val="18"/>
          <w:szCs w:val="18"/>
          <w:i w:val="1"/>
          <w:iCs w:val="1"/>
          <w:color w:val="auto"/>
        </w:rPr>
        <w:t xml:space="preserve"> </w:t>
      </w:r>
      <w:r>
        <w:rPr>
          <w:rFonts w:ascii="Arial" w:cs="Arial" w:eastAsia="Arial" w:hAnsi="Arial"/>
          <w:sz w:val="18"/>
          <w:szCs w:val="18"/>
          <w:color w:val="auto"/>
        </w:rPr>
        <w:t>Toro reasonably determines are required by law to be withheld with respect to income recognized or will take such other action as may be necessary in the opinion of Toro to satisfy all obligations for the payment of such taxes.</w:t>
      </w:r>
    </w:p>
    <w:p>
      <w:pPr>
        <w:spacing w:after="0" w:line="181" w:lineRule="exact"/>
        <w:rPr>
          <w:rFonts w:ascii="Arial" w:cs="Arial" w:eastAsia="Arial" w:hAnsi="Arial"/>
          <w:sz w:val="18"/>
          <w:szCs w:val="18"/>
          <w:color w:val="auto"/>
        </w:rPr>
      </w:pPr>
    </w:p>
    <w:p>
      <w:pPr>
        <w:ind w:right="120" w:firstLine="8"/>
        <w:spacing w:after="0" w:line="264" w:lineRule="auto"/>
        <w:tabs>
          <w:tab w:leader="none" w:pos="66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Annual 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“qualified performance-based compensation” within the meaning Section 162(m) of the Code and the Plan. This Annual Performance Award is to be construed and administered in a manner consistent with such intent.</w:t>
      </w:r>
    </w:p>
    <w:p>
      <w:pPr>
        <w:spacing w:after="0" w:line="181" w:lineRule="exact"/>
        <w:rPr>
          <w:rFonts w:ascii="Arial" w:cs="Arial" w:eastAsia="Arial" w:hAnsi="Arial"/>
          <w:sz w:val="18"/>
          <w:szCs w:val="18"/>
          <w:color w:val="auto"/>
        </w:rPr>
      </w:pPr>
    </w:p>
    <w:p>
      <w:pPr>
        <w:jc w:val="both"/>
        <w:ind w:right="540" w:firstLine="8"/>
        <w:spacing w:after="0" w:line="264"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Annual Performance Award shall be binding on any successor to Toro,</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right="100" w:firstLine="8"/>
        <w:spacing w:after="0" w:line="259"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Annual Performance Award, the Annual Performance Award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nor any related material shall give you the right to continue in employment by or perform services to Toro or any Affiliate or Subsidiary or shall adversely affect the right of Toro or any Affiliate or Subsidiary to terminate your employment or service relationship with Toro or any Affiliate or Subsidiary with or without cause at any time.</w:t>
      </w:r>
    </w:p>
    <w:p>
      <w:pPr>
        <w:spacing w:after="0" w:line="186" w:lineRule="exact"/>
        <w:rPr>
          <w:rFonts w:ascii="Arial" w:cs="Arial" w:eastAsia="Arial" w:hAnsi="Arial"/>
          <w:sz w:val="18"/>
          <w:szCs w:val="18"/>
          <w:color w:val="auto"/>
        </w:rPr>
      </w:pPr>
    </w:p>
    <w:p>
      <w:pPr>
        <w:ind w:right="160" w:firstLine="8"/>
        <w:spacing w:after="0" w:line="277"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Annual Performance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w:t>
      </w:r>
    </w:p>
    <w:p>
      <w:pPr>
        <w:sectPr>
          <w:pgSz w:w="11900" w:h="16838" w:orient="portrait"/>
          <w:cols w:equalWidth="0" w:num="1">
            <w:col w:w="11420"/>
          </w:cols>
          <w:pgMar w:left="240" w:top="584" w:right="239" w:bottom="0" w:gutter="0" w:footer="0" w:header="0"/>
        </w:sectPr>
      </w:pPr>
    </w:p>
    <w:bookmarkStart w:id="81" w:name="page82"/>
    <w:bookmarkEnd w:id="81"/>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applicable laws of the State of Delaware, excluding any conflicts or choice of law rule or principle that might otherwise refer construction or interpretation to the substantive law of another jurisdiction.</w:t>
      </w:r>
    </w:p>
    <w:p>
      <w:pPr>
        <w:spacing w:after="0" w:line="170" w:lineRule="exact"/>
        <w:rPr>
          <w:sz w:val="20"/>
          <w:szCs w:val="20"/>
          <w:color w:val="auto"/>
        </w:rPr>
      </w:pPr>
    </w:p>
    <w:p>
      <w:pPr>
        <w:jc w:val="both"/>
        <w:ind w:right="300" w:firstLine="8"/>
        <w:spacing w:after="0" w:line="342" w:lineRule="auto"/>
        <w:tabs>
          <w:tab w:leader="none" w:pos="671"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Annual Performance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Annual Performance Award Acceptance Agreement.</w:t>
      </w:r>
    </w:p>
    <w:p>
      <w:pPr>
        <w:spacing w:after="0" w:line="123" w:lineRule="exact"/>
        <w:rPr>
          <w:rFonts w:ascii="Arial" w:cs="Arial" w:eastAsia="Arial" w:hAnsi="Arial"/>
          <w:sz w:val="16"/>
          <w:szCs w:val="16"/>
          <w:color w:val="auto"/>
        </w:rPr>
      </w:pPr>
    </w:p>
    <w:p>
      <w:pPr>
        <w:ind w:right="540" w:firstLine="8"/>
        <w:spacing w:after="0" w:line="342" w:lineRule="auto"/>
        <w:tabs>
          <w:tab w:leader="none" w:pos="671"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Non-Negotiable Terms</w:t>
      </w:r>
      <w:r>
        <w:rPr>
          <w:rFonts w:ascii="Arial" w:cs="Arial" w:eastAsia="Arial" w:hAnsi="Arial"/>
          <w:sz w:val="16"/>
          <w:szCs w:val="16"/>
          <w:color w:val="auto"/>
        </w:rPr>
        <w:t>. The terms of this Annual Performance Award and the Annual Performance Award Acceptance Agreement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negotiable, but you may refuse to accept this Annual Performance Award by notifying Toro’s Vice President, Secretary and General Counsel in writing.</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Annual Performance Award Acceptance Agreement.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330"/>
              <w:spacing w:after="0"/>
              <w:rPr>
                <w:sz w:val="20"/>
                <w:szCs w:val="20"/>
                <w:color w:val="auto"/>
              </w:rPr>
            </w:pPr>
            <w:r>
              <w:rPr>
                <w:rFonts w:ascii="Arial" w:cs="Arial" w:eastAsia="Arial" w:hAnsi="Arial"/>
                <w:sz w:val="18"/>
                <w:szCs w:val="18"/>
                <w:color w:val="auto"/>
                <w:w w:val="78"/>
              </w:rPr>
              <w:t>[</w:t>
            </w:r>
          </w:p>
        </w:tc>
        <w:tc>
          <w:tcPr>
            <w:tcW w:w="4860" w:type="dxa"/>
            <w:vAlign w:val="bottom"/>
          </w:tcPr>
          <w:p>
            <w:pPr>
              <w:jc w:val="right"/>
              <w:ind w:right="4310"/>
              <w:spacing w:after="0"/>
              <w:rPr>
                <w:sz w:val="20"/>
                <w:szCs w:val="20"/>
                <w:color w:val="auto"/>
              </w:rPr>
            </w:pPr>
            <w:r>
              <w:rPr>
                <w:rFonts w:ascii="Arial" w:cs="Arial" w:eastAsia="Arial" w:hAnsi="Arial"/>
                <w:sz w:val="18"/>
                <w:szCs w:val="18"/>
                <w:color w:val="auto"/>
              </w:rPr>
              <w:t>]</w:t>
            </w:r>
          </w:p>
        </w:tc>
        <w:tc>
          <w:tcPr>
            <w:tcW w:w="6080" w:type="dxa"/>
            <w:vAlign w:val="bottom"/>
            <w:gridSpan w:val="2"/>
          </w:tcPr>
          <w:p>
            <w:pPr>
              <w:ind w:left="7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vMerge w:val="restart"/>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Chairman and CEO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00" w:type="dxa"/>
            <w:vAlign w:val="bottom"/>
          </w:tcPr>
          <w:p>
            <w:pPr>
              <w:jc w:val="right"/>
              <w:ind w:right="990"/>
              <w:spacing w:after="0"/>
              <w:rPr>
                <w:sz w:val="20"/>
                <w:szCs w:val="20"/>
                <w:color w:val="auto"/>
              </w:rPr>
            </w:pPr>
            <w:r>
              <w:rPr>
                <w:rFonts w:ascii="Arial" w:cs="Arial" w:eastAsia="Arial" w:hAnsi="Arial"/>
                <w:sz w:val="18"/>
                <w:szCs w:val="18"/>
                <w:color w:val="auto"/>
              </w:rPr>
              <w:t>6</w:t>
            </w: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 w:type="dxa"/>
            <w:vAlign w:val="bottom"/>
            <w:tcBorders>
              <w:bottom w:val="single" w:sz="8" w:color="010101"/>
            </w:tcBorders>
          </w:tcPr>
          <w:p>
            <w:pPr>
              <w:spacing w:after="0"/>
              <w:rPr>
                <w:sz w:val="11"/>
                <w:szCs w:val="11"/>
                <w:color w:val="auto"/>
              </w:rPr>
            </w:pPr>
          </w:p>
        </w:tc>
        <w:tc>
          <w:tcPr>
            <w:tcW w:w="1094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0" w:type="dxa"/>
            <w:vAlign w:val="bottom"/>
          </w:tcPr>
          <w:p>
            <w:pPr>
              <w:spacing w:after="0"/>
              <w:rPr>
                <w:sz w:val="24"/>
                <w:szCs w:val="24"/>
                <w:color w:val="auto"/>
              </w:rPr>
            </w:pPr>
          </w:p>
        </w:tc>
        <w:tc>
          <w:tcPr>
            <w:tcW w:w="10940" w:type="dxa"/>
            <w:vAlign w:val="bottom"/>
            <w:gridSpan w:val="3"/>
          </w:tcPr>
          <w:p>
            <w:pPr>
              <w:jc w:val="center"/>
              <w:ind w:right="390"/>
              <w:spacing w:after="0"/>
              <w:rPr>
                <w:sz w:val="20"/>
                <w:szCs w:val="20"/>
                <w:color w:val="auto"/>
              </w:rPr>
            </w:pPr>
            <w:r>
              <w:rPr>
                <w:rFonts w:ascii="Arial" w:cs="Arial" w:eastAsia="Arial" w:hAnsi="Arial"/>
                <w:sz w:val="18"/>
                <w:szCs w:val="18"/>
                <w:color w:val="auto"/>
                <w:w w:val="96"/>
              </w:rPr>
              <w:t>ANNUAL PERFORMANCE AWARD ACCEPTANCE AGREEMENT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-507365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 hereby agree to the terms and conditions governing the Annual Performance Award as set forth in the Annual Performance Award Agreement, this Annual Performance Award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Annual Performance Award, I hereby acknowledge that:</w:t>
      </w:r>
    </w:p>
    <w:p>
      <w:pPr>
        <w:spacing w:after="0" w:line="225" w:lineRule="exact"/>
        <w:rPr>
          <w:sz w:val="20"/>
          <w:szCs w:val="20"/>
          <w:color w:val="auto"/>
        </w:rPr>
      </w:pPr>
    </w:p>
    <w:p>
      <w:pPr>
        <w:ind w:right="120" w:firstLine="656"/>
        <w:spacing w:after="0" w:line="342" w:lineRule="auto"/>
        <w:tabs>
          <w:tab w:leader="none" w:pos="13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Annual Performance Award Agreement or this Annual Performance Award Acceptance Agreement;</w:t>
      </w:r>
    </w:p>
    <w:p>
      <w:pPr>
        <w:spacing w:after="0" w:line="123" w:lineRule="exact"/>
        <w:rPr>
          <w:rFonts w:ascii="Arial" w:cs="Arial" w:eastAsia="Arial" w:hAnsi="Arial"/>
          <w:sz w:val="16"/>
          <w:szCs w:val="16"/>
          <w:color w:val="auto"/>
        </w:rPr>
      </w:pPr>
    </w:p>
    <w:p>
      <w:pPr>
        <w:ind w:right="120" w:firstLine="656"/>
        <w:spacing w:after="0" w:line="264" w:lineRule="auto"/>
        <w:tabs>
          <w:tab w:leader="none" w:pos="13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grant of the Annual Performance Award is voluntary and occasional and does not create any contractual or other right to receive future Annual Performance Awards, or benefits in lieu of Annual Performance Awards, even if Annual Performance Awards have been granted repeatedly in the past;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decisions with respect to future Annual Performance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300" w:firstLine="656"/>
        <w:spacing w:after="0" w:line="312" w:lineRule="auto"/>
        <w:tabs>
          <w:tab w:leader="none" w:pos="13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Annual Performance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any Affiliate or Subsidiary;</w:t>
      </w:r>
    </w:p>
    <w:p>
      <w:pPr>
        <w:spacing w:after="0" w:line="146" w:lineRule="exact"/>
        <w:rPr>
          <w:rFonts w:ascii="Arial" w:cs="Arial" w:eastAsia="Arial" w:hAnsi="Arial"/>
          <w:sz w:val="16"/>
          <w:szCs w:val="16"/>
          <w:color w:val="auto"/>
        </w:rPr>
      </w:pPr>
    </w:p>
    <w:p>
      <w:pPr>
        <w:ind w:right="40" w:firstLine="656"/>
        <w:spacing w:after="0" w:line="255" w:lineRule="auto"/>
        <w:tabs>
          <w:tab w:leader="none" w:pos="13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consideration of the grant of the Annual Performance Award, no claim or entitlement to compensation or damages shall arise from termination of the Annual Performance Award or diminution in value of the Annual Performance Award resulting from termination of my employment or service by Toro or any one of its Affiliates or Subsidiaries (for any reason whatsoever and whether or not in breach of applicable labor laws) and I hereby irrevocably release Toro and its Affiliates and Subsidiaries from any such claim that may arise; if, notwithstanding the foregoing, any such claim is found by a court of competent jurisdiction to have arisen, then, by acceptance of the Annual Performance Award, I shall be deemed irrevocably to have waived my entitlement to pursue such claim;</w:t>
      </w:r>
    </w:p>
    <w:p>
      <w:pPr>
        <w:spacing w:after="0" w:line="193"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Toro is not providing any tax, legal or financial advice, nor is Toro making any recommendations regarding my participation in the Plan or my acceptance of the Annual Performance Award;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advisors regarding my participation in the Plan before taking any action related to the Plan.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Prospectus relating to the Plan and Toro’s most recent Annual Report on Form 10-K. I hereby agree to accept electronic delivery of copies of any future amendments or supplements to the Prospectus or any future Prospectuses relating the Plan and copies of all reports, proxy statements and other communications distributed to Toro’s security holders generally by email directed to my Toro email address.</w:t>
      </w:r>
    </w:p>
    <w:p>
      <w:pPr>
        <w:sectPr>
          <w:pgSz w:w="11900" w:h="16838" w:orient="portrait"/>
          <w:cols w:equalWidth="0" w:num="1">
            <w:col w:w="11460"/>
          </w:cols>
          <w:pgMar w:left="240" w:top="125" w:right="199" w:bottom="0" w:gutter="0" w:footer="0" w:header="0"/>
        </w:sectPr>
      </w:pPr>
    </w:p>
    <w:bookmarkStart w:id="82" w:name="page83"/>
    <w:bookmarkEnd w:id="82"/>
    <w:p>
      <w:pPr>
        <w:ind w:right="80" w:firstLine="648"/>
        <w:spacing w:after="0" w:line="342" w:lineRule="auto"/>
        <w:rPr>
          <w:sz w:val="20"/>
          <w:szCs w:val="20"/>
          <w:color w:val="auto"/>
        </w:rPr>
      </w:pPr>
      <w:r>
        <w:rPr>
          <w:rFonts w:ascii="Arial" w:cs="Arial" w:eastAsia="Arial" w:hAnsi="Arial"/>
          <w:sz w:val="16"/>
          <w:szCs w:val="16"/>
          <w:i w:val="1"/>
          <w:iCs w:val="1"/>
          <w:color w:val="auto"/>
        </w:rPr>
        <w:t>Note: If you do not wish to accept the Annual Performance Award on the terms stated in the Annual Performance Award Agreement and this Annual Performance Award Acceptance Agreement, please immediately contact Toro’s Vice President, Secretary and General Counsel to decline the grant.</w:t>
      </w:r>
    </w:p>
    <w:p>
      <w:pPr>
        <w:spacing w:after="0" w:line="34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5715</wp:posOffset>
            </wp:positionV>
            <wp:extent cx="31045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ANNUAL PERFORMANCE AWARD AGREEMENT</w:t>
      </w:r>
    </w:p>
    <w:p>
      <w:pPr>
        <w:spacing w:after="0" w:line="9" w:lineRule="exact"/>
        <w:rPr>
          <w:sz w:val="20"/>
          <w:szCs w:val="20"/>
          <w:color w:val="auto"/>
        </w:rPr>
      </w:pPr>
    </w:p>
    <w:p>
      <w:pPr>
        <w:ind w:left="5080"/>
        <w:spacing w:after="0"/>
        <w:tabs>
          <w:tab w:leader="none" w:pos="6200" w:val="left"/>
        </w:tabs>
        <w:rPr>
          <w:sz w:val="20"/>
          <w:szCs w:val="20"/>
          <w:color w:val="auto"/>
        </w:rPr>
      </w:pPr>
      <w:r>
        <w:rPr>
          <w:rFonts w:ascii="Arial" w:cs="Arial" w:eastAsia="Arial" w:hAnsi="Arial"/>
          <w:sz w:val="18"/>
          <w:szCs w:val="18"/>
          <w:color w:val="auto"/>
        </w:rPr>
        <w:t>(FISCAL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PERFORMANCE MEASURES AND GOALS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Performance Measures and the Performance Goals to be achieved on a cumulative basis over the Performance Period and their respective weightings and their respective Threshold, Target and Maximum levels of performance, are set forth below.</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overall weighting of the Corporate, Divisional and Plan portions of your Performance Measures and the corresponding Threshold Performance Measure that must be attained before any payment will be made for such Corporate, Divisional or Plan portion are as follows:</w:t>
      </w:r>
    </w:p>
    <w:p>
      <w:pPr>
        <w:spacing w:after="0" w:line="162" w:lineRule="exact"/>
        <w:rPr>
          <w:sz w:val="20"/>
          <w:szCs w:val="20"/>
          <w:color w:val="auto"/>
        </w:rPr>
      </w:pPr>
    </w:p>
    <w:p>
      <w:pPr>
        <w:spacing w:after="0"/>
        <w:tabs>
          <w:tab w:leader="none" w:pos="5000" w:val="left"/>
          <w:tab w:leader="none" w:pos="9660" w:val="left"/>
        </w:tabs>
        <w:rPr>
          <w:sz w:val="20"/>
          <w:szCs w:val="20"/>
          <w:color w:val="auto"/>
        </w:rPr>
      </w:pPr>
      <w:r>
        <w:rPr>
          <w:rFonts w:ascii="Arial" w:cs="Arial" w:eastAsia="Arial" w:hAnsi="Arial"/>
          <w:sz w:val="14"/>
          <w:szCs w:val="14"/>
          <w:b w:val="1"/>
          <w:bCs w:val="1"/>
          <w:color w:val="auto"/>
        </w:rPr>
        <w:t>Weighting</w:t>
      </w:r>
      <w:r>
        <w:rPr>
          <w:sz w:val="20"/>
          <w:szCs w:val="20"/>
          <w:color w:val="auto"/>
        </w:rPr>
        <w:tab/>
      </w:r>
      <w:r>
        <w:rPr>
          <w:rFonts w:ascii="Arial" w:cs="Arial" w:eastAsia="Arial" w:hAnsi="Arial"/>
          <w:sz w:val="14"/>
          <w:szCs w:val="14"/>
          <w:b w:val="1"/>
          <w:bCs w:val="1"/>
          <w:color w:val="auto"/>
        </w:rPr>
        <w:t>Performance Measures</w:t>
      </w:r>
      <w:r>
        <w:rPr>
          <w:sz w:val="20"/>
          <w:szCs w:val="20"/>
          <w:color w:val="auto"/>
        </w:rPr>
        <w:tab/>
      </w:r>
      <w:r>
        <w:rPr>
          <w:rFonts w:ascii="Arial" w:cs="Arial" w:eastAsia="Arial" w:hAnsi="Arial"/>
          <w:sz w:val="12"/>
          <w:szCs w:val="12"/>
          <w:b w:val="1"/>
          <w:bCs w:val="1"/>
          <w:color w:val="auto"/>
        </w:rPr>
        <w:t>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Corporate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Divisional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Plant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the Performance Goals for the Performance Measure attained for the Performance Period falls between Threshold and Target or between Target and Maximum in the tables below, the payout percentage will be determined by straight line interpolation between Threshold and Target or Target and Maximum, as the case may be, and rounded to the nearest whole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Performance Goal</w:t>
            </w: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432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Performance Measure</w:t>
            </w:r>
          </w:p>
        </w:tc>
        <w:tc>
          <w:tcPr>
            <w:tcW w:w="1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Threshold</w:t>
            </w:r>
          </w:p>
        </w:tc>
        <w:tc>
          <w:tcPr>
            <w:tcW w:w="1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Target</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71"/>
        </w:trPr>
        <w:tc>
          <w:tcPr>
            <w:tcW w:w="1860" w:type="dxa"/>
            <w:vAlign w:val="bottom"/>
            <w:gridSpan w:val="2"/>
            <w:vMerge w:val="continue"/>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(40% payout)</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(100% payout)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0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Divisional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Performance Goal</w:t>
            </w:r>
          </w:p>
        </w:tc>
        <w:tc>
          <w:tcPr>
            <w:tcW w:w="1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Weighting</w:t>
            </w:r>
          </w:p>
        </w:tc>
        <w:tc>
          <w:tcPr>
            <w:tcW w:w="22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Performance Measure</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Threshold</w:t>
            </w:r>
          </w:p>
        </w:tc>
        <w:tc>
          <w:tcPr>
            <w:tcW w:w="1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Target</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gridSpan w:val="3"/>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(40% payout)</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(100% payout)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60" w:type="dxa"/>
            <w:vAlign w:val="bottom"/>
            <w:gridSpan w:val="4"/>
          </w:tcPr>
          <w:p>
            <w:pPr>
              <w:ind w:left="340"/>
              <w:spacing w:after="0"/>
              <w:rPr>
                <w:sz w:val="20"/>
                <w:szCs w:val="20"/>
                <w:color w:val="auto"/>
              </w:rPr>
            </w:pPr>
            <w:r>
              <w:rPr>
                <w:rFonts w:ascii="Arial" w:cs="Arial" w:eastAsia="Arial" w:hAnsi="Arial"/>
                <w:sz w:val="18"/>
                <w:szCs w:val="18"/>
                <w:color w:val="auto"/>
              </w:rPr>
              <w:t>Exhibit A-1</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60" w:type="dxa"/>
            <w:vAlign w:val="bottom"/>
            <w:tcBorders>
              <w:bottom w:val="single" w:sz="8" w:color="010101"/>
            </w:tcBorders>
            <w:gridSpan w:val="3"/>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660" w:type="dxa"/>
            <w:vAlign w:val="bottom"/>
            <w:gridSpan w:val="3"/>
          </w:tcPr>
          <w:p>
            <w:pPr>
              <w:spacing w:after="0"/>
              <w:rPr>
                <w:sz w:val="20"/>
                <w:szCs w:val="20"/>
                <w:color w:val="auto"/>
              </w:rPr>
            </w:pPr>
            <w:r>
              <w:rPr>
                <w:rFonts w:ascii="Arial" w:cs="Arial" w:eastAsia="Arial" w:hAnsi="Arial"/>
                <w:sz w:val="18"/>
                <w:szCs w:val="18"/>
                <w:i w:val="1"/>
                <w:iCs w:val="1"/>
                <w:color w:val="auto"/>
              </w:rPr>
              <w:t>Plant Performance Measures</w:t>
            </w:r>
          </w:p>
        </w:tc>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Performance Goal</w:t>
            </w:r>
          </w:p>
        </w:tc>
        <w:tc>
          <w:tcPr>
            <w:tcW w:w="1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Weighting</w:t>
            </w:r>
          </w:p>
        </w:tc>
        <w:tc>
          <w:tcPr>
            <w:tcW w:w="22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Performance Measure</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Threshold</w:t>
            </w:r>
          </w:p>
        </w:tc>
        <w:tc>
          <w:tcPr>
            <w:tcW w:w="1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Target</w:t>
            </w: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gridSpan w:val="3"/>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(40% payout)</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(100% payout)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6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60" w:type="dxa"/>
            <w:vAlign w:val="bottom"/>
            <w:gridSpan w:val="4"/>
          </w:tcPr>
          <w:p>
            <w:pPr>
              <w:ind w:left="340"/>
              <w:spacing w:after="0"/>
              <w:rPr>
                <w:sz w:val="20"/>
                <w:szCs w:val="20"/>
                <w:color w:val="auto"/>
              </w:rPr>
            </w:pPr>
            <w:r>
              <w:rPr>
                <w:rFonts w:ascii="Arial" w:cs="Arial" w:eastAsia="Arial" w:hAnsi="Arial"/>
                <w:sz w:val="18"/>
                <w:szCs w:val="18"/>
                <w:color w:val="auto"/>
              </w:rPr>
              <w:t>Exhibit A-2</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-1615440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-1615440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3" w:name="page84"/>
    <w:bookmarkEnd w:id="83"/>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10/31/2011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10/31/2010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10/31/2009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10/31/2008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10/31/2007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174,826,000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95,788,000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181,289,000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213,227,000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Plus: Fixed charges</w:t>
            </w:r>
          </w:p>
        </w:tc>
        <w:tc>
          <w:tcPr>
            <w:tcW w:w="24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24,249,868</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23,579,921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24,280,076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26,141,532</w:t>
            </w: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26,003,000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Earnings available to cover fixed</w:t>
            </w: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charges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199,075,868</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164,847,921</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120,068,076</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207,430,532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239,230,000</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16,970,000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17,113,000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17,578,000</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19,333,000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19,445,000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7,279,868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6,466,921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6,702,076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6,808,532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6,558,000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24,249,868</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23,579,921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24,280,076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26,141,532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26,003,000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0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ind w:left="122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60" w:type="dxa"/>
            <w:vAlign w:val="bottom"/>
            <w:gridSpan w:val="4"/>
          </w:tcPr>
          <w:p>
            <w:pPr>
              <w:jc w:val="right"/>
              <w:ind w:right="1640"/>
              <w:spacing w:after="0"/>
              <w:rPr>
                <w:sz w:val="20"/>
                <w:szCs w:val="20"/>
                <w:color w:val="auto"/>
              </w:rPr>
            </w:pPr>
            <w:r>
              <w:rPr>
                <w:rFonts w:ascii="Arial" w:cs="Arial" w:eastAsia="Arial" w:hAnsi="Arial"/>
                <w:sz w:val="18"/>
                <w:szCs w:val="18"/>
                <w:b w:val="1"/>
                <w:bCs w:val="1"/>
                <w:color w:val="auto"/>
              </w:rPr>
              <w:t>THE TORO COMPANY AND SUBSIDIARIES</w:t>
            </w: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560" w:type="dxa"/>
            <w:vAlign w:val="bottom"/>
            <w:gridSpan w:val="4"/>
          </w:tcPr>
          <w:p>
            <w:pPr>
              <w:jc w:val="right"/>
              <w:ind w:right="2500"/>
              <w:spacing w:after="0"/>
              <w:rPr>
                <w:sz w:val="20"/>
                <w:szCs w:val="20"/>
                <w:color w:val="auto"/>
              </w:rPr>
            </w:pPr>
            <w:r>
              <w:rPr>
                <w:rFonts w:ascii="Arial" w:cs="Arial" w:eastAsia="Arial" w:hAnsi="Arial"/>
                <w:sz w:val="18"/>
                <w:szCs w:val="18"/>
                <w:b w:val="1"/>
                <w:bCs w:val="1"/>
                <w:color w:val="auto"/>
              </w:rPr>
              <w:t>Subsidiaries of Registrant</w:t>
            </w: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0" w:type="dxa"/>
            <w:vAlign w:val="bottom"/>
            <w:gridSpan w:val="6"/>
          </w:tcPr>
          <w:p>
            <w:pPr>
              <w:spacing w:after="0"/>
              <w:rPr>
                <w:sz w:val="20"/>
                <w:szCs w:val="20"/>
                <w:color w:val="auto"/>
              </w:rPr>
            </w:pPr>
            <w:r>
              <w:rPr>
                <w:rFonts w:ascii="Arial" w:cs="Arial" w:eastAsia="Arial" w:hAnsi="Arial"/>
                <w:sz w:val="18"/>
                <w:szCs w:val="18"/>
                <w:color w:val="auto"/>
              </w:rPr>
              <w:t>The following are significant subsidiaries of The Toro Company as of December 14, 2011.</w:t>
            </w: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State or Other Jurisdiction</w:t>
            </w:r>
          </w:p>
        </w:tc>
        <w:tc>
          <w:tcPr>
            <w:tcW w:w="2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Percentage of Voting</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of Incorporation</w:t>
            </w:r>
          </w:p>
        </w:tc>
        <w:tc>
          <w:tcPr>
            <w:tcW w:w="2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Securities Owned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7"/>
              </w:rPr>
              <w:t>Exmark Manufacturing Company Incorporated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Nebraska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Holdings Limited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Limited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Holiman Co. Inc.</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Pennsylvania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S.r.l.</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Productions S.r.l.</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MTI Distributing, Inc.</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Rain Master Irrigation Systems, Inc.</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California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Acceptance, LLC</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Holding Corporation</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Insurance, Limited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Bermuda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ShopToro Company</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Pty. Limited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Group Sales Pty. Ltd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Credit Company</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9"/>
              </w:rPr>
              <w:t>Toro Company de Mexico, S. de R.L. de C.V.</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Mexico</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Europe N.V.</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Belgium</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Factoring Company Limited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Guernsey</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Finance Co. GmbH</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Switzerland</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France</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France</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(Gibraltar) Limited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Gibraltar</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Global Services Company</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Luxembourg S.à.r.l.</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Luxembourg</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LLC</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and Sales, S.R.L.</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Romania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Mexico Holdings, LLC</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International Company</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LLC</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Purchasing Company</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R&amp;D Company</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8140" w:val="left"/>
          <w:tab w:leader="none" w:pos="10960" w:val="left"/>
        </w:tabs>
        <w:rPr>
          <w:sz w:val="20"/>
          <w:szCs w:val="20"/>
          <w:color w:val="auto"/>
        </w:rPr>
      </w:pPr>
      <w:r>
        <w:rPr>
          <w:rFonts w:ascii="Arial" w:cs="Arial" w:eastAsia="Arial" w:hAnsi="Arial"/>
          <w:sz w:val="18"/>
          <w:szCs w:val="18"/>
          <w:color w:val="auto"/>
        </w:rPr>
        <w:t>Toro Sales Company</w:t>
      </w:r>
      <w:r>
        <w:rPr>
          <w:sz w:val="20"/>
          <w:szCs w:val="20"/>
          <w:color w:val="auto"/>
        </w:rPr>
        <w:tab/>
      </w:r>
      <w:r>
        <w:rPr>
          <w:rFonts w:ascii="Arial" w:cs="Arial" w:eastAsia="Arial" w:hAnsi="Arial"/>
          <w:sz w:val="18"/>
          <w:szCs w:val="18"/>
          <w:color w:val="auto"/>
        </w:rPr>
        <w:t>Minnesota</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Toro Warranty Company</w:t>
            </w:r>
          </w:p>
        </w:tc>
        <w:tc>
          <w:tcPr>
            <w:tcW w:w="50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Minnesota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B.V</w:t>
            </w:r>
          </w:p>
        </w:tc>
        <w:tc>
          <w:tcPr>
            <w:tcW w:w="50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Netherlands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I C.V.</w:t>
            </w:r>
          </w:p>
        </w:tc>
        <w:tc>
          <w:tcPr>
            <w:tcW w:w="50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Netherlands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(Canada), Inc.</w:t>
            </w:r>
          </w:p>
        </w:tc>
        <w:tc>
          <w:tcPr>
            <w:tcW w:w="50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New Brunswick, Canada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Western Equipment Distributors, Inc.</w:t>
            </w:r>
          </w:p>
        </w:tc>
        <w:tc>
          <w:tcPr>
            <w:tcW w:w="50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Minnesota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90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consent to incorporation by reference in the Registration Statement No. 333-142282 on Form S-3 and in Registration Statements (Nos. 333-03505, 333-44879, 333-36166, 333-47260, 333-57198, 333-89260, 333-89262, 333-135033, 333-119504, 333-119506, 333-151086, 333-159767, and 333-165582) on Form S-8 of The Toro Company of our report dated December 21, 2011, related to the consolidated balance sheets of The Toro Company and subsidiaries as of October 31, 2011 and 2010, and the related consolidated statements of earnings, cash flows, and changes in stockholders’ equity and comprehensive income and related financial statement schedule for each of the years in the three year period ended October 31, 2011, and the effectiveness of internal control over financial reporting as of October 31, 2011, which report is included in the Annual Report on Form 10-K of The Toro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944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connection with the Annual Report of The Toro Company (the “Company”) on Form 10-K for the fiscal year ended October 31, 2011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1000" w:hanging="344"/>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9789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9789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2011</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bullet"/>
      <w:start w:val="1"/>
    </w:lvl>
  </w:abstractNum>
  <w:abstractNum w:abstractNumId="7">
    <w:nsid w:val="51EAD36B"/>
    <w:multiLevelType w:val="hybridMultilevel"/>
    <w:lvl w:ilvl="0">
      <w:lvlJc w:val="left"/>
      <w:lvlText w:val="1"/>
      <w:numFmt w:val="bullet"/>
      <w:start w:val="1"/>
    </w:lvl>
  </w:abstractNum>
  <w:abstractNum w:abstractNumId="8">
    <w:nsid w:val="2D517796"/>
    <w:multiLevelType w:val="hybridMultilevel"/>
    <w:lvl w:ilvl="0">
      <w:lvlJc w:val="left"/>
      <w:lvlText w:val="4"/>
      <w:numFmt w:val="bullet"/>
      <w:start w:val="1"/>
    </w:lvl>
  </w:abstractNum>
  <w:abstractNum w:abstractNumId="9">
    <w:nsid w:val="580BD78F"/>
    <w:multiLevelType w:val="hybridMultilevel"/>
    <w:lvl w:ilvl="0">
      <w:lvlJc w:val="left"/>
      <w:lvlText w:val="1"/>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bullet"/>
      <w:start w:val="1"/>
    </w:lvl>
  </w:abstractNum>
  <w:abstractNum w:abstractNumId="27">
    <w:nsid w:val="579478FE"/>
    <w:multiLevelType w:val="hybridMultilevel"/>
    <w:lvl w:ilvl="0">
      <w:lvlJc w:val="left"/>
      <w:lvlText w:val="2"/>
      <w:numFmt w:val="bullet"/>
      <w:start w:val="1"/>
    </w:lvl>
  </w:abstractNum>
  <w:abstractNum w:abstractNumId="28">
    <w:nsid w:val="749ABB43"/>
    <w:multiLevelType w:val="hybridMultilevel"/>
    <w:lvl w:ilvl="0">
      <w:lvlJc w:val="left"/>
      <w:lvlText w:val="3"/>
      <w:numFmt w:val="bullet"/>
      <w:start w:val="1"/>
    </w:lvl>
  </w:abstractNum>
  <w:abstractNum w:abstractNumId="29">
    <w:nsid w:val="3DC240FB"/>
    <w:multiLevelType w:val="hybridMultilevel"/>
    <w:lvl w:ilvl="0">
      <w:lvlJc w:val="left"/>
      <w:lvlText w:val="4"/>
      <w:numFmt w:val="bullet"/>
      <w:start w:val="1"/>
    </w:lvl>
  </w:abstractNum>
  <w:abstractNum w:abstractNumId="30">
    <w:nsid w:val="1BA026FA"/>
    <w:multiLevelType w:val="hybridMultilevel"/>
    <w:lvl w:ilvl="0">
      <w:lvlJc w:val="left"/>
      <w:lvlText w:val="6"/>
      <w:numFmt w:val="bullet"/>
      <w:start w:val="1"/>
    </w:lvl>
  </w:abstractNum>
  <w:abstractNum w:abstractNumId="31">
    <w:nsid w:val="79A1DEAA"/>
    <w:multiLevelType w:val="hybridMultilevel"/>
    <w:lvl w:ilvl="0">
      <w:lvlJc w:val="left"/>
      <w:lvlText w:val="7"/>
      <w:numFmt w:val="bullet"/>
      <w:start w:val="1"/>
    </w:lvl>
  </w:abstractNum>
  <w:abstractNum w:abstractNumId="32">
    <w:nsid w:val="75C6C33A"/>
    <w:multiLevelType w:val="hybridMultilevel"/>
    <w:lvl w:ilvl="0">
      <w:lvlJc w:val="left"/>
      <w:lvlText w:val="8"/>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9"/>
      <w:numFmt w:val="bullet"/>
      <w:start w:val="1"/>
    </w:lvl>
  </w:abstractNum>
  <w:abstractNum w:abstractNumId="35">
    <w:nsid w:val="520EEDD1"/>
    <w:multiLevelType w:val="hybridMultilevel"/>
    <w:lvl w:ilvl="0">
      <w:lvlJc w:val="left"/>
      <w:lvlText w:val="1"/>
      <w:numFmt w:val="bullet"/>
      <w:start w:val="1"/>
    </w:lvl>
  </w:abstractNum>
  <w:abstractNum w:abstractNumId="36">
    <w:nsid w:val="374A3FE6"/>
    <w:multiLevelType w:val="hybridMultilevel"/>
    <w:lvl w:ilvl="0">
      <w:lvlJc w:val="left"/>
      <w:lvlText w:val="(%1)"/>
      <w:numFmt w:val="lowerRoman"/>
      <w:start w:val="2"/>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1"/>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1"/>
      <w:numFmt w:val="decimal"/>
      <w:start w:val="12"/>
    </w:lvl>
  </w:abstractNum>
  <w:abstractNum w:abstractNumId="42">
    <w:nsid w:val="1CF10FD8"/>
    <w:multiLevelType w:val="hybridMultilevel"/>
    <w:lvl w:ilvl="0">
      <w:lvlJc w:val="left"/>
      <w:lvlText w:val="%1"/>
      <w:numFmt w:val="decimal"/>
      <w:start w:val="21"/>
    </w:lvl>
  </w:abstractNum>
  <w:abstractNum w:abstractNumId="43">
    <w:nsid w:val="180115BE"/>
    <w:multiLevelType w:val="hybridMultilevel"/>
    <w:lvl w:ilvl="0">
      <w:lvlJc w:val="left"/>
      <w:lvlText w:val="%1"/>
      <w:numFmt w:val="decimal"/>
      <w:start w:val="23"/>
    </w:lvl>
  </w:abstractNum>
  <w:abstractNum w:abstractNumId="44">
    <w:nsid w:val="235BA861"/>
    <w:multiLevelType w:val="hybridMultilevel"/>
    <w:lvl w:ilvl="0">
      <w:lvlJc w:val="left"/>
      <w:lvlText w:val="%1"/>
      <w:numFmt w:val="decimal"/>
      <w:start w:val="32"/>
    </w:lvl>
  </w:abstractNum>
  <w:abstractNum w:abstractNumId="45">
    <w:nsid w:val="47398C89"/>
    <w:multiLevelType w:val="hybridMultilevel"/>
    <w:lvl w:ilvl="0">
      <w:lvlJc w:val="left"/>
      <w:lvlText w:val="%1"/>
      <w:numFmt w:val="decimal"/>
      <w:start w:val="10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bullet"/>
      <w:start w:val="1"/>
    </w:lvl>
  </w:abstractNum>
  <w:abstractNum w:abstractNumId="51">
    <w:nsid w:val="3F6AB60F"/>
    <w:multiLevelType w:val="hybridMultilevel"/>
    <w:lvl w:ilvl="0">
      <w:lvlJc w:val="left"/>
      <w:lvlText w:val="%1."/>
      <w:numFmt w:val="upperLetter"/>
      <w:start w:val="1"/>
    </w:lvl>
  </w:abstractNum>
  <w:abstractNum w:abstractNumId="52">
    <w:nsid w:val="61574095"/>
    <w:multiLevelType w:val="hybridMultilevel"/>
    <w:lvl w:ilvl="0">
      <w:lvlJc w:val="left"/>
      <w:lvlText w:val="%1."/>
      <w:numFmt w:val="decimal"/>
      <w:start w:val="1"/>
    </w:lvl>
    <w:lvl w:ilvl="1">
      <w:lvlJc w:val="left"/>
      <w:lvlText w:val="(%2)"/>
      <w:numFmt w:val="lowerLetter"/>
      <w:start w:val="1"/>
    </w:lvl>
  </w:abstractNum>
  <w:abstractNum w:abstractNumId="53">
    <w:nsid w:val="7E0C57B1"/>
    <w:multiLevelType w:val="hybridMultilevel"/>
    <w:lvl w:ilvl="0">
      <w:lvlJc w:val="left"/>
      <w:lvlText w:val="(%1)"/>
      <w:numFmt w:val="lowerLetter"/>
      <w:start w:val="2"/>
    </w:lvl>
  </w:abstractNum>
  <w:abstractNum w:abstractNumId="54">
    <w:nsid w:val="77AE35EB"/>
    <w:multiLevelType w:val="hybridMultilevel"/>
    <w:lvl w:ilvl="0">
      <w:lvlJc w:val="left"/>
      <w:lvlText w:val="%1."/>
      <w:numFmt w:val="decimal"/>
      <w:start w:val="2"/>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1."/>
      <w:numFmt w:val="decimal"/>
      <w:start w:val="3"/>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2"/>
    </w:lvl>
    <w:lvl w:ilvl="1">
      <w:lvlJc w:val="left"/>
      <w:lvlText w:val="%2"/>
      <w:numFmt w:val="lowerLetter"/>
      <w:start w:val="1"/>
    </w:lvl>
  </w:abstractNum>
  <w:abstractNum w:abstractNumId="60">
    <w:nsid w:val="1DBABF00"/>
    <w:multiLevelType w:val="hybridMultilevel"/>
    <w:lvl w:ilvl="0">
      <w:lvlJc w:val="left"/>
      <w:lvlText w:val="%1."/>
      <w:numFmt w:val="lowerLetter"/>
      <w:start w:val="2"/>
    </w:lvl>
  </w:abstractNum>
  <w:abstractNum w:abstractNumId="61">
    <w:nsid w:val="4AD084E9"/>
    <w:multiLevelType w:val="hybridMultilevel"/>
    <w:lvl w:ilvl="0">
      <w:lvlJc w:val="left"/>
      <w:lvlText w:val="%1"/>
      <w:numFmt w:val="decimal"/>
      <w:start w:val="1"/>
    </w:lvl>
    <w:lvl w:ilvl="1">
      <w:lvlJc w:val="left"/>
      <w:lvlText w:val="%2."/>
      <w:numFmt w:val="lowerLetter"/>
      <w:start w:val="3"/>
    </w:lvl>
  </w:abstractNum>
  <w:abstractNum w:abstractNumId="62">
    <w:nsid w:val="1F48EAA1"/>
    <w:multiLevelType w:val="hybridMultilevel"/>
    <w:lvl w:ilvl="0">
      <w:lvlJc w:val="left"/>
      <w:lvlText w:val="%1."/>
      <w:numFmt w:val="decimal"/>
      <w:start w:val="4"/>
    </w:lvl>
    <w:lvl w:ilvl="1">
      <w:lvlJc w:val="left"/>
      <w:lvlText w:val="%2."/>
      <w:numFmt w:val="lowerLetter"/>
      <w:start w:val="1"/>
    </w:lvl>
  </w:abstractNum>
  <w:abstractNum w:abstractNumId="63">
    <w:nsid w:val="1381823A"/>
    <w:multiLevelType w:val="hybridMultilevel"/>
    <w:lvl w:ilvl="0">
      <w:lvlJc w:val="left"/>
      <w:lvlText w:val="%1"/>
      <w:numFmt w:val="decimal"/>
      <w:start w:val="1"/>
    </w:lvl>
    <w:lvl w:ilvl="1">
      <w:lvlJc w:val="left"/>
      <w:lvlText w:val="%2."/>
      <w:numFmt w:val="lowerLetter"/>
      <w:start w:val="3"/>
    </w:lvl>
  </w:abstractNum>
  <w:abstractNum w:abstractNumId="64">
    <w:nsid w:val="5DB70AE5"/>
    <w:multiLevelType w:val="hybridMultilevel"/>
    <w:lvl w:ilvl="0">
      <w:lvlJc w:val="left"/>
      <w:lvlText w:val="%1."/>
      <w:numFmt w:val="decimal"/>
      <w:start w:val="5"/>
    </w:lvl>
    <w:lvl w:ilvl="1">
      <w:lvlJc w:val="left"/>
      <w:lvlText w:val="%2."/>
      <w:numFmt w:val="lowerLetter"/>
      <w:start w:val="1"/>
    </w:lvl>
  </w:abstractNum>
  <w:abstractNum w:abstractNumId="65">
    <w:nsid w:val="100F8FCA"/>
    <w:multiLevelType w:val="hybridMultilevel"/>
    <w:lvl w:ilvl="0">
      <w:lvlJc w:val="left"/>
      <w:lvlText w:val="%1."/>
      <w:numFmt w:val="decimal"/>
      <w:start w:val="7"/>
    </w:lvl>
  </w:abstractNum>
  <w:abstractNum w:abstractNumId="66">
    <w:nsid w:val="6590700B"/>
    <w:multiLevelType w:val="hybridMultilevel"/>
    <w:lvl w:ilvl="0">
      <w:lvlJc w:val="left"/>
      <w:lvlText w:val="%1."/>
      <w:numFmt w:val="decimal"/>
      <w:start w:val="15"/>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2019-12-10T06:27:14Z</dcterms:created>
  <dcterms:modified xsi:type="dcterms:W3CDTF">2019-12-10T06:27:14Z</dcterms:modified>
</cp:coreProperties>
</file>