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522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52221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85"/>
        <w:spacing w:after="0"/>
        <w:rPr>
          <w:sz w:val="20"/>
          <w:szCs w:val="20"/>
          <w:color w:val="auto"/>
        </w:rPr>
      </w:pPr>
      <w:r>
        <w:rPr>
          <w:rFonts w:ascii="Arial" w:cs="Arial" w:eastAsia="Arial" w:hAnsi="Arial"/>
          <w:sz w:val="17"/>
          <w:szCs w:val="17"/>
          <w:color w:val="0000FF"/>
        </w:rPr>
        <w:t>VP &amp; CFO</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62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the Renee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J. Peterson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Arial" w:cs="Arial" w:eastAsia="Arial" w:hAnsi="Arial"/>
                <w:sz w:val="17"/>
                <w:szCs w:val="17"/>
                <w:color w:val="0000FF"/>
              </w:rPr>
              <w:t>06/16/2021</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J</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0000FF"/>
              </w:rPr>
              <w:t>9,294</w:t>
            </w:r>
            <w:r>
              <w:rPr>
                <w:rFonts w:ascii="Arial" w:cs="Arial" w:eastAsia="Arial" w:hAnsi="Arial"/>
                <w:sz w:val="22"/>
                <w:szCs w:val="22"/>
                <w:color w:val="008000"/>
                <w:vertAlign w:val="superscript"/>
              </w:rPr>
              <w:t>(1)</w:t>
            </w:r>
          </w:p>
        </w:tc>
        <w:tc>
          <w:tcPr>
            <w:tcW w:w="42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18"/>
                <w:szCs w:val="18"/>
                <w:color w:val="auto"/>
              </w:rPr>
            </w:pPr>
          </w:p>
        </w:tc>
        <w:tc>
          <w:tcPr>
            <w:tcW w:w="700" w:type="dxa"/>
            <w:vAlign w:val="bottom"/>
            <w:gridSpan w:val="2"/>
          </w:tcPr>
          <w:p>
            <w:pPr>
              <w:jc w:val="center"/>
              <w:ind w:left="485"/>
              <w:spacing w:after="0"/>
              <w:rPr>
                <w:sz w:val="20"/>
                <w:szCs w:val="20"/>
                <w:color w:val="auto"/>
              </w:rPr>
            </w:pPr>
            <w:r>
              <w:rPr>
                <w:rFonts w:ascii="Arial" w:cs="Arial" w:eastAsia="Arial" w:hAnsi="Arial"/>
                <w:sz w:val="17"/>
                <w:szCs w:val="17"/>
                <w:color w:val="0000FF"/>
              </w:rPr>
              <w:t>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center"/>
              <w:ind w:right="308"/>
              <w:spacing w:after="0"/>
              <w:rPr>
                <w:sz w:val="20"/>
                <w:szCs w:val="20"/>
                <w:color w:val="auto"/>
              </w:rPr>
            </w:pPr>
            <w:r>
              <w:rPr>
                <w:rFonts w:ascii="Arial" w:cs="Arial" w:eastAsia="Arial" w:hAnsi="Arial"/>
                <w:sz w:val="17"/>
                <w:szCs w:val="17"/>
                <w:color w:val="0000FF"/>
                <w:w w:val="83"/>
              </w:rPr>
              <w:t>I</w:t>
            </w: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Trust #2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06/16/2021</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J</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9,294</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104.55</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34,105.344</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the Renee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J. Peterson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8"/>
              </w:rPr>
              <w:t>23,700</w:t>
            </w:r>
          </w:p>
        </w:tc>
        <w:tc>
          <w:tcPr>
            <w:tcW w:w="320" w:type="dxa"/>
            <w:vAlign w:val="bottom"/>
          </w:tcPr>
          <w:p>
            <w:pPr>
              <w:spacing w:after="0"/>
              <w:rPr>
                <w:sz w:val="18"/>
                <w:szCs w:val="18"/>
                <w:color w:val="auto"/>
              </w:rPr>
            </w:pPr>
          </w:p>
        </w:tc>
        <w:tc>
          <w:tcPr>
            <w:tcW w:w="500" w:type="dxa"/>
            <w:vAlign w:val="bottom"/>
          </w:tcPr>
          <w:p>
            <w:pPr>
              <w:jc w:val="center"/>
              <w:ind w:right="308"/>
              <w:spacing w:after="0"/>
              <w:rPr>
                <w:sz w:val="20"/>
                <w:szCs w:val="20"/>
                <w:color w:val="auto"/>
              </w:rPr>
            </w:pPr>
            <w:r>
              <w:rPr>
                <w:rFonts w:ascii="Arial" w:cs="Arial" w:eastAsia="Arial" w:hAnsi="Arial"/>
                <w:sz w:val="17"/>
                <w:szCs w:val="17"/>
                <w:color w:val="0000FF"/>
                <w:w w:val="83"/>
              </w:rPr>
              <w:t>I</w:t>
            </w: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Trust #3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729.262</w:t>
            </w:r>
            <w:r>
              <w:rPr>
                <w:rFonts w:ascii="Arial" w:cs="Arial" w:eastAsia="Arial" w:hAnsi="Arial"/>
                <w:sz w:val="22"/>
                <w:szCs w:val="22"/>
                <w:color w:val="008000"/>
                <w:w w:val="88"/>
                <w:vertAlign w:val="superscript"/>
              </w:rPr>
              <w:t>(2)</w:t>
            </w:r>
          </w:p>
        </w:tc>
        <w:tc>
          <w:tcPr>
            <w:tcW w:w="320" w:type="dxa"/>
            <w:vAlign w:val="bottom"/>
          </w:tcPr>
          <w:p>
            <w:pPr>
              <w:spacing w:after="0"/>
              <w:rPr>
                <w:sz w:val="18"/>
                <w:szCs w:val="18"/>
                <w:color w:val="auto"/>
              </w:rPr>
            </w:pPr>
          </w:p>
        </w:tc>
        <w:tc>
          <w:tcPr>
            <w:tcW w:w="500" w:type="dxa"/>
            <w:vAlign w:val="bottom"/>
            <w:vMerge w:val="restart"/>
          </w:tcPr>
          <w:p>
            <w:pPr>
              <w:jc w:val="center"/>
              <w:ind w:right="308"/>
              <w:spacing w:after="0"/>
              <w:rPr>
                <w:sz w:val="20"/>
                <w:szCs w:val="20"/>
                <w:color w:val="auto"/>
              </w:rPr>
            </w:pPr>
            <w:r>
              <w:rPr>
                <w:rFonts w:ascii="Arial" w:cs="Arial" w:eastAsia="Arial" w:hAnsi="Arial"/>
                <w:sz w:val="17"/>
                <w:szCs w:val="17"/>
                <w:color w:val="0000FF"/>
                <w:w w:val="83"/>
              </w:rPr>
              <w:t>I</w:t>
            </w: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85,408.541</w:t>
            </w:r>
            <w:r>
              <w:rPr>
                <w:rFonts w:ascii="Arial" w:cs="Arial" w:eastAsia="Arial" w:hAnsi="Arial"/>
                <w:sz w:val="22"/>
                <w:szCs w:val="22"/>
                <w:color w:val="008000"/>
                <w:w w:val="87"/>
                <w:vertAlign w:val="superscript"/>
              </w:rPr>
              <w:t>(3)</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16, 2021, the reporting person withdrew 9,294 shares of TTC common stock from the Renee J. Peterson Grantor Retained Annuity Trust #2 (GRAT #2) . In exchange for the shares, the reporting person contributed to GRAT #2 a cash payment of $104.55 per share. The withdrawal of shares from GRAT #2 resulted in a decrease in the number of shares the reporting person beneficially owns indirectly through GRAT #2 and a corresponding increase in the number of shares the reporting person beneficially owns directly. The withdrawal of shares from GRAT #2 constitutes a change in form of beneficial ownership of the shares, exempted by Rule 16a-13 under the Securities Exchange Act of 1934.</w:t>
      </w:r>
    </w:p>
    <w:p>
      <w:pPr>
        <w:spacing w:after="0" w:line="29" w:lineRule="exact"/>
        <w:rPr>
          <w:rFonts w:ascii="Arial" w:cs="Arial" w:eastAsia="Arial" w:hAnsi="Arial"/>
          <w:sz w:val="13"/>
          <w:szCs w:val="13"/>
          <w:color w:val="008000"/>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3.545 net shares of common stock acquired by the reporting person since the date of her last report under the dividend reinvestment feature of The Toro Company Retirement Plan, less quarterly non-discretionary administrative fees.</w:t>
      </w:r>
    </w:p>
    <w:p>
      <w:pPr>
        <w:spacing w:after="0" w:line="15"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418.937 performance share units acquired by the reporting person since the date of her last report under the dividend reinvestment feature of The Toro Company Deferred Compensation Plan for Officers.</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06/21/2021</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2021-06-21T16:20:38Z</dcterms:created>
  <dcterms:modified xsi:type="dcterms:W3CDTF">2021-06-21T16:20:38Z</dcterms:modified>
</cp:coreProperties>
</file>