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0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08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VP, Operations &amp; Quality Mgmt.</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73"/>
              <w:spacing w:after="0"/>
              <w:rPr>
                <w:sz w:val="20"/>
                <w:szCs w:val="20"/>
                <w:color w:val="auto"/>
              </w:rPr>
            </w:pPr>
            <w:r>
              <w:rPr>
                <w:rFonts w:ascii="Arial" w:cs="Arial" w:eastAsia="Arial" w:hAnsi="Arial"/>
                <w:sz w:val="18"/>
                <w:szCs w:val="18"/>
                <w:color w:val="0000FF"/>
                <w:w w:val="99"/>
              </w:rPr>
              <w:t>4,885.372</w:t>
            </w:r>
            <w:r>
              <w:rPr>
                <w:rFonts w:ascii="Arial" w:cs="Arial" w:eastAsia="Arial" w:hAnsi="Arial"/>
                <w:sz w:val="22"/>
                <w:szCs w:val="22"/>
                <w:color w:val="008000"/>
                <w:w w:val="99"/>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273"/>
              <w:spacing w:after="0" w:line="217" w:lineRule="exact"/>
              <w:rPr>
                <w:sz w:val="20"/>
                <w:szCs w:val="20"/>
                <w:color w:val="auto"/>
              </w:rPr>
            </w:pPr>
            <w:r>
              <w:rPr>
                <w:rFonts w:ascii="Arial" w:cs="Arial" w:eastAsia="Arial" w:hAnsi="Arial"/>
                <w:sz w:val="18"/>
                <w:szCs w:val="18"/>
                <w:color w:val="0000FF"/>
              </w:rPr>
              <w:t>1.01</w:t>
            </w:r>
            <w:r>
              <w:rPr>
                <w:rFonts w:ascii="Arial" w:cs="Arial" w:eastAsia="Arial" w:hAnsi="Arial"/>
                <w:sz w:val="22"/>
                <w:szCs w:val="22"/>
                <w:color w:val="008000"/>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7,800</w:t>
            </w: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12/07/2021</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7,800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7,800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4,752 shares of restricted stock awarded to the reporting person as an inducement grant under the terms of her employment and exempted from a shareholder approved plan as provided for under NYSE Rule 303A.0, and 65.094 shares acquired under The Toro Company Dividend Reinvestment Plan (the "DRIP") from dividends paid on the restricted stock since the date of her last report. The restricted stock and related DRIP shares vest in full on the third anniversary of the date of grant, which was October 19, 2009.</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1 share acquired through a customary issuer contribution to The Toro Company Investment, Savings &amp; ESOP (IS&amp;ESOP) following an employee's first anniversary of employment; and 0.010 shares acquired under the dividend reinvestment feature of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Judy L. Altmaier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Judy L. Altmaier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05/02/2011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2019-12-17T01:18:48Z</dcterms:created>
  <dcterms:modified xsi:type="dcterms:W3CDTF">2019-12-17T01:18:48Z</dcterms:modified>
</cp:coreProperties>
</file>