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3"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80"/>
        <w:spacing w:after="0"/>
        <w:rPr>
          <w:sz w:val="20"/>
          <w:szCs w:val="20"/>
          <w:color w:val="auto"/>
        </w:rPr>
      </w:pPr>
      <w:r>
        <w:rPr>
          <w:rFonts w:ascii="Arial" w:cs="Arial" w:eastAsia="Arial" w:hAnsi="Arial"/>
          <w:sz w:val="32"/>
          <w:szCs w:val="32"/>
          <w:b w:val="1"/>
          <w:bCs w:val="1"/>
          <w:color w:val="auto"/>
        </w:rPr>
        <w:t>FORM 11-K</w:t>
      </w:r>
    </w:p>
    <w:p>
      <w:pPr>
        <w:spacing w:after="0" w:line="263"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ind w:left="2800" w:right="220" w:hanging="2538"/>
        <w:spacing w:after="0" w:line="564" w:lineRule="auto"/>
        <w:tabs>
          <w:tab w:leader="none" w:pos="76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15(d) OF THE SECURITIES EXCHANGE ACT OF 1934 For the fiscal year ended </w:t>
      </w:r>
      <w:r>
        <w:rPr>
          <w:rFonts w:ascii="Arial" w:cs="Arial" w:eastAsia="Arial" w:hAnsi="Arial"/>
          <w:sz w:val="18"/>
          <w:szCs w:val="18"/>
          <w:b w:val="1"/>
          <w:bCs w:val="1"/>
          <w:u w:val="single" w:color="auto"/>
          <w:color w:val="auto"/>
        </w:rPr>
        <w:t>December 31, 2007</w:t>
      </w:r>
      <w:r>
        <w:rPr>
          <w:rFonts w:ascii="Arial" w:cs="Arial" w:eastAsia="Arial" w:hAnsi="Arial"/>
          <w:sz w:val="18"/>
          <w:szCs w:val="18"/>
          <w:b w:val="1"/>
          <w:bCs w:val="1"/>
          <w:color w:val="auto"/>
        </w:rPr>
        <w:t>.</w:t>
      </w:r>
    </w:p>
    <w:p>
      <w:pPr>
        <w:spacing w:after="0" w:line="200" w:lineRule="exact"/>
        <w:rPr>
          <w:sz w:val="24"/>
          <w:szCs w:val="24"/>
          <w:color w:val="auto"/>
        </w:rPr>
      </w:pPr>
    </w:p>
    <w:p>
      <w:pPr>
        <w:spacing w:after="0" w:line="205" w:lineRule="exact"/>
        <w:rPr>
          <w:sz w:val="24"/>
          <w:szCs w:val="24"/>
          <w:color w:val="auto"/>
        </w:rPr>
      </w:pPr>
    </w:p>
    <w:p>
      <w:pPr>
        <w:ind w:left="600" w:hanging="543"/>
        <w:spacing w:after="0"/>
        <w:tabs>
          <w:tab w:leader="none" w:pos="6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15(d) OF THE SECURITIES EXCHANGE ACT OF 1934</w:t>
      </w:r>
    </w:p>
    <w:p>
      <w:pPr>
        <w:spacing w:after="0" w:line="264" w:lineRule="exact"/>
        <w:rPr>
          <w:sz w:val="24"/>
          <w:szCs w:val="24"/>
          <w:color w:val="auto"/>
        </w:rPr>
      </w:pPr>
    </w:p>
    <w:tbl>
      <w:tblPr>
        <w:tblLayout w:type="fixed"/>
        <w:tblInd w:w="226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1020" w:type="dxa"/>
            <w:vAlign w:val="bottom"/>
            <w:gridSpan w:val="2"/>
          </w:tcPr>
          <w:p>
            <w:pPr>
              <w:ind w:left="400"/>
              <w:spacing w:after="0"/>
              <w:rPr>
                <w:sz w:val="20"/>
                <w:szCs w:val="20"/>
                <w:color w:val="auto"/>
              </w:rPr>
            </w:pPr>
            <w:r>
              <w:rPr>
                <w:rFonts w:ascii="Arial" w:cs="Arial" w:eastAsia="Arial" w:hAnsi="Arial"/>
                <w:sz w:val="18"/>
                <w:szCs w:val="18"/>
                <w:b w:val="1"/>
                <w:bCs w:val="1"/>
                <w:color w:val="auto"/>
              </w:rPr>
              <w:t>to</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19"/>
        </w:trPr>
        <w:tc>
          <w:tcPr>
            <w:tcW w:w="3980" w:type="dxa"/>
            <w:vAlign w:val="bottom"/>
            <w:gridSpan w:val="3"/>
          </w:tcPr>
          <w:p>
            <w:pPr>
              <w:ind w:left="980"/>
              <w:spacing w:after="0"/>
              <w:rPr>
                <w:sz w:val="20"/>
                <w:szCs w:val="20"/>
                <w:color w:val="auto"/>
              </w:rPr>
            </w:pPr>
            <w:r>
              <w:rPr>
                <w:rFonts w:ascii="Arial" w:cs="Arial" w:eastAsia="Arial" w:hAnsi="Arial"/>
                <w:sz w:val="18"/>
                <w:szCs w:val="18"/>
                <w:b w:val="1"/>
                <w:bCs w:val="1"/>
                <w:color w:val="auto"/>
              </w:rPr>
              <w:t>Commission file number 1-8649.</w:t>
            </w:r>
          </w:p>
        </w:tc>
        <w:tc>
          <w:tcPr>
            <w:tcW w:w="520" w:type="dxa"/>
            <w:vAlign w:val="bottom"/>
          </w:tcPr>
          <w:p>
            <w:pPr>
              <w:spacing w:after="0"/>
              <w:rPr>
                <w:sz w:val="24"/>
                <w:szCs w:val="24"/>
                <w:color w:val="auto"/>
              </w:rPr>
            </w:pPr>
          </w:p>
        </w:tc>
      </w:tr>
      <w:tr>
        <w:trPr>
          <w:trHeight w:val="20"/>
        </w:trPr>
        <w:tc>
          <w:tcPr>
            <w:tcW w:w="29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56" w:lineRule="exact"/>
        <w:rPr>
          <w:sz w:val="24"/>
          <w:szCs w:val="24"/>
          <w:color w:val="auto"/>
        </w:rPr>
      </w:pPr>
    </w:p>
    <w:p>
      <w:pPr>
        <w:ind w:left="1520" w:hanging="328"/>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address of the plan if different from that of the issuer named below:</w:t>
      </w:r>
    </w:p>
    <w:p>
      <w:pPr>
        <w:spacing w:after="0" w:line="248"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b w:val="1"/>
          <w:bCs w:val="1"/>
          <w:color w:val="auto"/>
        </w:rPr>
        <w:t>The Toro Company Investment, Savings, and Employee Stock Ownership Plan</w:t>
      </w:r>
    </w:p>
    <w:p>
      <w:pPr>
        <w:spacing w:after="0" w:line="252"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Minneapolis, MN 55420</w:t>
      </w:r>
    </w:p>
    <w:p>
      <w:pPr>
        <w:spacing w:after="0" w:line="9"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Attn: Director, Tax Accounting</w:t>
      </w:r>
    </w:p>
    <w:p>
      <w:pPr>
        <w:spacing w:after="0" w:line="238" w:lineRule="exact"/>
        <w:rPr>
          <w:sz w:val="24"/>
          <w:szCs w:val="24"/>
          <w:color w:val="auto"/>
        </w:rPr>
      </w:pPr>
    </w:p>
    <w:p>
      <w:pPr>
        <w:jc w:val="center"/>
        <w:ind w:right="-119"/>
        <w:spacing w:after="0"/>
        <w:tabs>
          <w:tab w:leader="none" w:pos="1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248"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Minneapolis,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723900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20"/>
          </w:cols>
          <w:pgMar w:left="1440" w:top="1044" w:right="1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800" w:type="dxa"/>
            <w:vAlign w:val="bottom"/>
            <w:gridSpan w:val="4"/>
          </w:tcPr>
          <w:p>
            <w:pPr>
              <w:jc w:val="center"/>
              <w:ind w:right="1240"/>
              <w:spacing w:after="0"/>
              <w:rPr>
                <w:sz w:val="20"/>
                <w:szCs w:val="20"/>
                <w:color w:val="auto"/>
              </w:rPr>
            </w:pPr>
            <w:r>
              <w:rPr>
                <w:rFonts w:ascii="Arial" w:cs="Arial" w:eastAsia="Arial" w:hAnsi="Arial"/>
                <w:sz w:val="18"/>
                <w:szCs w:val="18"/>
                <w:b w:val="1"/>
                <w:bCs w:val="1"/>
                <w:color w:val="auto"/>
              </w:rPr>
              <w:t>THE TORO COMPANY INVESTMENT, SAVINGS,</w:t>
            </w: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0" w:type="dxa"/>
            <w:vAlign w:val="bottom"/>
            <w:gridSpan w:val="4"/>
          </w:tcPr>
          <w:p>
            <w:pPr>
              <w:jc w:val="center"/>
              <w:ind w:right="1240"/>
              <w:spacing w:after="0"/>
              <w:rPr>
                <w:sz w:val="20"/>
                <w:szCs w:val="20"/>
                <w:color w:val="auto"/>
              </w:rPr>
            </w:pPr>
            <w:r>
              <w:rPr>
                <w:rFonts w:ascii="Arial" w:cs="Arial" w:eastAsia="Arial" w:hAnsi="Arial"/>
                <w:sz w:val="18"/>
                <w:szCs w:val="18"/>
                <w:b w:val="1"/>
                <w:bCs w:val="1"/>
                <w:color w:val="auto"/>
              </w:rPr>
              <w:t>AND EMPLOYEE STOCK OWNERSHIP PLAN</w:t>
            </w: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40" w:type="dxa"/>
            <w:vAlign w:val="bottom"/>
            <w:gridSpan w:val="2"/>
          </w:tcPr>
          <w:p>
            <w:pPr>
              <w:jc w:val="center"/>
              <w:ind w:right="2100"/>
              <w:spacing w:after="0"/>
              <w:rPr>
                <w:sz w:val="20"/>
                <w:szCs w:val="20"/>
                <w:color w:val="auto"/>
              </w:rPr>
            </w:pPr>
            <w:r>
              <w:rPr>
                <w:rFonts w:ascii="Arial" w:cs="Arial" w:eastAsia="Arial" w:hAnsi="Arial"/>
                <w:sz w:val="18"/>
                <w:szCs w:val="18"/>
                <w:b w:val="1"/>
                <w:bCs w:val="1"/>
                <w:color w:val="auto"/>
                <w:w w:val="89"/>
              </w:rPr>
              <w:t>Table of Contents</w:t>
            </w: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180" w:type="dxa"/>
            <w:vAlign w:val="bottom"/>
            <w:gridSpan w:val="5"/>
          </w:tcPr>
          <w:p>
            <w:pPr>
              <w:ind w:left="15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220" w:type="dxa"/>
            <w:vAlign w:val="bottom"/>
            <w:gridSpan w:val="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1780" w:type="dxa"/>
            <w:vAlign w:val="bottom"/>
            <w:gridSpan w:val="4"/>
            <w:shd w:val="clear" w:color="auto" w:fill="CCEEFF"/>
          </w:tcPr>
          <w:p>
            <w:pPr>
              <w:jc w:val="center"/>
              <w:ind w:left="1490"/>
              <w:spacing w:after="0" w:line="17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00" w:type="dxa"/>
            <w:vAlign w:val="bottom"/>
            <w:gridSpan w:val="3"/>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w:t>
              </w:r>
            </w:hyperlink>
          </w:p>
        </w:tc>
        <w:tc>
          <w:tcPr>
            <w:tcW w:w="5020" w:type="dxa"/>
            <w:vAlign w:val="bottom"/>
            <w:gridSpan w:val="3"/>
          </w:tcPr>
          <w:p>
            <w:pPr>
              <w:spacing w:after="0"/>
              <w:rPr>
                <w:sz w:val="15"/>
                <w:szCs w:val="15"/>
                <w:color w:val="auto"/>
              </w:rPr>
            </w:pPr>
          </w:p>
        </w:tc>
        <w:tc>
          <w:tcPr>
            <w:tcW w:w="1780" w:type="dxa"/>
            <w:vAlign w:val="bottom"/>
            <w:gridSpan w:val="4"/>
          </w:tcPr>
          <w:p>
            <w:pPr>
              <w:jc w:val="center"/>
              <w:ind w:left="1490"/>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80" w:type="dxa"/>
            <w:vAlign w:val="bottom"/>
            <w:gridSpan w:val="4"/>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Statements of Changes in Net Assets Available for Benefits</w:t>
              </w:r>
            </w:hyperlink>
          </w:p>
        </w:tc>
        <w:tc>
          <w:tcPr>
            <w:tcW w:w="4940" w:type="dxa"/>
            <w:vAlign w:val="bottom"/>
            <w:gridSpan w:val="2"/>
            <w:shd w:val="clear" w:color="auto" w:fill="CCEEFF"/>
          </w:tcPr>
          <w:p>
            <w:pPr>
              <w:spacing w:after="0"/>
              <w:rPr>
                <w:sz w:val="15"/>
                <w:szCs w:val="15"/>
                <w:color w:val="auto"/>
              </w:rPr>
            </w:pPr>
          </w:p>
        </w:tc>
        <w:tc>
          <w:tcPr>
            <w:tcW w:w="1780" w:type="dxa"/>
            <w:vAlign w:val="bottom"/>
            <w:gridSpan w:val="4"/>
            <w:shd w:val="clear" w:color="auto" w:fill="CCEEFF"/>
          </w:tcPr>
          <w:p>
            <w:pPr>
              <w:jc w:val="center"/>
              <w:ind w:left="1490"/>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80" w:type="dxa"/>
            <w:vAlign w:val="bottom"/>
            <w:gridSpan w:val="4"/>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4940" w:type="dxa"/>
            <w:vAlign w:val="bottom"/>
            <w:gridSpan w:val="2"/>
          </w:tcPr>
          <w:p>
            <w:pPr>
              <w:spacing w:after="0"/>
              <w:rPr>
                <w:sz w:val="15"/>
                <w:szCs w:val="15"/>
                <w:color w:val="auto"/>
              </w:rPr>
            </w:pPr>
          </w:p>
        </w:tc>
        <w:tc>
          <w:tcPr>
            <w:tcW w:w="1780" w:type="dxa"/>
            <w:vAlign w:val="bottom"/>
            <w:gridSpan w:val="4"/>
          </w:tcPr>
          <w:p>
            <w:pPr>
              <w:jc w:val="center"/>
              <w:ind w:left="1490"/>
              <w:spacing w:after="0" w:line="17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20" w:type="dxa"/>
            <w:vAlign w:val="bottom"/>
            <w:gridSpan w:val="6"/>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Schedule H, line 4i - Schedule of Assets (Held at End of Year) as of December 31, 2007</w:t>
              </w:r>
            </w:hyperlink>
          </w:p>
        </w:tc>
        <w:tc>
          <w:tcPr>
            <w:tcW w:w="2180" w:type="dxa"/>
            <w:vAlign w:val="bottom"/>
            <w:gridSpan w:val="5"/>
            <w:shd w:val="clear" w:color="auto" w:fill="CCEEFF"/>
          </w:tcPr>
          <w:p>
            <w:pPr>
              <w:jc w:val="center"/>
              <w:ind w:left="1110"/>
              <w:spacing w:after="0" w:line="17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12</w:t>
              </w:r>
            </w:hyperlink>
          </w:p>
        </w:tc>
        <w:tc>
          <w:tcPr>
            <w:tcW w:w="0" w:type="dxa"/>
            <w:vAlign w:val="bottom"/>
          </w:tcPr>
          <w:p>
            <w:pPr>
              <w:spacing w:after="0"/>
              <w:rPr>
                <w:sz w:val="1"/>
                <w:szCs w:val="1"/>
                <w:color w:val="auto"/>
              </w:rPr>
            </w:pPr>
          </w:p>
        </w:tc>
      </w:tr>
      <w:tr>
        <w:trPr>
          <w:trHeight w:val="1820"/>
        </w:trPr>
        <w:tc>
          <w:tcPr>
            <w:tcW w:w="20" w:type="dxa"/>
            <w:vAlign w:val="bottom"/>
          </w:tcPr>
          <w:p>
            <w:pPr>
              <w:spacing w:after="0"/>
              <w:rPr>
                <w:sz w:val="24"/>
                <w:szCs w:val="24"/>
                <w:color w:val="auto"/>
              </w:rPr>
            </w:pPr>
          </w:p>
        </w:tc>
        <w:tc>
          <w:tcPr>
            <w:tcW w:w="2140" w:type="dxa"/>
            <w:vAlign w:val="bottom"/>
            <w:tcBorders>
              <w:top w:val="single" w:sz="8" w:color="0000EE"/>
              <w:bottom w:val="single" w:sz="8" w:color="808080"/>
            </w:tcBorders>
          </w:tcPr>
          <w:p>
            <w:pPr>
              <w:spacing w:after="0"/>
              <w:rPr>
                <w:sz w:val="24"/>
                <w:szCs w:val="24"/>
                <w:color w:val="auto"/>
              </w:rPr>
            </w:pPr>
          </w:p>
        </w:tc>
        <w:tc>
          <w:tcPr>
            <w:tcW w:w="1280" w:type="dxa"/>
            <w:vAlign w:val="bottom"/>
            <w:tcBorders>
              <w:top w:val="single" w:sz="8" w:color="0000EE"/>
              <w:bottom w:val="single" w:sz="8" w:color="808080"/>
            </w:tcBorders>
          </w:tcPr>
          <w:p>
            <w:pPr>
              <w:spacing w:after="0"/>
              <w:rPr>
                <w:sz w:val="24"/>
                <w:szCs w:val="24"/>
                <w:color w:val="auto"/>
              </w:rPr>
            </w:pPr>
          </w:p>
        </w:tc>
        <w:tc>
          <w:tcPr>
            <w:tcW w:w="78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2060" w:type="dxa"/>
            <w:vAlign w:val="bottom"/>
            <w:tcBorders>
              <w:top w:val="single" w:sz="8" w:color="0000EE"/>
              <w:bottom w:val="single" w:sz="8" w:color="808080"/>
            </w:tcBorders>
          </w:tcPr>
          <w:p>
            <w:pPr>
              <w:spacing w:after="0"/>
              <w:rPr>
                <w:sz w:val="24"/>
                <w:szCs w:val="24"/>
                <w:color w:val="auto"/>
              </w:rPr>
            </w:pPr>
          </w:p>
        </w:tc>
        <w:tc>
          <w:tcPr>
            <w:tcW w:w="2880" w:type="dxa"/>
            <w:vAlign w:val="bottom"/>
            <w:tcBorders>
              <w:top w:val="single" w:sz="8" w:color="CCEEFF"/>
              <w:bottom w:val="single" w:sz="8" w:color="808080"/>
            </w:tcBorders>
          </w:tcPr>
          <w:p>
            <w:pPr>
              <w:spacing w:after="0"/>
              <w:rPr>
                <w:sz w:val="24"/>
                <w:szCs w:val="24"/>
                <w:color w:val="auto"/>
              </w:rPr>
            </w:pPr>
          </w:p>
        </w:tc>
        <w:tc>
          <w:tcPr>
            <w:tcW w:w="1600" w:type="dxa"/>
            <w:vAlign w:val="bottom"/>
            <w:tcBorders>
              <w:top w:val="single" w:sz="8" w:color="CCEEFF"/>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4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Investment, Savings,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Employee Stock Ownership Plan:</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Toro Company Investment, Savings, and Employee Stock Ownership Plan (the Plan) as of December 31, 2007 and 2006,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2007 and 2006, and the changes in net assets available for benefits for the years then ended, in conformity with U.S. generally accepted accounting principles.</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audits were performed for the purpose of forming an opinion on the basic financial statements taken as a whole. The supplemental schedule of assets (held at end of the year) as of December 31, 2007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June 27,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579120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580" w:top="945" w:right="7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2007 and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6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Borders>
              <w:top w:val="single" w:sz="8" w:color="CCEEFF"/>
            </w:tcBorders>
          </w:tcPr>
          <w:p>
            <w:pPr>
              <w:ind w:left="220"/>
              <w:spacing w:after="0"/>
              <w:rPr>
                <w:sz w:val="20"/>
                <w:szCs w:val="20"/>
                <w:color w:val="auto"/>
              </w:rPr>
            </w:pPr>
            <w:r>
              <w:rPr>
                <w:rFonts w:ascii="Arial" w:cs="Arial" w:eastAsia="Arial" w:hAnsi="Arial"/>
                <w:sz w:val="18"/>
                <w:szCs w:val="18"/>
                <w:color w:val="auto"/>
              </w:rPr>
              <w:t>Investments at fair value:</w:t>
            </w:r>
          </w:p>
        </w:tc>
        <w:tc>
          <w:tcPr>
            <w:tcW w:w="24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 the Toro Company Master Trust fund</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639,702,693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593,416,000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900"/>
              <w:spacing w:after="0"/>
              <w:rPr>
                <w:sz w:val="20"/>
                <w:szCs w:val="20"/>
                <w:color w:val="auto"/>
              </w:rPr>
            </w:pPr>
            <w:r>
              <w:rPr>
                <w:rFonts w:ascii="Arial" w:cs="Arial" w:eastAsia="Arial" w:hAnsi="Arial"/>
                <w:sz w:val="18"/>
                <w:szCs w:val="18"/>
                <w:color w:val="auto"/>
              </w:rPr>
              <w:t>Loans</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1,677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23,871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investments</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639,704,370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593,439,871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Employee contribution receivable</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48,590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Employer contribution receivable</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12,614,806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12,107,989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assets available for benefits at fair value</w:t>
            </w:r>
          </w:p>
        </w:tc>
        <w:tc>
          <w:tcPr>
            <w:tcW w:w="2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652,367,766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605,725,497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Adjustment from fair value to contract value for</w:t>
            </w:r>
          </w:p>
        </w:tc>
        <w:tc>
          <w:tcPr>
            <w:tcW w:w="24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fully benefit-responsive investment contracts</w:t>
            </w:r>
          </w:p>
        </w:tc>
        <w:tc>
          <w:tcPr>
            <w:tcW w:w="24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251,174</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1,153,751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900"/>
              <w:spacing w:after="0"/>
              <w:rPr>
                <w:sz w:val="20"/>
                <w:szCs w:val="20"/>
                <w:color w:val="auto"/>
              </w:rPr>
            </w:pPr>
            <w:r>
              <w:rPr>
                <w:rFonts w:ascii="Arial" w:cs="Arial" w:eastAsia="Arial" w:hAnsi="Arial"/>
                <w:sz w:val="18"/>
                <w:szCs w:val="18"/>
                <w:color w:val="auto"/>
              </w:rPr>
              <w:t>Net assets available for benefits</w:t>
            </w:r>
          </w:p>
        </w:tc>
        <w:tc>
          <w:tcPr>
            <w:tcW w:w="2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652,618,940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606,879,248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2007 and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Additions to Net Assets:</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 income:</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20"/>
              <w:spacing w:after="0"/>
              <w:rPr>
                <w:sz w:val="20"/>
                <w:szCs w:val="20"/>
                <w:color w:val="auto"/>
              </w:rPr>
            </w:pPr>
            <w:r>
              <w:rPr>
                <w:rFonts w:ascii="Arial" w:cs="Arial" w:eastAsia="Arial" w:hAnsi="Arial"/>
                <w:sz w:val="18"/>
                <w:szCs w:val="18"/>
                <w:color w:val="auto"/>
              </w:rPr>
              <w:t>Participant loan interest</w:t>
            </w:r>
          </w:p>
        </w:tc>
        <w:tc>
          <w:tcPr>
            <w:tcW w:w="2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2,488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 interest in net investment income of the Toro</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Company Master Trust fund</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64,666,354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58,538,550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investment income</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64,668,842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58,539,030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Employer contributions</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16,720,304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15,084,808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00"/>
              <w:spacing w:after="0"/>
              <w:rPr>
                <w:sz w:val="20"/>
                <w:szCs w:val="20"/>
                <w:color w:val="auto"/>
              </w:rPr>
            </w:pPr>
            <w:r>
              <w:rPr>
                <w:rFonts w:ascii="Arial" w:cs="Arial" w:eastAsia="Arial" w:hAnsi="Arial"/>
                <w:sz w:val="18"/>
                <w:szCs w:val="18"/>
                <w:color w:val="auto"/>
              </w:rPr>
              <w:t>Participant contributions</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13,156,808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12,500,531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Rollover contributions</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690,595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525,472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680"/>
              <w:spacing w:after="0"/>
              <w:rPr>
                <w:sz w:val="20"/>
                <w:szCs w:val="20"/>
                <w:color w:val="auto"/>
              </w:rPr>
            </w:pPr>
            <w:r>
              <w:rPr>
                <w:rFonts w:ascii="Arial" w:cs="Arial" w:eastAsia="Arial" w:hAnsi="Arial"/>
                <w:sz w:val="18"/>
                <w:szCs w:val="18"/>
                <w:color w:val="auto"/>
              </w:rPr>
              <w:t>Total contributions</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30,567,707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28,110,811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900"/>
              <w:spacing w:after="0"/>
              <w:rPr>
                <w:sz w:val="20"/>
                <w:szCs w:val="20"/>
                <w:color w:val="auto"/>
              </w:rPr>
            </w:pPr>
            <w:r>
              <w:rPr>
                <w:rFonts w:ascii="Arial" w:cs="Arial" w:eastAsia="Arial" w:hAnsi="Arial"/>
                <w:sz w:val="18"/>
                <w:szCs w:val="18"/>
                <w:color w:val="auto"/>
              </w:rPr>
              <w:t>Total additions to net assets</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95,236,549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86,649,841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Deductions from Net Assets:</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Benefit payments</w:t>
            </w:r>
          </w:p>
        </w:tc>
        <w:tc>
          <w:tcPr>
            <w:tcW w:w="2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(49,496,857)</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(36,341,624)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Net increase in net assets available for benefits</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45,739,692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50,308,217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220"/>
              <w:spacing w:after="0"/>
              <w:rPr>
                <w:sz w:val="20"/>
                <w:szCs w:val="20"/>
                <w:color w:val="auto"/>
              </w:rPr>
            </w:pPr>
            <w:r>
              <w:rPr>
                <w:rFonts w:ascii="Arial" w:cs="Arial" w:eastAsia="Arial" w:hAnsi="Arial"/>
                <w:sz w:val="18"/>
                <w:szCs w:val="18"/>
                <w:color w:val="auto"/>
              </w:rPr>
              <w:t>Beginning of year</w:t>
            </w:r>
          </w:p>
        </w:tc>
        <w:tc>
          <w:tcPr>
            <w:tcW w:w="2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606,879,248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556,571,031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20"/>
              <w:spacing w:after="0"/>
              <w:rPr>
                <w:sz w:val="20"/>
                <w:szCs w:val="20"/>
                <w:color w:val="auto"/>
              </w:rPr>
            </w:pPr>
            <w:r>
              <w:rPr>
                <w:rFonts w:ascii="Arial" w:cs="Arial" w:eastAsia="Arial" w:hAnsi="Arial"/>
                <w:sz w:val="18"/>
                <w:szCs w:val="18"/>
                <w:color w:val="auto"/>
              </w:rPr>
              <w:t>End of year</w:t>
            </w:r>
          </w:p>
        </w:tc>
        <w:tc>
          <w:tcPr>
            <w:tcW w:w="2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652,618,940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606,879,248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2007 and 2006</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Description of Plan</w:t>
      </w:r>
    </w:p>
    <w:p>
      <w:pPr>
        <w:spacing w:after="0" w:line="256" w:lineRule="exact"/>
        <w:rPr>
          <w:rFonts w:ascii="Arial" w:cs="Arial" w:eastAsia="Arial" w:hAnsi="Arial"/>
          <w:sz w:val="18"/>
          <w:szCs w:val="18"/>
          <w:b w:val="1"/>
          <w:bCs w:val="1"/>
          <w:color w:val="auto"/>
        </w:rPr>
      </w:pPr>
    </w:p>
    <w:p>
      <w:pPr>
        <w:jc w:val="both"/>
        <w:ind w:left="6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following description of The Toro Company Investment, Savings, and Employee Stock Ownership Plan (the Plan) is provided for general information purposes only. Participants should refer to the Plan document restated as of January 1, 2006 for more complete information. The Plan is subject to the provisions of the Employee Retirement Income Security Act of 1974 (ERISA). Effective January 1, 2002, The Toro Company Employee Stock Ownership Plan was merged into The Toro Company Investment and Savings Plan to become The Toro Company Investment, Savings, and Employee Stock Ownership Plan. However, there continues to be an Employee Stock Ownership (ESOP) portion and a profit sharing portion of the Plan. Effective September 2, 2003, the Exmark Manufacturing Company, Inc. 401(k) Profit Sharing Plan was merged into the Plan. The Exmark Manufacturing Company, Inc. 401(k) Profit Sharing Plan offered loans to participants. Since loans are not offered under the Plan, outstanding loan balances were transferred as a result of the merger into the Plan and continue to be repaid by participants.</w:t>
      </w:r>
    </w:p>
    <w:p>
      <w:pPr>
        <w:spacing w:after="0" w:line="193"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primary purpose of the ESOP portion of the Plan is to provide employees who become participants in the Plan an opportunity to have their account balances invested in Common Stock of The Toro Company. The portions of participant accounts that hold Company Common Stock are included in the ESOP portion of the Plan. The portions of participant accounts that do not hold such stock are included in the profit sharing portion of the Plan.</w:t>
      </w:r>
    </w:p>
    <w:p>
      <w:pPr>
        <w:spacing w:after="0" w:line="21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Participants may make their own contributions to the Plan. These are initially made to the profit sharing portion of the Plan.</w:t>
      </w:r>
    </w:p>
    <w:p>
      <w:pPr>
        <w:spacing w:after="0" w:line="252" w:lineRule="exact"/>
        <w:rPr>
          <w:rFonts w:ascii="Arial" w:cs="Arial" w:eastAsia="Arial" w:hAnsi="Arial"/>
          <w:sz w:val="18"/>
          <w:szCs w:val="18"/>
          <w:b w:val="1"/>
          <w:bCs w:val="1"/>
          <w:color w:val="auto"/>
        </w:rPr>
      </w:pPr>
    </w:p>
    <w:p>
      <w:pPr>
        <w:jc w:val="both"/>
        <w:ind w:left="6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Plan participants are also eligible to have the Company make ESOP and Investment Fund Contributions to the Plan on their behalf after two years of qualifying service with the Company. Participants are fully vested in the entire balance of their individual accounts attributable to those contributions. The Company also makes matching contributions to the Plan with respect to Participant contributions. Participants are eligible for matching contributions after completing one year of qualifying service with the Company. Company matching contributions, together with income attributable thereto, vest at a rate of 20% after one year of vesting service, with an additional 20% being accumulated annually thereafter until the participant is 100% vested. ESOP Contributions and Matching Contributions are initially invested in Company Common Stock.</w:t>
      </w:r>
    </w:p>
    <w:p>
      <w:pPr>
        <w:spacing w:after="0" w:line="191"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Participants may choose to have their accounts including those initially invested in Company Common Stock invested in any of the investment funds made available under the Plan or in Company Common Stock. All contributions under the Plan are made to a trust that holds all of the assets of the Plan.</w:t>
      </w:r>
    </w:p>
    <w:p>
      <w:pPr>
        <w:spacing w:after="0" w:line="208" w:lineRule="exact"/>
        <w:rPr>
          <w:rFonts w:ascii="Arial" w:cs="Arial" w:eastAsia="Arial" w:hAnsi="Arial"/>
          <w:sz w:val="18"/>
          <w:szCs w:val="18"/>
          <w:b w:val="1"/>
          <w:bCs w:val="1"/>
          <w:color w:val="auto"/>
        </w:rPr>
      </w:pPr>
    </w:p>
    <w:p>
      <w:pPr>
        <w:jc w:val="both"/>
        <w:ind w:left="6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Participant may receive distributions from their vested accounts under the Plan upon termination of employment, retirement, or death in the form of a lump-sum payment or in installments. Participants are allowed to withdraw amounts that they previously rolled into the Plan. Withdrawals are also allowed from selected accounts in the event of a defined financial hardship to the extent necessary to satisfy the financial need. To the extent an account is invested in Company common shares, a withdrawal or distribution can be in the form of common shares or cash.</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2007 and 2006</w:t>
      </w:r>
    </w:p>
    <w:p>
      <w:pPr>
        <w:spacing w:after="0" w:line="200" w:lineRule="exact"/>
        <w:rPr>
          <w:sz w:val="20"/>
          <w:szCs w:val="20"/>
          <w:color w:val="auto"/>
        </w:rPr>
      </w:pPr>
    </w:p>
    <w:p>
      <w:pPr>
        <w:spacing w:after="0" w:line="295"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Effective November 5, 2007, a new trustee (Fidelity) was appointed to the Plan. Plan assets transferred to the new trustee were transferred into funds comparable to those offered by the former trustee (J.P. Morgan Retirement Plan Services). The conversion initiated a “Black Out” period beginning October 20, 2007 and continued through November 4, 2007. Prior to this period, employees were notified and able to select funds with the new trustee. During the Black Out period, fund elections could not be changed or withdrawn from the Plan until the new trustee had time to accurately complete the conversion. Employee contributions continued to be made through payroll deductions, and contributions were deposited directly into the participant accounts based on their elections until the completion of the Black Out period.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Benefit payments and transfers of participants’ interests are made by the trustee.</w:t>
      </w:r>
    </w:p>
    <w:p>
      <w:pPr>
        <w:spacing w:after="0" w:line="252"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During the year ended December 31, 2007 and 2006, forfeited nonvested accounts totaled $36,383 and $4,921, respectively. These accounts are used to offset future employer contributions.</w:t>
      </w:r>
    </w:p>
    <w:p>
      <w:pPr>
        <w:spacing w:after="0" w:line="19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absorbs all administrative costs of the Plan, with the exception of investment management fees, which are netted against investment income.</w:t>
      </w:r>
    </w:p>
    <w:p>
      <w:pPr>
        <w:spacing w:after="0" w:line="19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rFonts w:ascii="Arial" w:cs="Arial" w:eastAsia="Arial" w:hAnsi="Arial"/>
          <w:sz w:val="18"/>
          <w:szCs w:val="18"/>
          <w:b w:val="1"/>
          <w:bCs w:val="1"/>
          <w:color w:val="auto"/>
        </w:rPr>
      </w:pPr>
    </w:p>
    <w:p>
      <w:pPr>
        <w:ind w:left="800" w:hanging="603"/>
        <w:spacing w:after="0"/>
        <w:tabs>
          <w:tab w:leader="none" w:pos="800" w:val="left"/>
        </w:tabs>
        <w:numPr>
          <w:ilvl w:val="1"/>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Financial Statement Presentation</w:t>
      </w:r>
    </w:p>
    <w:p>
      <w:pPr>
        <w:spacing w:after="0" w:line="252" w:lineRule="exact"/>
        <w:rPr>
          <w:sz w:val="20"/>
          <w:szCs w:val="20"/>
          <w:color w:val="auto"/>
        </w:rPr>
      </w:pPr>
    </w:p>
    <w:p>
      <w:pPr>
        <w:ind w:left="980" w:right="20"/>
        <w:spacing w:after="0" w:line="308" w:lineRule="auto"/>
        <w:rPr>
          <w:sz w:val="20"/>
          <w:szCs w:val="20"/>
          <w:color w:val="auto"/>
        </w:rPr>
      </w:pPr>
      <w:r>
        <w:rPr>
          <w:rFonts w:ascii="Arial" w:cs="Arial" w:eastAsia="Arial" w:hAnsi="Arial"/>
          <w:sz w:val="17"/>
          <w:szCs w:val="17"/>
          <w:color w:val="auto"/>
        </w:rPr>
        <w:t>The accompanying financial statements of The Toro Company Investment, Savings, and Employee Stock Ownership Plan are presented in accordance with U.S generally accepted accounting principles. The accounting records of the Plan are maintained on the accrual basis.</w:t>
      </w:r>
    </w:p>
    <w:p>
      <w:pPr>
        <w:spacing w:after="0" w:line="174" w:lineRule="exact"/>
        <w:rPr>
          <w:sz w:val="20"/>
          <w:szCs w:val="20"/>
          <w:color w:val="auto"/>
        </w:rPr>
      </w:pPr>
    </w:p>
    <w:p>
      <w:pPr>
        <w:ind w:left="780" w:hanging="583"/>
        <w:spacing w:after="0"/>
        <w:tabs>
          <w:tab w:leader="none" w:pos="7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252"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The Plan’s investments are in a Master Trust held by Fidelity. The investment securities are stated at fair values based upon published quotations or, in the absence of available quotations, at fair values determined by the trustee. Purchases and sales of securities are recorded on a trade-date basis.</w:t>
      </w:r>
    </w:p>
    <w:p>
      <w:pPr>
        <w:spacing w:after="0" w:line="208"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The Company maintains one Master Trust for three profit sharing and retirement plans that are sponsored by the Company. The three plans are the Plan, The Toro Company Profit Sharing Plan for Plymouth Union Employees and the Hahn Equipment Company Savings Plan for Union Employees. The purpose of the Master Trust is to pool investment transactions and achieve uniform rates of return on comparable funds under all plans. The Master Trust invests in fully benefit-responsive investment contracts stated at fair value and then adjusted to contract value. Fair value of the contracts is calculated by discounting the related cash flows based on current yields of similar instruments with comparable durations.</w:t>
      </w:r>
    </w:p>
    <w:p>
      <w:pPr>
        <w:spacing w:after="0" w:line="220"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The Plan’s proportionate share of net investment income from the Master Trust is based upon the percentage of the fair value of the Plan’s investment in the Master Trust’s net assets. The Plan’s percentage interest in the net assets of the Master Trust was approximately 99% as of December 31, 2007 and 2006.</w:t>
      </w:r>
    </w:p>
    <w:p>
      <w:pPr>
        <w:spacing w:after="0" w:line="208" w:lineRule="exact"/>
        <w:rPr>
          <w:sz w:val="20"/>
          <w:szCs w:val="20"/>
          <w:color w:val="auto"/>
        </w:rPr>
      </w:pPr>
    </w:p>
    <w:p>
      <w:pPr>
        <w:ind w:left="780" w:hanging="538"/>
        <w:spacing w:after="0"/>
        <w:tabs>
          <w:tab w:leader="none" w:pos="78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Accounting Estimates</w:t>
      </w:r>
    </w:p>
    <w:p>
      <w:pPr>
        <w:spacing w:after="0" w:line="252" w:lineRule="exact"/>
        <w:rPr>
          <w:sz w:val="20"/>
          <w:szCs w:val="20"/>
          <w:color w:val="auto"/>
        </w:rPr>
      </w:pPr>
    </w:p>
    <w:p>
      <w:pPr>
        <w:ind w:left="980"/>
        <w:spacing w:after="0" w:line="308"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requires the Plan Administrator to make estimates and assumptions that affect the reported amounts of net assets available for benefits and disclosure of contingent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p>
      <w:pPr>
        <w:jc w:val="center"/>
        <w:ind w:right="33"/>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ind w:right="33"/>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December 31, 2007 and 2006</w:t>
      </w:r>
    </w:p>
    <w:p>
      <w:pPr>
        <w:spacing w:after="0" w:line="200" w:lineRule="exact"/>
        <w:rPr>
          <w:sz w:val="20"/>
          <w:szCs w:val="20"/>
          <w:color w:val="auto"/>
        </w:rPr>
      </w:pPr>
    </w:p>
    <w:p>
      <w:pPr>
        <w:spacing w:after="0" w:line="295" w:lineRule="exact"/>
        <w:rPr>
          <w:sz w:val="20"/>
          <w:szCs w:val="20"/>
          <w:color w:val="auto"/>
        </w:rPr>
      </w:pPr>
    </w:p>
    <w:p>
      <w:pPr>
        <w:ind w:left="927"/>
        <w:spacing w:after="0" w:line="277" w:lineRule="auto"/>
        <w:rPr>
          <w:sz w:val="20"/>
          <w:szCs w:val="20"/>
          <w:color w:val="auto"/>
        </w:rPr>
      </w:pPr>
      <w:r>
        <w:rPr>
          <w:rFonts w:ascii="Arial" w:cs="Arial" w:eastAsia="Arial" w:hAnsi="Arial"/>
          <w:sz w:val="18"/>
          <w:szCs w:val="18"/>
          <w:color w:val="auto"/>
        </w:rPr>
        <w:t>assets and liabilities as of the date of the financial statements and the reported amounts of changes in net assets available for benefits during the reporting period. Actual results could differ from those estimates.</w:t>
      </w:r>
    </w:p>
    <w:p>
      <w:pPr>
        <w:spacing w:after="0" w:line="197" w:lineRule="exact"/>
        <w:rPr>
          <w:sz w:val="20"/>
          <w:szCs w:val="20"/>
          <w:color w:val="auto"/>
        </w:rPr>
      </w:pPr>
    </w:p>
    <w:p>
      <w:pPr>
        <w:ind w:left="727" w:hanging="538"/>
        <w:spacing w:after="0"/>
        <w:tabs>
          <w:tab w:leader="none" w:pos="727"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Risk</w:t>
      </w:r>
    </w:p>
    <w:p>
      <w:pPr>
        <w:spacing w:after="0" w:line="252" w:lineRule="exact"/>
        <w:rPr>
          <w:sz w:val="20"/>
          <w:szCs w:val="20"/>
          <w:color w:val="auto"/>
        </w:rPr>
      </w:pPr>
    </w:p>
    <w:p>
      <w:pPr>
        <w:jc w:val="both"/>
        <w:ind w:left="927"/>
        <w:spacing w:after="0" w:line="259" w:lineRule="auto"/>
        <w:rPr>
          <w:sz w:val="20"/>
          <w:szCs w:val="20"/>
          <w:color w:val="auto"/>
        </w:rPr>
      </w:pPr>
      <w:r>
        <w:rPr>
          <w:rFonts w:ascii="Arial" w:cs="Arial" w:eastAsia="Arial" w:hAnsi="Arial"/>
          <w:sz w:val="18"/>
          <w:szCs w:val="18"/>
          <w:color w:val="auto"/>
        </w:rPr>
        <w:t>The Plan has investments in a variety of investment funds.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the amounts reported in the Statements of Net Assets Available for Benefits.</w:t>
      </w:r>
    </w:p>
    <w:p>
      <w:pPr>
        <w:spacing w:after="0" w:line="214" w:lineRule="exact"/>
        <w:rPr>
          <w:sz w:val="20"/>
          <w:szCs w:val="20"/>
          <w:color w:val="auto"/>
        </w:rPr>
      </w:pPr>
    </w:p>
    <w:p>
      <w:pPr>
        <w:jc w:val="both"/>
        <w:ind w:left="927"/>
        <w:spacing w:after="0" w:line="312" w:lineRule="auto"/>
        <w:rPr>
          <w:sz w:val="20"/>
          <w:szCs w:val="20"/>
          <w:color w:val="auto"/>
        </w:rPr>
      </w:pPr>
      <w:r>
        <w:rPr>
          <w:rFonts w:ascii="Arial" w:cs="Arial" w:eastAsia="Arial" w:hAnsi="Arial"/>
          <w:sz w:val="16"/>
          <w:szCs w:val="16"/>
          <w:color w:val="auto"/>
        </w:rPr>
        <w:t>The assets held by the Master Trust include The Toro Company Common Stock. At December 31, 2007 and 2006, approximately 34% and 36% of the investments of the Master Trust were invested in common stock of the Company. The underlying value of the Company’s common stock is entirely dependent upon the performance of the Company and the market’s evaluation of such performance and other factors.</w:t>
      </w:r>
    </w:p>
    <w:p>
      <w:pPr>
        <w:spacing w:after="0" w:line="174" w:lineRule="exact"/>
        <w:rPr>
          <w:sz w:val="20"/>
          <w:szCs w:val="20"/>
          <w:color w:val="auto"/>
        </w:rPr>
      </w:pPr>
    </w:p>
    <w:p>
      <w:pPr>
        <w:ind w:left="927" w:hanging="810"/>
        <w:spacing w:after="0"/>
        <w:tabs>
          <w:tab w:leader="none" w:pos="927" w:val="left"/>
        </w:tabs>
        <w:numPr>
          <w:ilvl w:val="1"/>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Fully Benefit-Responsive Investment Contracts</w:t>
      </w:r>
    </w:p>
    <w:p>
      <w:pPr>
        <w:spacing w:after="0" w:line="252" w:lineRule="exact"/>
        <w:rPr>
          <w:rFonts w:ascii="Arial" w:cs="Arial" w:eastAsia="Arial" w:hAnsi="Arial"/>
          <w:sz w:val="18"/>
          <w:szCs w:val="18"/>
          <w:b w:val="1"/>
          <w:bCs w:val="1"/>
          <w:i w:val="1"/>
          <w:iCs w:val="1"/>
          <w:color w:val="auto"/>
        </w:rPr>
      </w:pPr>
    </w:p>
    <w:p>
      <w:pPr>
        <w:jc w:val="both"/>
        <w:ind w:left="927"/>
        <w:spacing w:after="0" w:line="290" w:lineRule="auto"/>
        <w:rPr>
          <w:rFonts w:ascii="Arial" w:cs="Arial" w:eastAsia="Arial" w:hAnsi="Arial"/>
          <w:sz w:val="18"/>
          <w:szCs w:val="18"/>
          <w:b w:val="1"/>
          <w:bCs w:val="1"/>
          <w:i w:val="1"/>
          <w:iCs w:val="1"/>
          <w:color w:val="auto"/>
        </w:rPr>
      </w:pPr>
      <w:r>
        <w:rPr>
          <w:rFonts w:ascii="Arial" w:cs="Arial" w:eastAsia="Arial" w:hAnsi="Arial"/>
          <w:sz w:val="16"/>
          <w:szCs w:val="16"/>
          <w:color w:val="auto"/>
        </w:rPr>
        <w:t xml:space="preserve">The financial statements reflect the Financial Accounting Standards Board Staff Position AAG INV-1 and SOP 94-4-1, </w:t>
      </w:r>
      <w:r>
        <w:rPr>
          <w:rFonts w:ascii="Arial" w:cs="Arial" w:eastAsia="Arial" w:hAnsi="Arial"/>
          <w:sz w:val="16"/>
          <w:szCs w:val="16"/>
          <w:i w:val="1"/>
          <w:iCs w:val="1"/>
          <w:color w:val="auto"/>
        </w:rPr>
        <w:t>Reporting of Fully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Benefit-Responsive Investment Contracts Held by Certain Investment Companies Subject to the AICPA Investment Company guide and Defined-Contribution Health and Welfare and Pension Plans </w:t>
      </w:r>
      <w:r>
        <w:rPr>
          <w:rFonts w:ascii="Arial" w:cs="Arial" w:eastAsia="Arial" w:hAnsi="Arial"/>
          <w:sz w:val="16"/>
          <w:szCs w:val="16"/>
          <w:color w:val="auto"/>
        </w:rPr>
        <w:t>(the FSP). As required by the FSP, investment contracts held by a defined contribution plan</w:t>
      </w:r>
      <w:r>
        <w:rPr>
          <w:rFonts w:ascii="Arial" w:cs="Arial" w:eastAsia="Arial" w:hAnsi="Arial"/>
          <w:sz w:val="16"/>
          <w:szCs w:val="16"/>
          <w:i w:val="1"/>
          <w:iCs w:val="1"/>
          <w:color w:val="auto"/>
        </w:rPr>
        <w:t xml:space="preserve"> </w:t>
      </w:r>
      <w:r>
        <w:rPr>
          <w:rFonts w:ascii="Arial" w:cs="Arial" w:eastAsia="Arial" w:hAnsi="Arial"/>
          <w:sz w:val="16"/>
          <w:szCs w:val="16"/>
          <w:color w:val="auto"/>
        </w:rPr>
        <w:t>are required to be reported at fair value. However,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As required by the FSP, the Statements of Net Assets Available for Benefits present the fair value of the Master Trust, as well as the adjustment of the fully benefit-responsive investment contract from fair value to contract value. The Statement of Changes in Net Assets Available for Benefits is prepared on a contract value basis.</w:t>
      </w:r>
    </w:p>
    <w:p>
      <w:pPr>
        <w:spacing w:after="0" w:line="193" w:lineRule="exact"/>
        <w:rPr>
          <w:rFonts w:ascii="Arial" w:cs="Arial" w:eastAsia="Arial" w:hAnsi="Arial"/>
          <w:sz w:val="18"/>
          <w:szCs w:val="18"/>
          <w:b w:val="1"/>
          <w:bCs w:val="1"/>
          <w:i w:val="1"/>
          <w:iCs w:val="1"/>
          <w:color w:val="auto"/>
        </w:rPr>
      </w:pPr>
    </w:p>
    <w:p>
      <w:pPr>
        <w:ind w:left="927" w:hanging="810"/>
        <w:spacing w:after="0"/>
        <w:tabs>
          <w:tab w:leader="none" w:pos="927" w:val="left"/>
        </w:tabs>
        <w:numPr>
          <w:ilvl w:val="1"/>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Reclassifications</w:t>
      </w:r>
    </w:p>
    <w:p>
      <w:pPr>
        <w:spacing w:after="0" w:line="252" w:lineRule="exact"/>
        <w:rPr>
          <w:rFonts w:ascii="Arial" w:cs="Arial" w:eastAsia="Arial" w:hAnsi="Arial"/>
          <w:sz w:val="18"/>
          <w:szCs w:val="18"/>
          <w:b w:val="1"/>
          <w:bCs w:val="1"/>
          <w:i w:val="1"/>
          <w:iCs w:val="1"/>
          <w:color w:val="auto"/>
        </w:rPr>
      </w:pPr>
    </w:p>
    <w:p>
      <w:pPr>
        <w:ind w:left="927"/>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Certain amounts from prior year’s financial statements have been reclassified to conform to the current year presentation.</w:t>
      </w:r>
    </w:p>
    <w:p>
      <w:pPr>
        <w:spacing w:after="0" w:line="252" w:lineRule="exact"/>
        <w:rPr>
          <w:rFonts w:ascii="Arial" w:cs="Arial" w:eastAsia="Arial" w:hAnsi="Arial"/>
          <w:sz w:val="18"/>
          <w:szCs w:val="18"/>
          <w:b w:val="1"/>
          <w:bCs w:val="1"/>
          <w:i w:val="1"/>
          <w:iCs w:val="1"/>
          <w:color w:val="auto"/>
        </w:rPr>
      </w:pPr>
    </w:p>
    <w:p>
      <w:pPr>
        <w:ind w:left="927" w:hanging="810"/>
        <w:spacing w:after="0"/>
        <w:tabs>
          <w:tab w:leader="none" w:pos="927" w:val="left"/>
        </w:tabs>
        <w:numPr>
          <w:ilvl w:val="1"/>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Accounting Pronouncement to be Adopted</w:t>
      </w:r>
    </w:p>
    <w:p>
      <w:pPr>
        <w:spacing w:after="0" w:line="252" w:lineRule="exact"/>
        <w:rPr>
          <w:rFonts w:ascii="Arial" w:cs="Arial" w:eastAsia="Arial" w:hAnsi="Arial"/>
          <w:sz w:val="18"/>
          <w:szCs w:val="18"/>
          <w:b w:val="1"/>
          <w:bCs w:val="1"/>
          <w:i w:val="1"/>
          <w:iCs w:val="1"/>
          <w:color w:val="auto"/>
        </w:rPr>
      </w:pPr>
    </w:p>
    <w:p>
      <w:pPr>
        <w:jc w:val="both"/>
        <w:ind w:left="927"/>
        <w:spacing w:after="0" w:line="279" w:lineRule="auto"/>
        <w:rPr>
          <w:rFonts w:ascii="Arial" w:cs="Arial" w:eastAsia="Arial" w:hAnsi="Arial"/>
          <w:sz w:val="18"/>
          <w:szCs w:val="18"/>
          <w:b w:val="1"/>
          <w:bCs w:val="1"/>
          <w:i w:val="1"/>
          <w:iCs w:val="1"/>
          <w:color w:val="auto"/>
        </w:rPr>
      </w:pPr>
      <w:r>
        <w:rPr>
          <w:rFonts w:ascii="Arial" w:cs="Arial" w:eastAsia="Arial" w:hAnsi="Arial"/>
          <w:sz w:val="17"/>
          <w:szCs w:val="17"/>
          <w:color w:val="auto"/>
        </w:rPr>
        <w:t>In September 2006, the Financial Accounting Standards Board (FASB) issued SFAS 157, Fair Value Measurements (SFAS 157), which defines fair value, establishes a framework for measuring fair value, and expands disclosures about fair value measurements. The provisions of SFAS 157 are effective as of the beginning of the 2008 plan year. Management is currently evaluating the impact of adopting SFAS 157 and does not expect the adoption to have a material impact on the Plan’s financial statements.</w:t>
      </w:r>
    </w:p>
    <w:p>
      <w:pPr>
        <w:spacing w:after="0" w:line="194" w:lineRule="exact"/>
        <w:rPr>
          <w:rFonts w:ascii="Arial" w:cs="Arial" w:eastAsia="Arial" w:hAnsi="Arial"/>
          <w:sz w:val="18"/>
          <w:szCs w:val="18"/>
          <w:b w:val="1"/>
          <w:bCs w:val="1"/>
          <w:i w:val="1"/>
          <w:iCs w:val="1"/>
          <w:color w:val="auto"/>
        </w:rPr>
      </w:pPr>
    </w:p>
    <w:p>
      <w:pPr>
        <w:ind w:left="607" w:hanging="607"/>
        <w:spacing w:after="0"/>
        <w:tabs>
          <w:tab w:leader="none" w:pos="607"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Funding Policy, Contributions, and Plan Transfers</w:t>
      </w:r>
    </w:p>
    <w:p>
      <w:pPr>
        <w:spacing w:after="0" w:line="256" w:lineRule="exact"/>
        <w:rPr>
          <w:rFonts w:ascii="Arial" w:cs="Arial" w:eastAsia="Arial" w:hAnsi="Arial"/>
          <w:sz w:val="18"/>
          <w:szCs w:val="18"/>
          <w:b w:val="1"/>
          <w:bCs w:val="1"/>
          <w:color w:val="auto"/>
        </w:rPr>
      </w:pPr>
    </w:p>
    <w:p>
      <w:pPr>
        <w:ind w:left="607"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For the ESOP portion of the Plan, the funding policy is to make annual contributions pursuant to a formula and to make matching contributions. The formula contribution is made by the Company and equals 1.5% of total participant compensation earned during the plan year. The formula</w:t>
      </w:r>
    </w:p>
    <w:p>
      <w:pPr>
        <w:spacing w:after="0" w:line="200" w:lineRule="exact"/>
        <w:rPr>
          <w:sz w:val="20"/>
          <w:szCs w:val="20"/>
          <w:color w:val="auto"/>
        </w:rPr>
      </w:pPr>
    </w:p>
    <w:p>
      <w:pPr>
        <w:spacing w:after="0" w:line="365"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7"/>
          </w:cols>
          <w:pgMar w:left="293" w:top="75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2007 and 2006</w:t>
      </w:r>
    </w:p>
    <w:p>
      <w:pPr>
        <w:spacing w:after="0" w:line="200" w:lineRule="exact"/>
        <w:rPr>
          <w:sz w:val="20"/>
          <w:szCs w:val="20"/>
          <w:color w:val="auto"/>
        </w:rPr>
      </w:pPr>
    </w:p>
    <w:p>
      <w:pPr>
        <w:spacing w:after="0" w:line="295"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contribution is allocated to participants based on the participants’ compensation earned during the plan year as a percentage of total plan year compensation.</w:t>
      </w:r>
    </w:p>
    <w:p>
      <w:pPr>
        <w:spacing w:after="0" w:line="19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For the profit sharing portion of the Plan, the funding policy is to make annual investment fund contributions to the Plan in amounts determined by a formula set forth in the Plan. The contribution formula is based on 5.5% of the participants’ total compensation earned during the plan year plus 5.5% of the participants’ compensation above the Social Security taxable wage base as of the beginning of the plan year. Investment income is allocated based on participants’ account balances.</w:t>
      </w:r>
    </w:p>
    <w:p>
      <w:pPr>
        <w:spacing w:after="0" w:line="21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Participant contributions are made to the profit sharing portion of the Plan. They consist of salary reduction elections under a 401(k) feature, voluntary after-tax contributions, and rollover funds from other qualified plans. The Company is required to make a matching contribution into the ESOP portion of the plan equal to 50% of the participants’ contributions to the Plan not to exceed 2% of the participants’ total compensation. That contribution is invested in Company Common Stock.</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Transfers to/from other funds represent participant elected rollovers to/from plans of other employers or other transfers to/from other plans.</w:t>
      </w:r>
    </w:p>
    <w:p>
      <w:pPr>
        <w:spacing w:after="0" w:line="260"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 Transactions</w:t>
      </w:r>
    </w:p>
    <w:p>
      <w:pPr>
        <w:spacing w:after="0" w:line="256" w:lineRule="exact"/>
        <w:rPr>
          <w:rFonts w:ascii="Arial" w:cs="Arial" w:eastAsia="Arial" w:hAnsi="Arial"/>
          <w:sz w:val="18"/>
          <w:szCs w:val="18"/>
          <w:b w:val="1"/>
          <w:bCs w:val="1"/>
          <w:color w:val="auto"/>
        </w:rPr>
      </w:pPr>
    </w:p>
    <w:p>
      <w:pPr>
        <w:jc w:val="both"/>
        <w:ind w:left="6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Fidelity (trustee of the Plan effective November 5, 2007) and J.P. Morgan Retirement Plan Services (former trustee of the Plan) and The Toro Company are parties-in-interest with respect to the Plan. The Plan’s investments are held by Fidelity (trustee of the Plan effective November 5, 2007) and JP Morgan Retirement Plan Services (former trustee of the Plan). Some of the investment funds available to participants also include mutual funds managed by Fidelity and JP Morgan. In the opinion of the Plan’s legal counsel, transactions between the Plan and the trustees are exempt from being considered as “prohibited transactions” under the ERISA Section 408(b).</w:t>
      </w:r>
    </w:p>
    <w:p>
      <w:pPr>
        <w:spacing w:after="0" w:line="195" w:lineRule="exact"/>
        <w:rPr>
          <w:rFonts w:ascii="Arial" w:cs="Arial" w:eastAsia="Arial" w:hAnsi="Arial"/>
          <w:sz w:val="18"/>
          <w:szCs w:val="18"/>
          <w:b w:val="1"/>
          <w:bCs w:val="1"/>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56" w:lineRule="exact"/>
        <w:rPr>
          <w:rFonts w:ascii="Arial" w:cs="Arial" w:eastAsia="Arial" w:hAnsi="Arial"/>
          <w:sz w:val="18"/>
          <w:szCs w:val="18"/>
          <w:b w:val="1"/>
          <w:bCs w:val="1"/>
          <w:color w:val="auto"/>
        </w:rPr>
      </w:pPr>
    </w:p>
    <w:p>
      <w:pPr>
        <w:jc w:val="both"/>
        <w:ind w:lef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 which is vested in a manner described above. Upon termination of the Plan, interests of active participants in the Plan fully vest.</w:t>
      </w:r>
    </w:p>
    <w:p>
      <w:pPr>
        <w:spacing w:after="0" w:line="188" w:lineRule="exact"/>
        <w:rPr>
          <w:rFonts w:ascii="Arial" w:cs="Arial" w:eastAsia="Arial" w:hAnsi="Arial"/>
          <w:sz w:val="18"/>
          <w:szCs w:val="18"/>
          <w:b w:val="1"/>
          <w:bCs w:val="1"/>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Master Trust Fund</w:t>
      </w:r>
    </w:p>
    <w:p>
      <w:pPr>
        <w:spacing w:after="0" w:line="256"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In accordance with the trust agreement, the assets of the Plan are held together with assets of other plans sponsored by the Company in the Master Trust. Investment income related to the Master Trust is allocated to the individual plans based upon beginning of the month balances invested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2007 and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for the Master Trust for the years-ended December 31, 2007 and 2006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Net realized and unrealized appreciation in fair</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value of investments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44,948,064</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41,261,248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900"/>
              <w:spacing w:after="0"/>
              <w:rPr>
                <w:sz w:val="20"/>
                <w:szCs w:val="20"/>
                <w:color w:val="auto"/>
              </w:rPr>
            </w:pPr>
            <w:r>
              <w:rPr>
                <w:rFonts w:ascii="Arial" w:cs="Arial" w:eastAsia="Arial" w:hAnsi="Arial"/>
                <w:sz w:val="18"/>
                <w:szCs w:val="18"/>
                <w:color w:val="auto"/>
              </w:rPr>
              <w:t>Net realized and unrealized appreciation</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44,948,064</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41,261,248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23,306</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20,935,009</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16,417,004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120"/>
              <w:spacing w:after="0"/>
              <w:rPr>
                <w:sz w:val="20"/>
                <w:szCs w:val="20"/>
                <w:color w:val="auto"/>
              </w:rPr>
            </w:pPr>
            <w:r>
              <w:rPr>
                <w:rFonts w:ascii="Arial" w:cs="Arial" w:eastAsia="Arial" w:hAnsi="Arial"/>
                <w:sz w:val="18"/>
                <w:szCs w:val="18"/>
                <w:color w:val="auto"/>
              </w:rPr>
              <w:t>Net Investment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65,906,379</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57,681,475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2007 and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values of Master Trust investments at December 31, 2007 and 2006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20" w:type="dxa"/>
            <w:vAlign w:val="bottom"/>
            <w:tcBorders>
              <w:bottom w:val="single" w:sz="8" w:color="auto"/>
            </w:tcBorders>
          </w:tcPr>
          <w:p>
            <w:pPr>
              <w:ind w:left="3880"/>
              <w:spacing w:after="0"/>
              <w:rPr>
                <w:sz w:val="20"/>
                <w:szCs w:val="20"/>
                <w:color w:val="auto"/>
              </w:rPr>
            </w:pPr>
            <w:r>
              <w:rPr>
                <w:rFonts w:ascii="Arial" w:cs="Arial" w:eastAsia="Arial" w:hAnsi="Arial"/>
                <w:sz w:val="18"/>
                <w:szCs w:val="18"/>
                <w:b w:val="1"/>
                <w:bCs w:val="1"/>
                <w:color w:val="auto"/>
              </w:rPr>
              <w:t>Description</w:t>
            </w:r>
          </w:p>
        </w:tc>
        <w:tc>
          <w:tcPr>
            <w:tcW w:w="3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Common Collective Trusts</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Wells Fargo Stable Return E</w:t>
            </w:r>
          </w:p>
        </w:tc>
        <w:tc>
          <w:tcPr>
            <w:tcW w:w="3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83,706,503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85,630,792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560"/>
              <w:spacing w:after="0"/>
              <w:rPr>
                <w:sz w:val="20"/>
                <w:szCs w:val="20"/>
                <w:color w:val="auto"/>
              </w:rPr>
            </w:pPr>
            <w:r>
              <w:rPr>
                <w:rFonts w:ascii="Arial" w:cs="Arial" w:eastAsia="Arial" w:hAnsi="Arial"/>
                <w:sz w:val="18"/>
                <w:szCs w:val="18"/>
                <w:color w:val="auto"/>
              </w:rPr>
              <w:t>Barclays Global Investors</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9,472,865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21,749,153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Registered Investment Securities</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560"/>
              <w:spacing w:after="0"/>
              <w:rPr>
                <w:sz w:val="20"/>
                <w:szCs w:val="20"/>
                <w:color w:val="auto"/>
              </w:rPr>
            </w:pPr>
            <w:r>
              <w:rPr>
                <w:rFonts w:ascii="Arial" w:cs="Arial" w:eastAsia="Arial" w:hAnsi="Arial"/>
                <w:sz w:val="18"/>
                <w:szCs w:val="18"/>
                <w:color w:val="auto"/>
              </w:rPr>
              <w:t>Artisan Mid Cap Fund</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9,961,602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9,005,047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JP Morgan MidCap Value</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12,271,931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13,824,733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560"/>
              <w:spacing w:after="0"/>
              <w:rPr>
                <w:sz w:val="20"/>
                <w:szCs w:val="20"/>
                <w:color w:val="auto"/>
              </w:rPr>
            </w:pPr>
            <w:r>
              <w:rPr>
                <w:rFonts w:ascii="Arial" w:cs="Arial" w:eastAsia="Arial" w:hAnsi="Arial"/>
                <w:sz w:val="18"/>
                <w:szCs w:val="18"/>
                <w:color w:val="auto"/>
              </w:rPr>
              <w:t>STI Classics Small Cap Growth Stock Fund</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7,184,245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Fidelity Diversified International Fund</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55,049,741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47,908,736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560"/>
              <w:spacing w:after="0"/>
              <w:rPr>
                <w:sz w:val="20"/>
                <w:szCs w:val="20"/>
                <w:color w:val="auto"/>
              </w:rPr>
            </w:pPr>
            <w:r>
              <w:rPr>
                <w:rFonts w:ascii="Arial" w:cs="Arial" w:eastAsia="Arial" w:hAnsi="Arial"/>
                <w:sz w:val="18"/>
                <w:szCs w:val="18"/>
                <w:color w:val="auto"/>
              </w:rPr>
              <w:t>Growth Fund of America</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69,498,831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63,013,048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ICM Small Company</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27,574,964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30,783,774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560"/>
              <w:spacing w:after="0"/>
              <w:rPr>
                <w:sz w:val="20"/>
                <w:szCs w:val="20"/>
                <w:color w:val="auto"/>
              </w:rPr>
            </w:pPr>
            <w:r>
              <w:rPr>
                <w:rFonts w:ascii="Arial" w:cs="Arial" w:eastAsia="Arial" w:hAnsi="Arial"/>
                <w:sz w:val="18"/>
                <w:szCs w:val="18"/>
                <w:color w:val="auto"/>
              </w:rPr>
              <w:t>Vanguard Institutional Index</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18,891,792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37,554,154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American Century Large Company Value Fund</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61,240,057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67,308,832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560"/>
              <w:spacing w:after="0"/>
              <w:rPr>
                <w:sz w:val="20"/>
                <w:szCs w:val="20"/>
                <w:color w:val="auto"/>
              </w:rPr>
            </w:pPr>
            <w:r>
              <w:rPr>
                <w:rFonts w:ascii="Arial" w:cs="Arial" w:eastAsia="Arial" w:hAnsi="Arial"/>
                <w:sz w:val="18"/>
                <w:szCs w:val="18"/>
                <w:color w:val="auto"/>
              </w:rPr>
              <w:t>Alger Small Cap</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7,952,213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560"/>
              <w:spacing w:after="0"/>
              <w:rPr>
                <w:sz w:val="20"/>
                <w:szCs w:val="20"/>
                <w:color w:val="auto"/>
              </w:rPr>
            </w:pPr>
            <w:r>
              <w:rPr>
                <w:rFonts w:ascii="Arial" w:cs="Arial" w:eastAsia="Arial" w:hAnsi="Arial"/>
                <w:sz w:val="18"/>
                <w:szCs w:val="18"/>
                <w:color w:val="auto"/>
              </w:rPr>
              <w:t>The Toro Company Common Stock</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217,508,364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212,431,878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Pooled Funds</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560"/>
              <w:spacing w:after="0"/>
              <w:rPr>
                <w:sz w:val="20"/>
                <w:szCs w:val="20"/>
                <w:color w:val="auto"/>
              </w:rPr>
            </w:pPr>
            <w:r>
              <w:rPr>
                <w:rFonts w:ascii="Arial" w:cs="Arial" w:eastAsia="Arial" w:hAnsi="Arial"/>
                <w:sz w:val="18"/>
                <w:szCs w:val="18"/>
                <w:color w:val="auto"/>
              </w:rPr>
              <w:t>Pyramis Index Lifecycle 2000</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1,815,105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Pyramis Index Lifecycle 2005</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2,022,179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560"/>
              <w:spacing w:after="0"/>
              <w:rPr>
                <w:sz w:val="20"/>
                <w:szCs w:val="20"/>
                <w:color w:val="auto"/>
              </w:rPr>
            </w:pPr>
            <w:r>
              <w:rPr>
                <w:rFonts w:ascii="Arial" w:cs="Arial" w:eastAsia="Arial" w:hAnsi="Arial"/>
                <w:sz w:val="18"/>
                <w:szCs w:val="18"/>
                <w:color w:val="auto"/>
              </w:rPr>
              <w:t>Pyramis Index Lifecycle 2010</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6,973,780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Pyramis Index Lifecycle 2015</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13,034,933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560"/>
              <w:spacing w:after="0"/>
              <w:rPr>
                <w:sz w:val="20"/>
                <w:szCs w:val="20"/>
                <w:color w:val="auto"/>
              </w:rPr>
            </w:pPr>
            <w:r>
              <w:rPr>
                <w:rFonts w:ascii="Arial" w:cs="Arial" w:eastAsia="Arial" w:hAnsi="Arial"/>
                <w:sz w:val="18"/>
                <w:szCs w:val="18"/>
                <w:color w:val="auto"/>
              </w:rPr>
              <w:t>Pyramis Index Lifecycle 2020</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14,673,475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Pyramis Index Lifecycle 2025</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14,766,645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560"/>
              <w:spacing w:after="0"/>
              <w:rPr>
                <w:sz w:val="20"/>
                <w:szCs w:val="20"/>
                <w:color w:val="auto"/>
              </w:rPr>
            </w:pPr>
            <w:r>
              <w:rPr>
                <w:rFonts w:ascii="Arial" w:cs="Arial" w:eastAsia="Arial" w:hAnsi="Arial"/>
                <w:sz w:val="18"/>
                <w:szCs w:val="18"/>
                <w:color w:val="auto"/>
              </w:rPr>
              <w:t>Pyramis Index Lifecycle 2030</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7,849,222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Pyramis Index Lifecycle 2035</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4,809,707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560"/>
              <w:spacing w:after="0"/>
              <w:rPr>
                <w:sz w:val="20"/>
                <w:szCs w:val="20"/>
                <w:color w:val="auto"/>
              </w:rPr>
            </w:pPr>
            <w:r>
              <w:rPr>
                <w:rFonts w:ascii="Arial" w:cs="Arial" w:eastAsia="Arial" w:hAnsi="Arial"/>
                <w:sz w:val="18"/>
                <w:szCs w:val="18"/>
                <w:color w:val="auto"/>
              </w:rPr>
              <w:t>Pyramis Index Lifecycle 2040</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2,263,024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Pyramis Index Lifecycle 2045</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1,469,009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560"/>
              <w:spacing w:after="0"/>
              <w:rPr>
                <w:sz w:val="20"/>
                <w:szCs w:val="20"/>
                <w:color w:val="auto"/>
              </w:rPr>
            </w:pPr>
            <w:r>
              <w:rPr>
                <w:rFonts w:ascii="Arial" w:cs="Arial" w:eastAsia="Arial" w:hAnsi="Arial"/>
                <w:sz w:val="18"/>
                <w:szCs w:val="18"/>
                <w:color w:val="auto"/>
              </w:rPr>
              <w:t>Pyramis Index Lifecycle 2050</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300,602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CCEEFF"/>
            </w:tcBorders>
            <w:shd w:val="clear" w:color="auto" w:fill="CCEEFF"/>
          </w:tcPr>
          <w:p>
            <w:pPr>
              <w:spacing w:after="0"/>
              <w:rPr>
                <w:sz w:val="19"/>
                <w:szCs w:val="19"/>
                <w:color w:val="auto"/>
              </w:rPr>
            </w:pPr>
          </w:p>
        </w:tc>
        <w:tc>
          <w:tcPr>
            <w:tcW w:w="3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840"/>
              <w:spacing w:after="0"/>
              <w:rPr>
                <w:sz w:val="20"/>
                <w:szCs w:val="20"/>
                <w:color w:val="auto"/>
              </w:rPr>
            </w:pPr>
            <w:r>
              <w:rPr>
                <w:rFonts w:ascii="Arial" w:cs="Arial" w:eastAsia="Arial" w:hAnsi="Arial"/>
                <w:sz w:val="18"/>
                <w:szCs w:val="18"/>
                <w:color w:val="auto"/>
              </w:rPr>
              <w:t>Total investments</w:t>
            </w:r>
          </w:p>
        </w:tc>
        <w:tc>
          <w:tcPr>
            <w:tcW w:w="37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643,106,544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596,394,392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460" w:type="dxa"/>
            <w:vAlign w:val="bottom"/>
            <w:vMerge w:val="restart"/>
          </w:tcPr>
          <w:p>
            <w:pPr>
              <w:jc w:val="right"/>
              <w:ind w:right="285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20" w:type="dxa"/>
            <w:vAlign w:val="bottom"/>
            <w:tcBorders>
              <w:bottom w:val="single" w:sz="8" w:color="808080"/>
            </w:tcBorders>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2007 and 2006</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Taxes</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Plan Administrator has received a determination letter from the Internal Revenue Service, dated October 23, 2002, stating that the Plan is qualified under Section 401(a) of the Internal Revenue Code (the Code), and that the trust created under the Plan is exempt from federal income taxes under Section 501(a) of the Code. The Plan has been amended since the date of this letter, and an updated tax determination letter was received on February 19, 2008. Therefore, no provision for income taxes has been included in the Plan’s financial statements.</w:t>
      </w:r>
    </w:p>
    <w:p>
      <w:pPr>
        <w:spacing w:after="0" w:line="19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Differences between these Financial Statements and the Financial Information Required on Form 5500: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in these</w:t>
            </w:r>
          </w:p>
        </w:tc>
        <w:tc>
          <w:tcPr>
            <w:tcW w:w="2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financial statements</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652,618,940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contract value to fair value for</w:t>
            </w:r>
          </w:p>
        </w:tc>
        <w:tc>
          <w:tcPr>
            <w:tcW w:w="2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fully benefit-responsive investment contracts at December 31, 2007</w:t>
            </w:r>
          </w:p>
        </w:tc>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(251,174)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Net assets available for benefits as presented on Form 5500</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652,367,766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as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100"/>
              <w:spacing w:after="0"/>
              <w:rPr>
                <w:sz w:val="20"/>
                <w:szCs w:val="20"/>
                <w:color w:val="auto"/>
              </w:rPr>
            </w:pPr>
            <w:r>
              <w:rPr>
                <w:rFonts w:ascii="Arial" w:cs="Arial" w:eastAsia="Arial" w:hAnsi="Arial"/>
                <w:sz w:val="18"/>
                <w:szCs w:val="18"/>
                <w:color w:val="auto"/>
              </w:rPr>
              <w:t>presented in these financial statements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45,739,692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Adjustment from contract value to fair value for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fully benefit-responsive investment contracts at December 31,2007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Adjustment from contract value to fair value for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fully benefit-responsive investment contracts at December 31, 2006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Adjustment for employer contribution receivable at December 31, 2006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 for employee contribution receivable at December 31, 2006</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as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100"/>
              <w:spacing w:after="0"/>
              <w:rPr>
                <w:sz w:val="20"/>
                <w:szCs w:val="20"/>
                <w:color w:val="auto"/>
              </w:rPr>
            </w:pPr>
            <w:r>
              <w:rPr>
                <w:rFonts w:ascii="Arial" w:cs="Arial" w:eastAsia="Arial" w:hAnsi="Arial"/>
                <w:sz w:val="18"/>
                <w:szCs w:val="18"/>
                <w:color w:val="auto"/>
              </w:rPr>
              <w:t>presented on Form 5500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46,722,623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940" w:type="dxa"/>
            <w:vAlign w:val="bottom"/>
          </w:tcPr>
          <w:p>
            <w:pPr>
              <w:jc w:val="center"/>
              <w:ind w:left="2370"/>
              <w:spacing w:after="0"/>
              <w:rPr>
                <w:sz w:val="20"/>
                <w:szCs w:val="20"/>
                <w:color w:val="auto"/>
              </w:rPr>
            </w:pPr>
            <w:r>
              <w:rPr>
                <w:rFonts w:ascii="Arial" w:cs="Arial" w:eastAsia="Arial" w:hAnsi="Arial"/>
                <w:sz w:val="18"/>
                <w:szCs w:val="18"/>
                <w:b w:val="1"/>
                <w:bCs w:val="1"/>
                <w:color w:val="auto"/>
              </w:rPr>
              <w:t>THE TORO COMPANY INVESTMENT, SAVINGS,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940" w:type="dxa"/>
            <w:vAlign w:val="bottom"/>
          </w:tcPr>
          <w:p>
            <w:pPr>
              <w:jc w:val="center"/>
              <w:ind w:left="2370"/>
              <w:spacing w:after="0"/>
              <w:rPr>
                <w:sz w:val="20"/>
                <w:szCs w:val="20"/>
                <w:color w:val="auto"/>
              </w:rPr>
            </w:pPr>
            <w:r>
              <w:rPr>
                <w:rFonts w:ascii="Arial" w:cs="Arial" w:eastAsia="Arial" w:hAnsi="Arial"/>
                <w:sz w:val="18"/>
                <w:szCs w:val="18"/>
                <w:b w:val="1"/>
                <w:bCs w:val="1"/>
                <w:color w:val="auto"/>
              </w:rPr>
              <w:t>AND EMPLOYEE STOCK OWNERSHIP PLAN</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940" w:type="dxa"/>
            <w:vAlign w:val="bottom"/>
          </w:tcPr>
          <w:p>
            <w:pPr>
              <w:jc w:val="center"/>
              <w:ind w:left="2370"/>
              <w:spacing w:after="0"/>
              <w:rPr>
                <w:sz w:val="20"/>
                <w:szCs w:val="20"/>
                <w:color w:val="auto"/>
              </w:rPr>
            </w:pPr>
            <w:r>
              <w:rPr>
                <w:rFonts w:ascii="Arial" w:cs="Arial" w:eastAsia="Arial" w:hAnsi="Arial"/>
                <w:sz w:val="18"/>
                <w:szCs w:val="18"/>
                <w:color w:val="auto"/>
                <w:w w:val="89"/>
              </w:rPr>
              <w:t>Notes to Financial Statements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940" w:type="dxa"/>
            <w:vAlign w:val="bottom"/>
          </w:tcPr>
          <w:p>
            <w:pPr>
              <w:jc w:val="center"/>
              <w:ind w:left="2370"/>
              <w:spacing w:after="0"/>
              <w:rPr>
                <w:sz w:val="20"/>
                <w:szCs w:val="20"/>
                <w:color w:val="auto"/>
              </w:rPr>
            </w:pPr>
            <w:r>
              <w:rPr>
                <w:rFonts w:ascii="Arial" w:cs="Arial" w:eastAsia="Arial" w:hAnsi="Arial"/>
                <w:sz w:val="18"/>
                <w:szCs w:val="18"/>
                <w:color w:val="auto"/>
                <w:w w:val="89"/>
              </w:rPr>
              <w:t>December 31, 2007 and 2006</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7"/>
        </w:trPr>
        <w:tc>
          <w:tcPr>
            <w:tcW w:w="2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Net assets available for benefits as presented in these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financial statements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606,879,248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contract value to fair value for</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100"/>
              <w:spacing w:after="0"/>
              <w:rPr>
                <w:sz w:val="20"/>
                <w:szCs w:val="20"/>
                <w:color w:val="auto"/>
              </w:rPr>
            </w:pPr>
            <w:r>
              <w:rPr>
                <w:rFonts w:ascii="Arial" w:cs="Arial" w:eastAsia="Arial" w:hAnsi="Arial"/>
                <w:sz w:val="18"/>
                <w:szCs w:val="18"/>
                <w:color w:val="auto"/>
              </w:rPr>
              <w:t>fully benefit-responsive investment contracts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(1,153,751)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employer contribution receivable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Adjustment for employee contribution receivable</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(47,511)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Net assets available for benefits as presented on Form 5500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605,645,143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as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100"/>
              <w:spacing w:after="0"/>
              <w:rPr>
                <w:sz w:val="20"/>
                <w:szCs w:val="20"/>
                <w:color w:val="auto"/>
              </w:rPr>
            </w:pPr>
            <w:r>
              <w:rPr>
                <w:rFonts w:ascii="Arial" w:cs="Arial" w:eastAsia="Arial" w:hAnsi="Arial"/>
                <w:sz w:val="18"/>
                <w:szCs w:val="18"/>
                <w:color w:val="auto"/>
              </w:rPr>
              <w:t>presented in these financial statements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50,308,217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Adjustment from contract value to fair value for</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fully benefit-responsive investment contracts December 31, 2006</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Adjustment for employer contribution receivable at December 31, 2006</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employee contribution receivable at December 31, 2006</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Adjustment for employer contribution receivable at December 31, 2005</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12,963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employee contribution receivable at December 31, 2005</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4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as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100"/>
              <w:spacing w:after="0"/>
              <w:rPr>
                <w:sz w:val="20"/>
                <w:szCs w:val="20"/>
                <w:color w:val="auto"/>
              </w:rPr>
            </w:pPr>
            <w:r>
              <w:rPr>
                <w:rFonts w:ascii="Arial" w:cs="Arial" w:eastAsia="Arial" w:hAnsi="Arial"/>
                <w:sz w:val="18"/>
                <w:szCs w:val="18"/>
                <w:color w:val="auto"/>
              </w:rPr>
              <w:t>presented on Form 5500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49,131,347</w:t>
            </w:r>
          </w:p>
        </w:tc>
        <w:tc>
          <w:tcPr>
            <w:tcW w:w="0" w:type="dxa"/>
            <w:vAlign w:val="bottom"/>
          </w:tcPr>
          <w:p>
            <w:pPr>
              <w:spacing w:after="0"/>
              <w:rPr>
                <w:sz w:val="1"/>
                <w:szCs w:val="1"/>
                <w:color w:val="auto"/>
              </w:rPr>
            </w:pPr>
          </w:p>
        </w:tc>
      </w:tr>
      <w:tr>
        <w:trPr>
          <w:trHeight w:val="21"/>
        </w:trPr>
        <w:tc>
          <w:tcPr>
            <w:tcW w:w="8960" w:type="dxa"/>
            <w:vAlign w:val="bottom"/>
            <w:gridSpan w:val="2"/>
            <w:vMerge w:val="restart"/>
          </w:tcPr>
          <w:p>
            <w:pPr>
              <w:jc w:val="center"/>
              <w:ind w:left="2370"/>
              <w:spacing w:after="0"/>
              <w:rPr>
                <w:sz w:val="20"/>
                <w:szCs w:val="20"/>
                <w:color w:val="auto"/>
              </w:rPr>
            </w:pPr>
            <w:r>
              <w:rPr>
                <w:rFonts w:ascii="Arial" w:cs="Arial" w:eastAsia="Arial" w:hAnsi="Arial"/>
                <w:sz w:val="18"/>
                <w:szCs w:val="18"/>
                <w:color w:val="auto"/>
                <w:w w:val="89"/>
              </w:rPr>
              <w:t>11</w:t>
            </w: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7"/>
        </w:trPr>
        <w:tc>
          <w:tcPr>
            <w:tcW w:w="896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9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the Year)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2007</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Current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80" w:type="dxa"/>
            <w:vAlign w:val="bottom"/>
          </w:tcPr>
          <w:p>
            <w:pPr>
              <w:ind w:left="388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52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Cost</w:t>
            </w: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*Participant Loans</w:t>
            </w: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900"/>
              <w:spacing w:after="0"/>
              <w:rPr>
                <w:sz w:val="20"/>
                <w:szCs w:val="20"/>
                <w:color w:val="auto"/>
              </w:rPr>
            </w:pPr>
            <w:r>
              <w:rPr>
                <w:rFonts w:ascii="Arial" w:cs="Arial" w:eastAsia="Arial" w:hAnsi="Arial"/>
                <w:sz w:val="18"/>
                <w:szCs w:val="18"/>
                <w:color w:val="auto"/>
              </w:rPr>
              <w:t>Total investments</w:t>
            </w:r>
          </w:p>
        </w:tc>
        <w:tc>
          <w:tcPr>
            <w:tcW w:w="16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*Party-in-interest as defined by ERISA.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jc w:val="center"/>
        <w:ind w:right="-23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Toro Company Investment, Savings, and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Employee Stock Ownership Plan</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June 27, 2008</w:t>
      </w:r>
      <w:r>
        <w:rPr>
          <w:sz w:val="20"/>
          <w:szCs w:val="20"/>
          <w:color w:val="auto"/>
        </w:rPr>
        <w:tab/>
      </w:r>
      <w:r>
        <w:rPr>
          <w:rFonts w:ascii="Arial" w:cs="Arial" w:eastAsia="Arial" w:hAnsi="Arial"/>
          <w:sz w:val="16"/>
          <w:szCs w:val="16"/>
          <w:color w:val="auto"/>
        </w:rPr>
        <w:t>By /s/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14605</wp:posOffset>
            </wp:positionV>
            <wp:extent cx="36791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7919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Stephen P. Wolfe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of 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517" w:right="479" w:bottom="1440" w:gutter="0" w:footer="0" w:header="0"/>
        </w:sectPr>
      </w:pPr>
    </w:p>
    <w:bookmarkStart w:id="15" w:name="page16"/>
    <w:bookmarkEnd w:id="15"/>
    <w:p>
      <w:pPr>
        <w:ind w:left="500"/>
        <w:spacing w:after="0"/>
        <w:rPr>
          <w:sz w:val="20"/>
          <w:szCs w:val="20"/>
          <w:color w:val="auto"/>
        </w:rPr>
      </w:pPr>
      <w:r>
        <w:rPr>
          <w:rFonts w:ascii="Arial" w:cs="Arial" w:eastAsia="Arial" w:hAnsi="Arial"/>
          <w:sz w:val="18"/>
          <w:szCs w:val="18"/>
          <w:color w:val="auto"/>
        </w:rPr>
        <w:t>Exhibit Index</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96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223"/>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23.1</w:t>
            </w:r>
          </w:p>
        </w:tc>
        <w:tc>
          <w:tcPr>
            <w:tcW w:w="96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Consent of Independent Registered Public Accounting Firm</w:t>
            </w:r>
          </w:p>
        </w:tc>
      </w:tr>
    </w:tbl>
    <w:p>
      <w:pPr>
        <w:sectPr>
          <w:pgSz w:w="11900" w:h="16838" w:orient="portrait"/>
          <w:cols w:equalWidth="0" w:num="1">
            <w:col w:w="11420"/>
          </w:cols>
          <w:pgMar w:left="240" w:top="517"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3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consent to incorporation by reference in the Registration Statement (No. 333-119504) on Form S-8 of The Toro Company, of our report dated June 27, 2008, relating to the statements of net assets available for benefits of The Toro Company Investment, Savings, and Employee Stock Ownership Plan as of December 31, 2007 and 2006, the related statements of changes in net assets available for benefits for the years then ended, and the supplemental schedule of Schedule H, line 4i – schedule of assets (held at end of year) as of December 31, 2007, which report appears in the December 31, 2007 annual report on Form 11-K of The Toro Company Investment, Savings, and Employee Stock Ownership Plan.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27, 2008</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upperLetter"/>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2"/>
    </w:lvl>
  </w:abstractNum>
  <w:abstractNum w:abstractNumId="6">
    <w:nsid w:val="4DB127F8"/>
    <w:multiLevelType w:val="hybridMultilevel"/>
    <w:lvl w:ilvl="0">
      <w:lvlJc w:val="left"/>
      <w:lvlText w:val="(%1)"/>
      <w:numFmt w:val="lowerLetter"/>
      <w:start w:val="3"/>
    </w:lvl>
  </w:abstractNum>
  <w:abstractNum w:abstractNumId="7">
    <w:nsid w:val="216231B"/>
    <w:multiLevelType w:val="hybridMultilevel"/>
    <w:lvl w:ilvl="0">
      <w:lvlJc w:val="left"/>
      <w:lvlText w:val="(%1)"/>
      <w:numFmt w:val="lowerLetter"/>
      <w:start w:val="4"/>
    </w:lvl>
  </w:abstractNum>
  <w:abstractNum w:abstractNumId="8">
    <w:nsid w:val="1F16E9E8"/>
    <w:multiLevelType w:val="hybridMultilevel"/>
    <w:lvl w:ilvl="0">
      <w:lvlJc w:val="left"/>
      <w:lvlText w:val="%1"/>
      <w:numFmt w:val="decimal"/>
      <w:start w:val="1"/>
    </w:lvl>
    <w:lvl w:ilvl="1">
      <w:lvlJc w:val="left"/>
      <w:lvlText w:val="(%2)"/>
      <w:numFmt w:val="lowerLetter"/>
      <w:start w:val="5"/>
    </w:lvl>
  </w:abstractNum>
  <w:abstractNum w:abstractNumId="9">
    <w:nsid w:val="1190CDE7"/>
    <w:multiLevelType w:val="hybridMultilevel"/>
    <w:lvl w:ilvl="0">
      <w:lvlJc w:val="left"/>
      <w:lvlText w:val="(%1)"/>
      <w:numFmt w:val="decimal"/>
      <w:start w:val="3"/>
    </w:lvl>
    <w:lvl w:ilvl="1">
      <w:lvlJc w:val="left"/>
      <w:lvlText w:val="%2"/>
      <w:numFmt w:val="lowerLetter"/>
      <w:start w:val="1"/>
    </w:lvl>
  </w:abstractNum>
  <w:abstractNum w:abstractNumId="10">
    <w:nsid w:val="66EF438D"/>
    <w:multiLevelType w:val="hybridMultilevel"/>
    <w:lvl w:ilvl="0">
      <w:lvlJc w:val="left"/>
      <w:lvlText w:val="(%1)"/>
      <w:numFmt w:val="decimal"/>
      <w:start w:val="4"/>
    </w:lvl>
  </w:abstractNum>
  <w:abstractNum w:abstractNumId="11">
    <w:nsid w:val="140E0F76"/>
    <w:multiLevelType w:val="hybridMultilevel"/>
    <w:lvl w:ilvl="0">
      <w:lvlJc w:val="left"/>
      <w:lvlText w:val="(%1)"/>
      <w:numFmt w:val="decimal"/>
      <w:start w:val="7"/>
    </w:lvl>
  </w:abstractNum>
  <w:abstractNum w:abstractNumId="12">
    <w:nsid w:val="3352255A"/>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2019-12-13T13:53:25Z</dcterms:created>
  <dcterms:modified xsi:type="dcterms:W3CDTF">2019-12-13T13:53:25Z</dcterms:modified>
</cp:coreProperties>
</file>