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 xml:space="preserve">Date of Report (Date of earliest event reported): </w:t>
      </w:r>
      <w:r>
        <w:rPr>
          <w:rFonts w:ascii="Times New Roman" w:cs="Times New Roman" w:eastAsia="Times New Roman" w:hAnsi="Times New Roman"/>
          <w:sz w:val="19"/>
          <w:szCs w:val="19"/>
          <w:b w:val="1"/>
          <w:bCs w:val="1"/>
          <w:color w:val="auto"/>
        </w:rPr>
        <w:t>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560" w:firstLine="8"/>
        <w:spacing w:after="0" w:line="466" w:lineRule="auto"/>
        <w:tabs>
          <w:tab w:leader="none" w:pos="228"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jc w:val="both"/>
        <w:spacing w:after="0" w:line="254"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97155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62865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June 2, 2022, The Toro Company announced its earnings for the three and six month periods ended April 29, 2022.</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280" w:type="dxa"/>
            <w:vAlign w:val="bottom"/>
          </w:tcPr>
          <w:p>
            <w:pPr>
              <w:spacing w:after="0"/>
              <w:rPr>
                <w:sz w:val="22"/>
                <w:szCs w:val="22"/>
                <w:color w:val="auto"/>
              </w:rPr>
            </w:pPr>
          </w:p>
        </w:tc>
        <w:tc>
          <w:tcPr>
            <w:tcW w:w="4580" w:type="dxa"/>
            <w:vAlign w:val="bottom"/>
          </w:tcPr>
          <w:p>
            <w:pPr>
              <w:spacing w:after="0"/>
              <w:rPr>
                <w:sz w:val="22"/>
                <w:szCs w:val="22"/>
                <w:color w:val="auto"/>
              </w:rPr>
            </w:pPr>
          </w:p>
        </w:tc>
      </w:tr>
      <w:tr>
        <w:trPr>
          <w:trHeight w:val="498"/>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428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8"/>
              </w:rPr>
              <w:t>Press release dated June 2, 2022 (furnished herewith).</w:t>
            </w:r>
          </w:p>
        </w:tc>
        <w:tc>
          <w:tcPr>
            <w:tcW w:w="4580" w:type="dxa"/>
            <w:vAlign w:val="bottom"/>
          </w:tcPr>
          <w:p>
            <w:pPr>
              <w:spacing w:after="0"/>
              <w:rPr>
                <w:sz w:val="18"/>
                <w:szCs w:val="18"/>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59"/>
        </w:trPr>
        <w:tc>
          <w:tcPr>
            <w:tcW w:w="23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June 2, 2022</w:t>
      </w:r>
      <w:r>
        <w:rPr>
          <w:sz w:val="20"/>
          <w:szCs w:val="20"/>
          <w:color w:val="auto"/>
        </w:rPr>
        <w:tab/>
      </w:r>
      <w:r>
        <w:rPr>
          <w:rFonts w:ascii="Times New Roman" w:cs="Times New Roman" w:eastAsia="Times New Roman" w:hAnsi="Times New Roman"/>
          <w:sz w:val="19"/>
          <w:szCs w:val="19"/>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Renee J. Peterson</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Kerekes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Sr. Managing Director, Global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887-8846, </w:t>
      </w:r>
      <w:r>
        <w:rPr>
          <w:rFonts w:ascii="Arial" w:cs="Arial" w:eastAsia="Arial" w:hAnsi="Arial"/>
          <w:sz w:val="18"/>
          <w:szCs w:val="18"/>
          <w:u w:val="single" w:color="auto"/>
          <w:color w:val="0000FF"/>
        </w:rPr>
        <w:t>julie.kerekes@toro.com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The Toro Company Reports Solid Second-Quarter Fiscal 2022 Results</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20"/>
          <w:szCs w:val="20"/>
          <w:i w:val="1"/>
          <w:iCs w:val="1"/>
          <w:color w:val="auto"/>
        </w:rPr>
        <w:t>Operational Execution Drives Sequential Quarterly Gross Margin Increase and Improved Full Year Outlook</w:t>
      </w:r>
    </w:p>
    <w:p>
      <w:pPr>
        <w:spacing w:after="0" w:line="27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Second-quarter net sales up 8.7% year-over year to $1.25 billion</w:t>
      </w:r>
    </w:p>
    <w:p>
      <w:pPr>
        <w:spacing w:after="0" w:line="4"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Second-quarter reported diluted EPS of $1.24; *Adjusted diluted EPS of $1.25</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Sequential gross margin and *adjusted operating earnings margin improvement from the first quarter of fiscal 2022</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Raises full year fiscal 2022 net sales and *adjusted diluted EPS guidance</w:t>
      </w:r>
    </w:p>
    <w:p>
      <w:pPr>
        <w:spacing w:after="0" w:line="200" w:lineRule="exact"/>
        <w:rPr>
          <w:sz w:val="20"/>
          <w:szCs w:val="20"/>
          <w:color w:val="auto"/>
        </w:rPr>
      </w:pPr>
    </w:p>
    <w:p>
      <w:pPr>
        <w:spacing w:after="0" w:line="266"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b w:val="1"/>
          <w:bCs w:val="1"/>
          <w:color w:val="auto"/>
        </w:rPr>
        <w:t>BLOOMINGTON, Minn.—(BUSINESS WIRE) — June 2, 2022—</w:t>
      </w:r>
      <w:r>
        <w:rPr>
          <w:rFonts w:ascii="Arial" w:cs="Arial" w:eastAsia="Arial" w:hAnsi="Arial"/>
          <w:sz w:val="20"/>
          <w:szCs w:val="20"/>
          <w:color w:val="auto"/>
        </w:rPr>
        <w:t>The Toro Company (NYSE: TTC) today reported results for its</w:t>
      </w:r>
      <w:r>
        <w:rPr>
          <w:rFonts w:ascii="Arial" w:cs="Arial" w:eastAsia="Arial" w:hAnsi="Arial"/>
          <w:sz w:val="20"/>
          <w:szCs w:val="20"/>
          <w:b w:val="1"/>
          <w:bCs w:val="1"/>
          <w:color w:val="auto"/>
        </w:rPr>
        <w:t xml:space="preserve"> </w:t>
      </w:r>
      <w:r>
        <w:rPr>
          <w:rFonts w:ascii="Arial" w:cs="Arial" w:eastAsia="Arial" w:hAnsi="Arial"/>
          <w:sz w:val="20"/>
          <w:szCs w:val="20"/>
          <w:color w:val="auto"/>
        </w:rPr>
        <w:t>fiscal second-quarter ended April 29, 2022.</w:t>
      </w:r>
    </w:p>
    <w:p>
      <w:pPr>
        <w:spacing w:after="0" w:line="44"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“We delivered on our expectations for the second quarter, extending our long track record of consistent financial performance and building an increasingly strong foundation for the future,” said Richard M. Olson, chairman and chief executive officer. “Our top-line growth was driven by continued strength in demand, net price realization and our ability to produce in what remains a highly dynamic operating environment. Our organizational flexibility and resiliency helped us achieve these results, and we are well-positioned to emerge as a more efficient and agile company. Based on our operational progress, we have gained confidence heading into the remainder of the year, and as a result have increased guidance.</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“Our commitment to innovation and technology leadership is a cornerstone of our strategy,” added Olson. “Last week, we announced our next generation autonomous, battery-powered, mower for today’s busy homeowners. This robotic mower further extends our Toro® Smart Yard offerings, with easy, wire-free set-up and a patented, industry-first, vision-based navigation system. This follows the recent introduction of our new autonomous fairway mower, which leverages our proprietary GeoLink® Solutions™ technologies.</w:t>
      </w:r>
    </w:p>
    <w:p>
      <w:pPr>
        <w:spacing w:after="0" w:line="100"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"Meanwhile, our integration of the Intimidator Group is off to a great start. Beyond adding the complementary Spartan line of professional zero-turn mowers, we have an excellent opportunity to leverage our combined resources to provide unparalleled products, technologies and services to customers. Finally, we remain focused on sustainability, which is fundamental to our enterprise strategic priorities. The upcoming edition of our sustainability report will introduce goals and metrics that will help us continue to drive change in a meaningful way for all stakeholders.”</w:t>
      </w:r>
    </w:p>
    <w:p>
      <w:pPr>
        <w:sectPr>
          <w:pgSz w:w="11900" w:h="16838" w:orient="portrait"/>
          <w:cols w:equalWidth="0" w:num="1">
            <w:col w:w="11160"/>
          </w:cols>
          <w:pgMar w:left="320" w:top="1440" w:right="41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t>2 -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9" w:right="3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2022 FINANCIAL HIGHLIGHTS</w:t>
      </w:r>
    </w:p>
    <w:p>
      <w:pPr>
        <w:spacing w:after="0" w:line="13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sales of $1.25 billion, up 8.7% from $1.15 billion in the second quarter of fiscal 2021.</w:t>
      </w:r>
    </w:p>
    <w:p>
      <w:pPr>
        <w:spacing w:after="0" w:line="242" w:lineRule="exact"/>
        <w:rPr>
          <w:rFonts w:ascii="Arial" w:cs="Arial" w:eastAsia="Arial" w:hAnsi="Arial"/>
          <w:sz w:val="20"/>
          <w:szCs w:val="20"/>
          <w:b w:val="1"/>
          <w:bCs w:val="1"/>
          <w:color w:val="auto"/>
        </w:rPr>
      </w:pPr>
    </w:p>
    <w:p>
      <w:pPr>
        <w:ind w:left="660" w:right="740" w:hanging="328"/>
        <w:spacing w:after="0" w:line="271"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earnings of $131.1 million, down 7.8% from $142.2 million in the second quarter of fiscal 2021; *adjusted net earnings of $132.1 million, down 5.8% from $140.3 million in the second quarter of fiscal 2021.</w:t>
      </w:r>
    </w:p>
    <w:p>
      <w:pPr>
        <w:spacing w:after="0" w:line="182" w:lineRule="exact"/>
        <w:rPr>
          <w:rFonts w:ascii="Arial" w:cs="Arial" w:eastAsia="Arial" w:hAnsi="Arial"/>
          <w:sz w:val="20"/>
          <w:szCs w:val="20"/>
          <w:b w:val="1"/>
          <w:bCs w:val="1"/>
          <w:color w:val="auto"/>
        </w:rPr>
      </w:pPr>
    </w:p>
    <w:p>
      <w:pPr>
        <w:ind w:left="660" w:right="220" w:hanging="328"/>
        <w:spacing w:after="0" w:line="271"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Reported EPS of $1.24 per diluted share versus $1.31 per diluted share in the second quarter of fiscal 2021; *adjusted EPS of $1.25 per diluted share versus $1.29 per diluted share in the second quarter of fiscal 2021.</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YEAR-TO-DATE FISCAL 2022 FINANCIAL HIGHLIGHTS</w:t>
      </w:r>
    </w:p>
    <w:p>
      <w:pPr>
        <w:spacing w:after="0" w:line="15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sales of $2,182.1 million, up 7.9% from $2,022.1 million in the same prior-year period.</w:t>
      </w:r>
    </w:p>
    <w:p>
      <w:pPr>
        <w:spacing w:after="0" w:line="242" w:lineRule="exact"/>
        <w:rPr>
          <w:rFonts w:ascii="Arial" w:cs="Arial" w:eastAsia="Arial" w:hAnsi="Arial"/>
          <w:sz w:val="20"/>
          <w:szCs w:val="20"/>
          <w:b w:val="1"/>
          <w:bCs w:val="1"/>
          <w:color w:val="auto"/>
        </w:rPr>
      </w:pPr>
    </w:p>
    <w:p>
      <w:pPr>
        <w:ind w:left="660" w:right="140" w:hanging="328"/>
        <w:spacing w:after="0" w:line="257"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earnings of $200.6 million, down 20.8% from $253.5 million in the same prior-year period; *adjusted net earnings of $201.8 million, down 13.6% from $233.5 million in the first six months of fiscal 2021.</w:t>
      </w:r>
    </w:p>
    <w:p>
      <w:pPr>
        <w:spacing w:after="0" w:line="195" w:lineRule="exact"/>
        <w:rPr>
          <w:rFonts w:ascii="Arial" w:cs="Arial" w:eastAsia="Arial" w:hAnsi="Arial"/>
          <w:sz w:val="20"/>
          <w:szCs w:val="20"/>
          <w:b w:val="1"/>
          <w:bCs w:val="1"/>
          <w:color w:val="auto"/>
        </w:rPr>
      </w:pPr>
    </w:p>
    <w:p>
      <w:pPr>
        <w:ind w:left="660" w:right="100" w:hanging="328"/>
        <w:spacing w:after="0" w:line="271"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Reported EPS of $1.89 per diluted share versus $2.32 per diluted share in the same prior-year period; *adjusted EPS of $1.91 per diluted share versus $2.14 per diluted share in the first six months of fiscal 2021.</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37"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“Our team is sharply focused on supporting our customers, enterprise-wide operational execution, and investing for the long term,” continued Olson. “As we enter the second half of the fiscal year, demand for our innovative line-up of products remains strong. In the near-term, our ability to meet the elevated demand continues to be impacted by the global supply chain environment. Taking these factors into account, along with our operational actions and positive momentum, we are raising our full year outlook.</w:t>
      </w:r>
    </w:p>
    <w:p>
      <w:pPr>
        <w:spacing w:after="0" w:line="99"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“Importantly, we continue to bring new products to market that meet customers’ current and future needs, driven by our strategic investments in the key technology areas of alternative power, smart-connected and autonomous solutions. Helping our customers increase productivity and efficiency, address labor challenges, and support sustainability has long been a focus and serves as a key growth driver for our business. We believe this focus, coupled with our deep relationships, extensive distribution networks and disciplined execution, will enhance our leadership in our attractive and resilient end markets. We remain well-positioned to capitalize on growth opportunities and continue delivering on our commitments to all stakeholders.”</w:t>
      </w:r>
    </w:p>
    <w:p>
      <w:pPr>
        <w:spacing w:after="0" w:line="10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company is raising its full-year fiscal 2022 guidance, and now expects total net sales growth in the range of 14% to 16% and *adjusted EPS in the range of $4.00 to $4.15 per diluted share. This guidance is based on management’s current visibility in what continues to be a dynamic macro environment, and reflects expectations for ongoing strength in demand and operational execution, as well as modest accretion from the Intimidator Group acquisition.</w:t>
      </w:r>
    </w:p>
    <w:p>
      <w:pPr>
        <w:sectPr>
          <w:pgSz w:w="11900" w:h="16838" w:orient="portrait"/>
          <w:cols w:equalWidth="0" w:num="1">
            <w:col w:w="11220"/>
          </w:cols>
          <w:pgMar w:left="320" w:top="809" w:right="35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7"/>
          <w:szCs w:val="17"/>
          <w:color w:val="auto"/>
        </w:rPr>
        <w:t>3 -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2022 SEGMENT RESULTS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50" w:lineRule="exact"/>
        <w:rPr>
          <w:sz w:val="20"/>
          <w:szCs w:val="20"/>
          <w:color w:val="auto"/>
        </w:rPr>
      </w:pPr>
    </w:p>
    <w:p>
      <w:pPr>
        <w:ind w:left="660" w:right="260" w:hanging="328"/>
        <w:spacing w:after="0"/>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$925.8 million, up 11.8% compared with $828.4 million in the same period last year. The increase was driven primarily by net price realization and incremental revenue from the company’s first-quarter acquisition, partially offset by lower volume in certain key product categories due to product availability constraints.</w:t>
      </w:r>
    </w:p>
    <w:p>
      <w:pPr>
        <w:spacing w:after="0" w:line="200" w:lineRule="exact"/>
        <w:rPr>
          <w:rFonts w:ascii="Arial" w:cs="Arial" w:eastAsia="Arial" w:hAnsi="Arial"/>
          <w:sz w:val="20"/>
          <w:szCs w:val="20"/>
          <w:color w:val="auto"/>
        </w:rPr>
      </w:pPr>
    </w:p>
    <w:p>
      <w:pPr>
        <w:ind w:left="660" w:right="140" w:hanging="328"/>
        <w:spacing w:after="0"/>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earnings for the second quarter were $165.4 million, down 1.1% compared with $167.1 million in the same period last year, and when expressed as a percentage of net sales, 17.9%, down from 20.2% in the prior-year period. The decrease was largely due to higher material, freight and manufacturing costs, and the addition of the Intimidator Group at a lower initial margin than the segment average, partially offset by increased net price realization and productivity initiatives.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50" w:lineRule="exact"/>
        <w:rPr>
          <w:sz w:val="20"/>
          <w:szCs w:val="20"/>
          <w:color w:val="auto"/>
        </w:rPr>
      </w:pPr>
    </w:p>
    <w:p>
      <w:pPr>
        <w:ind w:left="660" w:right="60" w:hanging="328"/>
        <w:spacing w:after="0"/>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$319.7 million, up 1.5% compared with $315.0 million in the same period last year. The increase was primarily driven by net price realization and higher shipments of zero-turn riding mowers, partially offset by lower sales of walk-power mowers and portable-power products due to the delayed spring weather patterns across many parts of the U.S. this year.</w:t>
      </w:r>
    </w:p>
    <w:p>
      <w:pPr>
        <w:spacing w:after="0" w:line="214" w:lineRule="exact"/>
        <w:rPr>
          <w:rFonts w:ascii="Arial" w:cs="Arial" w:eastAsia="Arial" w:hAnsi="Arial"/>
          <w:sz w:val="20"/>
          <w:szCs w:val="20"/>
          <w:color w:val="auto"/>
        </w:rPr>
      </w:pPr>
    </w:p>
    <w:p>
      <w:pPr>
        <w:ind w:left="660" w:right="80" w:hanging="328"/>
        <w:spacing w:after="0"/>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earnings for the second quarter were $37.1 million, down 19.3% compared with $46.0 million in the same period last year, and when expressed as a percentage of net sales, 11.6%, down from 14.6% in the prior-year period. The decrease was largely driven by higher material, freight and manufacturing costs, partially offset by increased net price realization and productivity improvements.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50"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Gross margin for the second quarter was 32.4%, compared with 35.1% for the same prior-year period. *Adjusted gross margin for the second quarter was 32.5%, compared with 35.1% for the same prior-year period. The decreases in reported and adjusted gross margin were primarily due to higher material, freight and manufacturing costs, as well as the addition of the Intimidator Group at a lower initial gross margin than the company average, partially offset by increased net price realization and productivity improvements.</w:t>
      </w:r>
    </w:p>
    <w:p>
      <w:pPr>
        <w:spacing w:after="0" w:line="113" w:lineRule="exact"/>
        <w:rPr>
          <w:sz w:val="20"/>
          <w:szCs w:val="20"/>
          <w:color w:val="auto"/>
        </w:rPr>
      </w:pPr>
    </w:p>
    <w:p>
      <w:pPr>
        <w:ind w:right="260"/>
        <w:spacing w:after="0" w:line="248" w:lineRule="auto"/>
        <w:rPr>
          <w:sz w:val="20"/>
          <w:szCs w:val="20"/>
          <w:color w:val="auto"/>
        </w:rPr>
      </w:pPr>
      <w:r>
        <w:rPr>
          <w:rFonts w:ascii="Arial" w:cs="Arial" w:eastAsia="Arial" w:hAnsi="Arial"/>
          <w:sz w:val="20"/>
          <w:szCs w:val="20"/>
          <w:color w:val="auto"/>
        </w:rPr>
        <w:t>SG&amp;A expense as a percentage of net sales for the second quarter was 18.7% compared with 19.4% in the prior-year period. The improvement was primarily due to net sales leverage and lower incentive expense, partially offset by higher indirect marketing expenses, in the current-year period.</w:t>
      </w:r>
    </w:p>
    <w:p>
      <w:pPr>
        <w:spacing w:after="0" w:line="111" w:lineRule="exact"/>
        <w:rPr>
          <w:sz w:val="20"/>
          <w:szCs w:val="20"/>
          <w:color w:val="auto"/>
        </w:rPr>
      </w:pPr>
    </w:p>
    <w:p>
      <w:pPr>
        <w:ind w:right="320"/>
        <w:spacing w:after="0" w:line="248" w:lineRule="auto"/>
        <w:rPr>
          <w:sz w:val="20"/>
          <w:szCs w:val="20"/>
          <w:color w:val="auto"/>
        </w:rPr>
      </w:pPr>
      <w:r>
        <w:rPr>
          <w:rFonts w:ascii="Arial" w:cs="Arial" w:eastAsia="Arial" w:hAnsi="Arial"/>
          <w:sz w:val="20"/>
          <w:szCs w:val="20"/>
          <w:color w:val="auto"/>
        </w:rPr>
        <w:t>Operating earnings as a percentage of net sales were 13.7% for the second quarter, compared with 15.7% in the same prior-year period. *Adjusted operating earnings as a percentage of net sales for the second quarter were 13.8%, compared with 15.7% in the same prior-year period.</w:t>
      </w:r>
    </w:p>
    <w:p>
      <w:pPr>
        <w:spacing w:after="0" w:line="111" w:lineRule="exact"/>
        <w:rPr>
          <w:sz w:val="20"/>
          <w:szCs w:val="20"/>
          <w:color w:val="auto"/>
        </w:rPr>
      </w:pPr>
    </w:p>
    <w:p>
      <w:pPr>
        <w:ind w:right="860"/>
        <w:spacing w:after="0" w:line="271" w:lineRule="auto"/>
        <w:rPr>
          <w:sz w:val="20"/>
          <w:szCs w:val="20"/>
          <w:color w:val="auto"/>
        </w:rPr>
      </w:pPr>
      <w:r>
        <w:rPr>
          <w:rFonts w:ascii="Arial" w:cs="Arial" w:eastAsia="Arial" w:hAnsi="Arial"/>
          <w:sz w:val="20"/>
          <w:szCs w:val="20"/>
          <w:color w:val="auto"/>
        </w:rPr>
        <w:t>Interest expense was up $0.9 million for the second quarter to $8.0 million, driven by incremental borrowing to fund the company’s acquisition of the Intimidator Group in the first quarter.</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reported effective tax rate for the second quarter was 20.6%, compared with 19.8% for the same prior-year period. The reported effective tax rate increase was primarily due to lower tax benefits recorded as excess tax deductions for stock compensation. The *adjusted effective tax rate for the second quarter was 20.8%, compared with 20.9% in the second quarter of 2021.</w:t>
      </w:r>
    </w:p>
    <w:p>
      <w:pPr>
        <w:spacing w:after="0" w:line="100"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i w:val="1"/>
          <w:iCs w:val="1"/>
          <w:color w:val="auto"/>
        </w:rPr>
        <w:t>*Non-GAAP financial measure. Please see the tables provided for a reconciliation of historical non-GAAP financial measures to the most comparable GAAP measures.</w:t>
      </w:r>
    </w:p>
    <w:p>
      <w:pPr>
        <w:sectPr>
          <w:pgSz w:w="11900" w:h="16838" w:orient="portrait"/>
          <w:cols w:equalWidth="0" w:num="1">
            <w:col w:w="11240"/>
          </w:cols>
          <w:pgMar w:left="320" w:top="809"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7"/>
          <w:szCs w:val="17"/>
          <w:color w:val="auto"/>
        </w:rPr>
        <w:t>4 -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2, 2022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17" w:lineRule="exact"/>
        <w:rPr>
          <w:sz w:val="20"/>
          <w:szCs w:val="20"/>
          <w:color w:val="auto"/>
        </w:rPr>
      </w:pPr>
    </w:p>
    <w:p>
      <w:pPr>
        <w:ind w:right="240"/>
        <w:spacing w:after="0" w:line="275" w:lineRule="auto"/>
        <w:rPr>
          <w:sz w:val="20"/>
          <w:szCs w:val="20"/>
          <w:color w:val="auto"/>
        </w:rPr>
      </w:pPr>
      <w:r>
        <w:rPr>
          <w:rFonts w:ascii="Arial" w:cs="Arial" w:eastAsia="Arial" w:hAnsi="Arial"/>
          <w:sz w:val="19"/>
          <w:szCs w:val="19"/>
          <w:color w:val="auto"/>
        </w:rPr>
        <w:t xml:space="preserve">The Toro Company will conduct its earnings call and webcast for investors beginning at 10:00 a.m. CDT on June 2, 2022. The webcast will be available at </w:t>
      </w:r>
      <w:r>
        <w:rPr>
          <w:rFonts w:ascii="Arial" w:cs="Arial" w:eastAsia="Arial" w:hAnsi="Arial"/>
          <w:sz w:val="19"/>
          <w:szCs w:val="19"/>
          <w:u w:val="single" w:color="auto"/>
          <w:color w:val="auto"/>
        </w:rPr>
        <w:t>www.thetorocompany.com/invest</w:t>
      </w:r>
      <w:r>
        <w:rPr>
          <w:rFonts w:ascii="Arial" w:cs="Arial" w:eastAsia="Arial" w:hAnsi="Arial"/>
          <w:sz w:val="19"/>
          <w:szCs w:val="19"/>
          <w:color w:val="auto"/>
        </w:rPr>
        <w:t>. Webcast participants will need to complete a brief registration form and should allocate extra time before the webcast begins to register and, if necessary, install audio software.</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50" w:lineRule="exact"/>
        <w:rPr>
          <w:sz w:val="20"/>
          <w:szCs w:val="20"/>
          <w:color w:val="auto"/>
        </w:rPr>
      </w:pPr>
    </w:p>
    <w:p>
      <w:pPr>
        <w:ind w:right="80"/>
        <w:spacing w:after="0"/>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$4.0 billion in fiscal 2021,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auto"/>
        </w:rPr>
        <w: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37"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net earnings per diluted share,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3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4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ectPr>
          <w:pgSz w:w="11900" w:h="16838" w:orient="portrait"/>
          <w:cols w:equalWidth="0" w:num="1">
            <w:col w:w="11240"/>
          </w:cols>
          <w:pgMar w:left="320" w:top="809"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7"/>
          <w:szCs w:val="17"/>
          <w:color w:val="auto"/>
        </w:rPr>
        <w:t>5 -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The Toro Company cannot provide quantitative reconciliations of forward-looking non-GAAP financial measures provided herein or in its related earnings call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 From a qualitative perspective, it is anticipated that the differences between the forward-looking non-GAAP financial measures and the most directly comparable GAAP financial measure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37"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2022 financial guidance, and expectations for ongoing strength in demand and operational execution. Particular risks and uncertainties that may affect the company’s operating results or financial position include: COVID-19 related factors, risks, and challenges; adverse worldwide economic conditions, including inflationary pressures;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war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and dispositions, including the company's recent acquisition of Intimidator Group;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809"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8"/>
          <w:szCs w:val="18"/>
          <w:color w:val="auto"/>
        </w:rPr>
        <w:t>6 -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thousands, except per-share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12"/>
        </w:trPr>
        <w:tc>
          <w:tcPr>
            <w:tcW w:w="40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April 29, 2022</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April 30, 2021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April 29, 2022</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April 30, 2021</w:t>
            </w: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1,249,478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1,149,107</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2,182,128</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2,022,093</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844,109</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746,154</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1,476,283</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1,304,104</w:t>
            </w: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405,369</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402,953</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705,845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717,989</w:t>
            </w:r>
          </w:p>
        </w:tc>
      </w:tr>
      <w:tr>
        <w:trPr>
          <w:trHeight w:val="216"/>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margin</w:t>
            </w:r>
          </w:p>
        </w:tc>
        <w:tc>
          <w:tcPr>
            <w:tcW w:w="9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32.3 %</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35.5 %</w:t>
            </w:r>
          </w:p>
        </w:tc>
      </w:tr>
      <w:tr>
        <w:trPr>
          <w:trHeight w:val="216"/>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9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234,792</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222,237</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443,642</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395,808</w:t>
            </w:r>
          </w:p>
        </w:tc>
      </w:tr>
      <w:tr>
        <w:trPr>
          <w:trHeight w:val="20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960" w:type="dxa"/>
            <w:vAlign w:val="bottom"/>
          </w:tcPr>
          <w:p>
            <w:pPr>
              <w:spacing w:after="0"/>
              <w:rPr>
                <w:sz w:val="18"/>
                <w:szCs w:val="18"/>
                <w:color w:val="auto"/>
              </w:rPr>
            </w:pPr>
          </w:p>
        </w:tc>
        <w:tc>
          <w:tcPr>
            <w:tcW w:w="1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170,577</w:t>
            </w:r>
          </w:p>
        </w:tc>
        <w:tc>
          <w:tcPr>
            <w:tcW w:w="22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180,716</w:t>
            </w:r>
          </w:p>
        </w:tc>
        <w:tc>
          <w:tcPr>
            <w:tcW w:w="24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262,203</w:t>
            </w:r>
          </w:p>
        </w:tc>
        <w:tc>
          <w:tcPr>
            <w:tcW w:w="260" w:type="dxa"/>
            <w:vAlign w:val="bottom"/>
          </w:tcPr>
          <w:p>
            <w:pPr>
              <w:spacing w:after="0"/>
              <w:rPr>
                <w:sz w:val="18"/>
                <w:szCs w:val="18"/>
                <w:color w:val="auto"/>
              </w:rPr>
            </w:pP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322,181</w:t>
            </w: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(8,024)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(7,124)</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(15,037)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(14,646)</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2,503</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3,651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5,037</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5,534</w:t>
            </w:r>
          </w:p>
        </w:tc>
      </w:tr>
      <w:tr>
        <w:trPr>
          <w:trHeight w:val="20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9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165,056</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177,243</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252,203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313,069</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33,931</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35,072</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51,568</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59,617</w:t>
            </w:r>
          </w:p>
        </w:tc>
      </w:tr>
      <w:tr>
        <w:trPr>
          <w:trHeight w:val="235"/>
        </w:trPr>
        <w:tc>
          <w:tcPr>
            <w:tcW w:w="4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131,125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142,171</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200,635</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253,452</w:t>
            </w: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0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0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1.32</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1.91</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2.35</w:t>
            </w:r>
          </w:p>
        </w:tc>
      </w:tr>
      <w:tr>
        <w:trPr>
          <w:trHeight w:val="88"/>
        </w:trPr>
        <w:tc>
          <w:tcPr>
            <w:tcW w:w="4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0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1.31</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1.89</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2.32</w:t>
            </w:r>
          </w:p>
        </w:tc>
      </w:tr>
    </w:tbl>
    <w:p>
      <w:pPr>
        <w:spacing w:after="0" w:line="90" w:lineRule="exact"/>
        <w:rPr>
          <w:sz w:val="20"/>
          <w:szCs w:val="20"/>
          <w:color w:val="auto"/>
        </w:rPr>
      </w:pPr>
    </w:p>
    <w:p>
      <w:pPr>
        <w:sectPr>
          <w:pgSz w:w="11900" w:h="16838" w:orient="portrait"/>
          <w:cols w:equalWidth="0" w:num="1">
            <w:col w:w="11240"/>
          </w:cols>
          <w:pgMar w:left="320" w:top="809" w:right="339" w:bottom="1440" w:gutter="0" w:footer="0" w:header="0"/>
        </w:sectPr>
      </w:pPr>
    </w:p>
    <w:p>
      <w:pPr>
        <w:ind w:left="20" w:right="200"/>
        <w:spacing w:after="0" w:line="232" w:lineRule="auto"/>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p>
      <w:pPr>
        <w:spacing w:after="0" w:line="122" w:lineRule="exact"/>
        <w:rPr>
          <w:sz w:val="20"/>
          <w:szCs w:val="20"/>
          <w:color w:val="auto"/>
        </w:rPr>
      </w:pPr>
    </w:p>
    <w:p>
      <w:pPr>
        <w:ind w:left="20" w:right="200"/>
        <w:spacing w:after="0" w:line="232" w:lineRule="auto"/>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94"/>
              </w:rPr>
              <w:t>104,928</w:t>
            </w:r>
          </w:p>
        </w:tc>
        <w:tc>
          <w:tcPr>
            <w:tcW w:w="162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rPr>
              <w:t>107,753</w:t>
            </w:r>
          </w:p>
        </w:tc>
        <w:tc>
          <w:tcPr>
            <w:tcW w:w="168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104,982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107,937</w:t>
            </w:r>
          </w:p>
        </w:tc>
      </w:tr>
      <w:tr>
        <w:trPr>
          <w:trHeight w:val="499"/>
        </w:trPr>
        <w:tc>
          <w:tcPr>
            <w:tcW w:w="106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94"/>
              </w:rPr>
              <w:t>105,746</w:t>
            </w:r>
          </w:p>
        </w:tc>
        <w:tc>
          <w:tcPr>
            <w:tcW w:w="162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rPr>
              <w:t>108,898</w:t>
            </w:r>
          </w:p>
        </w:tc>
        <w:tc>
          <w:tcPr>
            <w:tcW w:w="168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105,894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-562610</wp:posOffset>
            </wp:positionV>
            <wp:extent cx="7132320"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-245745</wp:posOffset>
            </wp:positionV>
            <wp:extent cx="713232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809" w:right="339" w:bottom="1440" w:gutter="0" w:footer="0" w:header="0"/>
          <w:type w:val="continuous"/>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59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797"/>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11"/>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1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9"/>
              </w:rPr>
              <w:t>April 29, 2022</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9"/>
              </w:rPr>
              <w:t>April 30, 2021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April 29, 2022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April 30, 2021</w:t>
            </w: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925,810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828,358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1,598,695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1,478,581</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54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319,675</w:t>
            </w:r>
          </w:p>
        </w:tc>
        <w:tc>
          <w:tcPr>
            <w:tcW w:w="22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315,035</w:t>
            </w:r>
          </w:p>
        </w:tc>
        <w:tc>
          <w:tcPr>
            <w:tcW w:w="260" w:type="dxa"/>
            <w:vAlign w:val="bottom"/>
          </w:tcPr>
          <w:p>
            <w:pPr>
              <w:spacing w:after="0"/>
              <w:rPr>
                <w:sz w:val="18"/>
                <w:szCs w:val="18"/>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575,077</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532,735</w:t>
            </w: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3,993</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5,714</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8,356</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10,777</w:t>
            </w:r>
          </w:p>
        </w:tc>
      </w:tr>
      <w:tr>
        <w:trPr>
          <w:trHeight w:val="210"/>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1,249,478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1,149,107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2,182,128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2,022,093</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
        </w:trPr>
        <w:tc>
          <w:tcPr>
            <w:tcW w:w="38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20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245,671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255,575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440,657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447,256</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797"/>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11"/>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Earnings (Loss)</w:t>
            </w:r>
          </w:p>
        </w:tc>
        <w:tc>
          <w:tcPr>
            <w:tcW w:w="1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99"/>
              </w:rPr>
              <w:t>April 29, 2022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9"/>
              </w:rPr>
              <w:t>April 30, 2021</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April 29, 2022</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April 30, 2021</w:t>
            </w: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165,370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167,132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258,642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283,948</w:t>
            </w: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84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37,095</w:t>
            </w:r>
          </w:p>
        </w:tc>
        <w:tc>
          <w:tcPr>
            <w:tcW w:w="2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45,986</w:t>
            </w:r>
          </w:p>
        </w:tc>
        <w:tc>
          <w:tcPr>
            <w:tcW w:w="240" w:type="dxa"/>
            <w:vAlign w:val="bottom"/>
          </w:tcPr>
          <w:p>
            <w:pPr>
              <w:spacing w:after="0"/>
              <w:rPr>
                <w:sz w:val="18"/>
                <w:szCs w:val="18"/>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68,855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78,094</w:t>
            </w:r>
          </w:p>
        </w:tc>
      </w:tr>
      <w:tr>
        <w:trPr>
          <w:trHeight w:val="216"/>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(37,409)</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(35,875)</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(75,294)</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(48,973)</w:t>
            </w:r>
          </w:p>
        </w:tc>
      </w:tr>
      <w:tr>
        <w:trPr>
          <w:trHeight w:val="210"/>
        </w:trPr>
        <w:tc>
          <w:tcPr>
            <w:tcW w:w="3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segment earnings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165,056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177,243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252,203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313,069</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09" w:right="33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8"/>
          <w:szCs w:val="18"/>
          <w:color w:val="auto"/>
        </w:rPr>
        <w:t>7 -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April 29, 2022</w:t>
            </w: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April 30, 2021</w:t>
            </w: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October 31, 2021</w:t>
            </w:r>
          </w:p>
        </w:tc>
      </w:tr>
      <w:tr>
        <w:trPr>
          <w:trHeight w:val="169"/>
        </w:trPr>
        <w:tc>
          <w:tcPr>
            <w:tcW w:w="20" w:type="dxa"/>
            <w:vAlign w:val="bottom"/>
            <w:shd w:val="clear" w:color="auto" w:fill="CCEEFF"/>
          </w:tcPr>
          <w:p>
            <w:pPr>
              <w:spacing w:after="0"/>
              <w:rPr>
                <w:sz w:val="14"/>
                <w:szCs w:val="14"/>
                <w:color w:val="auto"/>
              </w:rPr>
            </w:pPr>
          </w:p>
        </w:tc>
        <w:tc>
          <w:tcPr>
            <w:tcW w:w="48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ASSETS</w:t>
            </w:r>
          </w:p>
        </w:tc>
        <w:tc>
          <w:tcPr>
            <w:tcW w:w="16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263,233</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497,635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405,612</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439,333</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391,236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310,279</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891,676</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628,811</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738,170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69,434</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41,809</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35,124</w:t>
            </w:r>
          </w:p>
        </w:tc>
      </w:tr>
      <w:tr>
        <w:trPr>
          <w:trHeight w:val="209"/>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1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1,663,676</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1,559,491</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1,489,185</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512,430</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453,548</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487,731</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581,318</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422,250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421,680</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589,608</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432,929</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420,041</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75,533</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73,774</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66,990</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30,853</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25,295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20,671</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1,908</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9,183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w:t>
            </w: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23,980</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19,639</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24,042</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3,479,306</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2,996,109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2,936,140</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4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100,000</w:t>
            </w:r>
          </w:p>
        </w:tc>
        <w:tc>
          <w:tcPr>
            <w:tcW w:w="260" w:type="dxa"/>
            <w:vAlign w:val="bottom"/>
            <w:tcBorders>
              <w:top w:val="single" w:sz="8" w:color="CCEEFF"/>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CCEEFF"/>
            </w:tcBorders>
          </w:tcPr>
          <w:p>
            <w:pPr>
              <w:jc w:val="right"/>
              <w:ind w:right="37"/>
              <w:spacing w:after="0"/>
              <w:rPr>
                <w:sz w:val="20"/>
                <w:szCs w:val="20"/>
                <w:color w:val="auto"/>
              </w:rPr>
            </w:pPr>
            <w:r>
              <w:rPr>
                <w:rFonts w:ascii="Times New Roman" w:cs="Times New Roman" w:eastAsia="Times New Roman" w:hAnsi="Times New Roman"/>
                <w:sz w:val="17"/>
                <w:szCs w:val="17"/>
                <w:color w:val="auto"/>
              </w:rPr>
              <w:t>99,959</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566,769</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421,738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503,116</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428,230</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451,585</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419,620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16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15,729</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15,622</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14,283</w:t>
            </w: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1,110,728</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988,904</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937,019</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990,970</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591,496</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691,242</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63,066</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61,314</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55,752</w:t>
            </w: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50,349</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74,440</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50,397</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40,677</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50,538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50,598</w:t>
            </w: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w:t>
            </w: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104,568</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107,043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105,206</w:t>
            </w:r>
          </w:p>
        </w:tc>
      </w:tr>
      <w:tr>
        <w:trPr>
          <w:trHeight w:val="216"/>
        </w:trPr>
        <w:tc>
          <w:tcPr>
            <w:tcW w:w="20" w:type="dxa"/>
            <w:vAlign w:val="bottom"/>
          </w:tcPr>
          <w:p>
            <w:pPr>
              <w:spacing w:after="0"/>
              <w:rPr>
                <w:sz w:val="18"/>
                <w:szCs w:val="18"/>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162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1,146,771</w:t>
            </w:r>
          </w:p>
        </w:tc>
        <w:tc>
          <w:tcPr>
            <w:tcW w:w="26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1,151,786</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1,071,922</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(27,823)</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(29,412)</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(25,996)</w:t>
            </w: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1,223,516</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1,229,417</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1,151,132</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3,479,306</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2,996,109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2,936,140</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09"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t>8 -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20"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99"/>
              </w:rPr>
              <w:t>April 29, 2022</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9"/>
              </w:rPr>
              <w:t>April 30, 2021</w:t>
            </w: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200,635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253,452</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(3,329)</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Contributions to finance affiliate, net</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5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37,318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38,045</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15,632</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11,134</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step-up adjustment to acquired inventory</w:t>
            </w:r>
          </w:p>
        </w:tc>
        <w:tc>
          <w:tcPr>
            <w:tcW w:w="15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535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cost for stock-based compensation awards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11,133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10,345</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15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313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(126,413)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(130,032)</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(122,731)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18,652</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16"/>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Accounts payable, accrued liabilities, and other liabilities</w:t>
            </w:r>
          </w:p>
        </w:tc>
        <w:tc>
          <w:tcPr>
            <w:tcW w:w="1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56,774</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122,251</w:t>
            </w:r>
          </w:p>
        </w:tc>
      </w:tr>
      <w:tr>
        <w:trPr>
          <w:trHeight w:val="209"/>
        </w:trPr>
        <w:tc>
          <w:tcPr>
            <w:tcW w:w="6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42,864</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318,619</w:t>
            </w:r>
          </w:p>
        </w:tc>
      </w:tr>
      <w:tr>
        <w:trPr>
          <w:trHeight w:val="75"/>
        </w:trPr>
        <w:tc>
          <w:tcPr>
            <w:tcW w:w="6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(35,969)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(26,198)</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Business combinations, net of cash acquired</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(403,120)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(14,874)</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acquisition, net of cash acquired</w:t>
            </w:r>
          </w:p>
        </w:tc>
        <w:tc>
          <w:tcPr>
            <w:tcW w:w="15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(26,976)</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163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6"/>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Proceeds from sale of a business</w:t>
            </w:r>
          </w:p>
        </w:tc>
        <w:tc>
          <w:tcPr>
            <w:tcW w:w="1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18,432</w:t>
            </w:r>
          </w:p>
        </w:tc>
      </w:tr>
      <w:tr>
        <w:trPr>
          <w:trHeight w:val="210"/>
        </w:trPr>
        <w:tc>
          <w:tcPr>
            <w:tcW w:w="6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(438,926)</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(49,525)</w:t>
            </w:r>
          </w:p>
        </w:tc>
      </w:tr>
      <w:tr>
        <w:trPr>
          <w:trHeight w:val="74"/>
        </w:trPr>
        <w:tc>
          <w:tcPr>
            <w:tcW w:w="6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under debt arrangements</w:t>
            </w:r>
          </w:p>
        </w:tc>
        <w:tc>
          <w:tcPr>
            <w:tcW w:w="15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600,000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under debt arrangements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5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2,247</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10,865</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1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(107,152)</w:t>
            </w:r>
          </w:p>
        </w:tc>
      </w:tr>
      <w:tr>
        <w:trPr>
          <w:trHeight w:val="216"/>
        </w:trPr>
        <w:tc>
          <w:tcPr>
            <w:tcW w:w="6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1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(62,954)</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(56,602)</w:t>
            </w:r>
          </w:p>
        </w:tc>
      </w:tr>
      <w:tr>
        <w:trPr>
          <w:trHeight w:val="210"/>
        </w:trPr>
        <w:tc>
          <w:tcPr>
            <w:tcW w:w="6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262,443</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(254,058)</w:t>
            </w:r>
          </w:p>
        </w:tc>
      </w:tr>
      <w:tr>
        <w:trPr>
          <w:trHeight w:val="88"/>
        </w:trPr>
        <w:tc>
          <w:tcPr>
            <w:tcW w:w="69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(8,760)</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2,707</w:t>
            </w:r>
          </w:p>
        </w:tc>
      </w:tr>
      <w:tr>
        <w:trPr>
          <w:trHeight w:val="88"/>
        </w:trPr>
        <w:tc>
          <w:tcPr>
            <w:tcW w:w="69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(142,379)</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17,743</w:t>
            </w:r>
          </w:p>
        </w:tc>
      </w:tr>
      <w:tr>
        <w:trPr>
          <w:trHeight w:val="209"/>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5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405,612</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479,892</w:t>
            </w:r>
          </w:p>
        </w:tc>
      </w:tr>
      <w:tr>
        <w:trPr>
          <w:trHeight w:val="21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263,233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497,635</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09"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7"/>
          <w:szCs w:val="17"/>
          <w:color w:val="auto"/>
        </w:rPr>
        <w:t>9 -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per-share data)</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and assessing liquidity because the company believes they provide meaningful supplemental information regarding the company's core operational performance and cash flows, as a measure of the company's liquidity,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and benefits not related to the company's regular, ongoing business, including, without limitation, certain non-cash, large, and/or unpredictable charges and benefits; acquisitions or dispositions; legal judgments, settlements or other matters; and tax positions.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and cash flows. These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ectPr>
          <w:pgSz w:w="11900" w:h="16838" w:orient="portrait"/>
          <w:cols w:equalWidth="0" w:num="1">
            <w:col w:w="11240"/>
          </w:cols>
          <w:pgMar w:left="320" w:top="809" w:right="339" w:bottom="1440" w:gutter="0" w:footer="0" w:header="0"/>
          <w:type w:val="continuous"/>
        </w:sectPr>
      </w:pPr>
    </w:p>
    <w:bookmarkStart w:id="13" w:name="page14"/>
    <w:bookmarkEnd w:id="13"/>
    <w:p>
      <w:pPr>
        <w:ind w:left="220"/>
        <w:spacing w:after="0"/>
        <w:rPr>
          <w:sz w:val="20"/>
          <w:szCs w:val="20"/>
          <w:color w:val="auto"/>
        </w:rPr>
      </w:pPr>
      <w:r>
        <w:rPr>
          <w:rFonts w:ascii="Arial" w:cs="Arial" w:eastAsia="Arial" w:hAnsi="Arial"/>
          <w:sz w:val="18"/>
          <w:szCs w:val="18"/>
          <w:color w:val="auto"/>
        </w:rPr>
        <w:t>10 -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17780</wp:posOffset>
            </wp:positionV>
            <wp:extent cx="6875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Performance Measures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performance measures calculated and reported in accordance with U.S. GAAP to the most directly comparable non-GAAP financial performance measures included within the accompanying press release for the three and six month periods ended April 29, 2022 and April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83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12"/>
        </w:trPr>
        <w:tc>
          <w:tcPr>
            <w:tcW w:w="3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April 29, 2022</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April 30, 2021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April 29, 2022</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April 30, 2021</w:t>
            </w:r>
          </w:p>
        </w:tc>
      </w:tr>
      <w:tr>
        <w:trPr>
          <w:trHeight w:val="20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405,369</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402,953</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705,845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717,989</w:t>
            </w:r>
          </w:p>
        </w:tc>
      </w:tr>
      <w:tr>
        <w:trPr>
          <w:trHeight w:val="216"/>
        </w:trPr>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1,024</w:t>
            </w:r>
          </w:p>
        </w:tc>
        <w:tc>
          <w:tcPr>
            <w:tcW w:w="24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1,024</w:t>
            </w:r>
          </w:p>
        </w:tc>
        <w:tc>
          <w:tcPr>
            <w:tcW w:w="240" w:type="dxa"/>
            <w:vAlign w:val="bottom"/>
          </w:tcPr>
          <w:p>
            <w:pPr>
              <w:spacing w:after="0"/>
              <w:rPr>
                <w:sz w:val="18"/>
                <w:szCs w:val="18"/>
                <w:color w:val="auto"/>
              </w:rPr>
            </w:pP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gross profit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406,393</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402,953</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706,869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717,989</w:t>
            </w:r>
          </w:p>
        </w:tc>
      </w:tr>
      <w:tr>
        <w:trPr>
          <w:trHeight w:val="88"/>
        </w:trPr>
        <w:tc>
          <w:tcPr>
            <w:tcW w:w="38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0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32.3 %</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35.5 %</w:t>
            </w:r>
          </w:p>
        </w:tc>
      </w:tr>
      <w:tr>
        <w:trPr>
          <w:trHeight w:val="216"/>
        </w:trPr>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gross margin</w:t>
            </w:r>
          </w:p>
        </w:tc>
        <w:tc>
          <w:tcPr>
            <w:tcW w:w="10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35.5 %</w:t>
            </w:r>
          </w:p>
        </w:tc>
      </w:tr>
      <w:tr>
        <w:trPr>
          <w:trHeight w:val="88"/>
        </w:trPr>
        <w:tc>
          <w:tcPr>
            <w:tcW w:w="38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170,577</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180,716</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262,203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322,181</w:t>
            </w:r>
          </w:p>
        </w:tc>
      </w:tr>
      <w:tr>
        <w:trPr>
          <w:trHeight w:val="216"/>
        </w:trPr>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1,736</w:t>
            </w:r>
          </w:p>
        </w:tc>
        <w:tc>
          <w:tcPr>
            <w:tcW w:w="24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2,752</w:t>
            </w:r>
          </w:p>
        </w:tc>
        <w:tc>
          <w:tcPr>
            <w:tcW w:w="240" w:type="dxa"/>
            <w:vAlign w:val="bottom"/>
          </w:tcPr>
          <w:p>
            <w:pPr>
              <w:spacing w:after="0"/>
              <w:rPr>
                <w:sz w:val="18"/>
                <w:szCs w:val="18"/>
                <w:color w:val="auto"/>
              </w:rPr>
            </w:pP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8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(17,075)</w:t>
            </w:r>
          </w:p>
        </w:tc>
      </w:tr>
      <w:tr>
        <w:trPr>
          <w:trHeight w:val="21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Non-GAAP operating earnings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172,313</w:t>
            </w:r>
          </w:p>
        </w:tc>
        <w:tc>
          <w:tcPr>
            <w:tcW w:w="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180,716</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264,955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305,106</w:t>
            </w:r>
          </w:p>
        </w:tc>
      </w:tr>
      <w:tr>
        <w:trPr>
          <w:trHeight w:val="88"/>
        </w:trPr>
        <w:tc>
          <w:tcPr>
            <w:tcW w:w="38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0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165,056</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177,243</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252,203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313,069</w:t>
            </w:r>
          </w:p>
        </w:tc>
      </w:tr>
      <w:tr>
        <w:trPr>
          <w:trHeight w:val="216"/>
        </w:trPr>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1,736</w:t>
            </w:r>
          </w:p>
        </w:tc>
        <w:tc>
          <w:tcPr>
            <w:tcW w:w="24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2,752</w:t>
            </w:r>
          </w:p>
        </w:tc>
        <w:tc>
          <w:tcPr>
            <w:tcW w:w="240" w:type="dxa"/>
            <w:vAlign w:val="bottom"/>
          </w:tcPr>
          <w:p>
            <w:pPr>
              <w:spacing w:after="0"/>
              <w:rPr>
                <w:sz w:val="18"/>
                <w:szCs w:val="18"/>
                <w:color w:val="auto"/>
              </w:rPr>
            </w:pP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8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(17,075)</w:t>
            </w:r>
          </w:p>
        </w:tc>
      </w:tr>
      <w:tr>
        <w:trPr>
          <w:trHeight w:val="21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Non-GAAP earnings before income taxes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166,792</w:t>
            </w:r>
          </w:p>
        </w:tc>
        <w:tc>
          <w:tcPr>
            <w:tcW w:w="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177,243</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254,955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295,994</w:t>
            </w:r>
          </w:p>
        </w:tc>
      </w:tr>
      <w:tr>
        <w:trPr>
          <w:trHeight w:val="88"/>
        </w:trPr>
        <w:tc>
          <w:tcPr>
            <w:tcW w:w="38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131,125</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142,171</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200,635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253,452</w:t>
            </w:r>
          </w:p>
        </w:tc>
      </w:tr>
      <w:tr>
        <w:trPr>
          <w:trHeight w:val="216"/>
        </w:trPr>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1,375</w:t>
            </w:r>
          </w:p>
        </w:tc>
        <w:tc>
          <w:tcPr>
            <w:tcW w:w="24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2,179</w:t>
            </w:r>
          </w:p>
        </w:tc>
        <w:tc>
          <w:tcPr>
            <w:tcW w:w="240" w:type="dxa"/>
            <w:vAlign w:val="bottom"/>
          </w:tcPr>
          <w:p>
            <w:pPr>
              <w:spacing w:after="0"/>
              <w:rPr>
                <w:sz w:val="18"/>
                <w:szCs w:val="18"/>
                <w:color w:val="auto"/>
              </w:rPr>
            </w:pP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8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(17)</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(13,472)</w:t>
            </w:r>
          </w:p>
        </w:tc>
      </w:tr>
      <w:tr>
        <w:trPr>
          <w:trHeight w:val="216"/>
        </w:trPr>
        <w:tc>
          <w:tcPr>
            <w:tcW w:w="38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(367)</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(1,871)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(987)</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(6,449)</w:t>
            </w:r>
          </w:p>
        </w:tc>
      </w:tr>
      <w:tr>
        <w:trPr>
          <w:trHeight w:val="21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earnings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132,133</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140,283</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201,827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233,531</w:t>
            </w:r>
          </w:p>
        </w:tc>
      </w:tr>
      <w:tr>
        <w:trPr>
          <w:trHeight w:val="88"/>
        </w:trPr>
        <w:tc>
          <w:tcPr>
            <w:tcW w:w="38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 per diluted share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1.24</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1.31</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2.32</w:t>
            </w:r>
          </w:p>
        </w:tc>
      </w:tr>
      <w:tr>
        <w:trPr>
          <w:trHeight w:val="216"/>
        </w:trPr>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0.03</w:t>
            </w:r>
          </w:p>
        </w:tc>
        <w:tc>
          <w:tcPr>
            <w:tcW w:w="240" w:type="dxa"/>
            <w:vAlign w:val="bottom"/>
          </w:tcPr>
          <w:p>
            <w:pPr>
              <w:spacing w:after="0"/>
              <w:rPr>
                <w:sz w:val="18"/>
                <w:szCs w:val="18"/>
                <w:color w:val="auto"/>
              </w:rPr>
            </w:pP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8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(0.13)</w:t>
            </w:r>
          </w:p>
        </w:tc>
      </w:tr>
      <w:tr>
        <w:trPr>
          <w:trHeight w:val="216"/>
        </w:trPr>
        <w:tc>
          <w:tcPr>
            <w:tcW w:w="38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(0.02)</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(0.05)</w:t>
            </w:r>
          </w:p>
        </w:tc>
      </w:tr>
      <w:tr>
        <w:trPr>
          <w:trHeight w:val="235"/>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earnings per diluted share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1.25</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1.29</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2.14</w:t>
            </w: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38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20.6 %</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20.4 %</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19.0 %</w:t>
            </w:r>
          </w:p>
        </w:tc>
      </w:tr>
      <w:tr>
        <w:trPr>
          <w:trHeight w:val="216"/>
        </w:trPr>
        <w:tc>
          <w:tcPr>
            <w:tcW w:w="38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35"/>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effective tax rate</w:t>
            </w:r>
          </w:p>
        </w:tc>
        <w:tc>
          <w:tcPr>
            <w:tcW w:w="10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20.8 %</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20.9 %</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20.8 %</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21.1 %</w:t>
            </w: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17" w:right="339" w:bottom="1440" w:gutter="0" w:footer="0" w:header="0"/>
        </w:sectPr>
      </w:pPr>
    </w:p>
    <w:bookmarkStart w:id="14" w:name="page15"/>
    <w:bookmarkEnd w:id="14"/>
    <w:p>
      <w:pPr>
        <w:ind w:left="140"/>
        <w:spacing w:after="0"/>
        <w:rPr>
          <w:sz w:val="20"/>
          <w:szCs w:val="20"/>
          <w:color w:val="auto"/>
        </w:rPr>
      </w:pPr>
      <w:r>
        <w:rPr>
          <w:rFonts w:ascii="Arial" w:cs="Arial" w:eastAsia="Arial" w:hAnsi="Arial"/>
          <w:sz w:val="18"/>
          <w:szCs w:val="18"/>
          <w:color w:val="auto"/>
        </w:rPr>
        <w:t>11 - The Toro Company Reports Solid Second-Quarter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17780</wp:posOffset>
            </wp:positionV>
            <wp:extent cx="6875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both"/>
        <w:ind w:left="260" w:right="160" w:hanging="171"/>
        <w:spacing w:after="0" w:line="231" w:lineRule="auto"/>
        <w:tabs>
          <w:tab w:leader="none" w:pos="32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January 13, 2022, the company completed the acquisition of Intimidator. Acquisition-related costs for the three month period ended April 29, 2022 represent integration costs incurred for our acquisition of Intimidator. Acquisition-related costs for the six month period ended April 29, 2022 represent transaction and integration costs incurred for our acquisition of Intimidator. No acquisition-related costs were incurred during the three and six month periods ended April 30, 2021.</w:t>
      </w:r>
    </w:p>
    <w:p>
      <w:pPr>
        <w:spacing w:after="0" w:line="102" w:lineRule="exact"/>
        <w:rPr>
          <w:sz w:val="20"/>
          <w:szCs w:val="20"/>
          <w:color w:val="auto"/>
        </w:rPr>
      </w:pPr>
    </w:p>
    <w:p>
      <w:pPr>
        <w:jc w:val="both"/>
        <w:ind w:left="260" w:right="160" w:hanging="171"/>
        <w:spacing w:after="0" w:line="246" w:lineRule="auto"/>
        <w:tabs>
          <w:tab w:leader="none" w:pos="31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Consolidated Statements of Earnings during the first quarter of fiscal 2021 (i) the gain associated with the Infringement Action and</w:t>
      </w:r>
    </w:p>
    <w:p>
      <w:pPr>
        <w:spacing w:after="0" w:line="2" w:lineRule="exact"/>
        <w:rPr>
          <w:rFonts w:ascii="Times New Roman" w:cs="Times New Roman" w:eastAsia="Times New Roman" w:hAnsi="Times New Roman"/>
          <w:sz w:val="21"/>
          <w:szCs w:val="21"/>
          <w:color w:val="auto"/>
          <w:vertAlign w:val="superscript"/>
        </w:rPr>
      </w:pPr>
    </w:p>
    <w:p>
      <w:pPr>
        <w:jc w:val="both"/>
        <w:ind w:left="260" w:right="160" w:hanging="9"/>
        <w:spacing w:after="0" w:line="259" w:lineRule="auto"/>
        <w:tabs>
          <w:tab w:leader="none" w:pos="517"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corresponding expense related to the contingent fee arrangement with the company's external legal counsel customary in patent infringement cases equal to approximately 50 percent of the Settlement Amount. Accordingly, litigation settlement, net represents the net amount recorded within selling, general and administrative expense in the Condensed Consolidated Statements of Earnings for the settlement of the Infringement Action during the six month period ended April 30, 2021. No amounts were recorded for litigation settlement, net during the three month period ended April 30, 2021 or the three and six month periods ended April 29, 2022.</w:t>
      </w:r>
    </w:p>
    <w:p>
      <w:pPr>
        <w:spacing w:after="0" w:line="268" w:lineRule="exact"/>
        <w:rPr>
          <w:sz w:val="20"/>
          <w:szCs w:val="20"/>
          <w:color w:val="auto"/>
        </w:rPr>
      </w:pPr>
    </w:p>
    <w:p>
      <w:pPr>
        <w:jc w:val="both"/>
        <w:ind w:left="260" w:right="160" w:hanging="171"/>
        <w:spacing w:after="0" w:line="239" w:lineRule="auto"/>
        <w:tabs>
          <w:tab w:leader="none" w:pos="28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April 29, 2022 and April 30,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non-GAAP free cash flow as net cash provided by operating activities less purchases of property, plant and equipment. Non-GAAP free cash flow conversion percentage represents non-GAAP free cash flow as a percentage of net earnings. The company considers non-GAAP free cash flow and non-GAAP free cash flow conversion percentage to be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net cash provided by operating activities, the most directly comparable GAAP financial measure, to non-GAAP free cash flow for the six month periods ended April 29, 2022 and April 30, 2021:</w:t>
      </w:r>
    </w:p>
    <w:p>
      <w:pPr>
        <w:spacing w:after="0" w:line="11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April 29, 2022</w:t>
            </w: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April 30, 2021</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42,864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318,619</w:t>
            </w:r>
          </w:p>
        </w:tc>
      </w:tr>
      <w:tr>
        <w:trPr>
          <w:trHeight w:val="216"/>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w:t>
            </w:r>
          </w:p>
        </w:tc>
        <w:tc>
          <w:tcPr>
            <w:tcW w:w="2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35,969</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26,198</w:t>
            </w:r>
          </w:p>
        </w:tc>
      </w:tr>
      <w:tr>
        <w:trPr>
          <w:trHeight w:val="210"/>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Non-GAAP free cash flow</w:t>
            </w:r>
          </w:p>
        </w:tc>
        <w:tc>
          <w:tcPr>
            <w:tcW w:w="2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6,895</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292,421</w:t>
            </w:r>
          </w:p>
        </w:tc>
      </w:tr>
      <w:tr>
        <w:trPr>
          <w:trHeight w:val="216"/>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200,635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253,452</w:t>
            </w:r>
          </w:p>
        </w:tc>
      </w:tr>
      <w:tr>
        <w:trPr>
          <w:trHeight w:val="235"/>
        </w:trPr>
        <w:tc>
          <w:tcPr>
            <w:tcW w:w="5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Non-GAAP free cash flow conversion percentage</w:t>
            </w:r>
          </w:p>
        </w:tc>
        <w:tc>
          <w:tcPr>
            <w:tcW w:w="2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115.4 %</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sectPr>
      <w:pgSz w:w="11900" w:h="16838" w:orient="portrait"/>
      <w:cols w:equalWidth="0" w:num="1">
        <w:col w:w="11240"/>
      </w:cols>
      <w:pgMar w:left="320" w:top="9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52"/>
    </w:lvl>
  </w:abstractNum>
  <w:abstractNum w:abstractNumId="2">
    <w:nsid w:val="41B71EFB"/>
    <w:multiLevelType w:val="hybridMultilevel"/>
    <w:lvl w:ilvl="0">
      <w:lvlJc w:val="left"/>
      <w:lvlText w:val="(%1)"/>
      <w:numFmt w:val="decimal"/>
      <w:start w:val="95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lvl w:ilvl="1">
      <w:lvlJc w:val="left"/>
      <w:lvlText w:val="(%2)"/>
      <w:numFmt w:val="lowerRoman"/>
      <w:start w:val="2"/>
    </w:lvl>
  </w:abstractNum>
  <w:abstractNum w:abstractNumId="10">
    <w:nsid w:val="1F16E9E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2022-06-02T07:53:58Z</dcterms:created>
  <dcterms:modified xsi:type="dcterms:W3CDTF">2022-06-02T07:53:58Z</dcterms:modified>
</cp:coreProperties>
</file>