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29, 2008</w:t>
      </w:r>
    </w:p>
    <w:p>
      <w:pPr>
        <w:spacing w:after="0" w:line="200" w:lineRule="exact"/>
        <w:rPr>
          <w:sz w:val="24"/>
          <w:szCs w:val="24"/>
          <w:color w:val="auto"/>
        </w:rPr>
      </w:pPr>
    </w:p>
    <w:p>
      <w:pPr>
        <w:spacing w:after="0" w:line="2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THE TORO COMPANY</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1" w:lineRule="exact"/>
        <w:rPr>
          <w:sz w:val="24"/>
          <w:szCs w:val="24"/>
          <w:color w:val="auto"/>
        </w:rPr>
      </w:pPr>
    </w:p>
    <w:p>
      <w:pPr>
        <w:ind w:left="1540"/>
        <w:spacing w:after="0"/>
        <w:tabs>
          <w:tab w:leader="none" w:pos="5440" w:val="left"/>
          <w:tab w:leader="none" w:pos="90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1-8649</w:t>
      </w:r>
      <w:r>
        <w:rPr>
          <w:sz w:val="20"/>
          <w:szCs w:val="20"/>
          <w:color w:val="auto"/>
        </w:rPr>
        <w:tab/>
      </w:r>
      <w:r>
        <w:rPr>
          <w:rFonts w:ascii="Times New Roman" w:cs="Times New Roman" w:eastAsia="Times New Roman" w:hAnsi="Times New Roman"/>
          <w:sz w:val="18"/>
          <w:szCs w:val="18"/>
          <w:b w:val="1"/>
          <w:bCs w:val="1"/>
          <w:color w:val="auto"/>
        </w:rPr>
        <w:t>41-0580470</w:t>
      </w:r>
    </w:p>
    <w:p>
      <w:pPr>
        <w:spacing w:after="0" w:line="31" w:lineRule="exact"/>
        <w:rPr>
          <w:sz w:val="24"/>
          <w:szCs w:val="24"/>
          <w:color w:val="auto"/>
        </w:rPr>
      </w:pPr>
    </w:p>
    <w:p>
      <w:pPr>
        <w:ind w:left="1060"/>
        <w:spacing w:after="0"/>
        <w:tabs>
          <w:tab w:leader="none" w:pos="4700" w:val="left"/>
          <w:tab w:leader="none" w:pos="8020" w:val="left"/>
        </w:tabs>
        <w:rPr>
          <w:sz w:val="20"/>
          <w:szCs w:val="20"/>
          <w:color w:val="auto"/>
        </w:rPr>
      </w:pPr>
      <w:r>
        <w:rPr>
          <w:rFonts w:ascii="Times New Roman" w:cs="Times New Roman" w:eastAsia="Times New Roman" w:hAnsi="Times New Roman"/>
          <w:sz w:val="18"/>
          <w:szCs w:val="18"/>
          <w:color w:val="auto"/>
        </w:rPr>
        <w:t>(State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Number)</w:t>
      </w:r>
    </w:p>
    <w:p>
      <w:pPr>
        <w:sectPr>
          <w:pgSz w:w="11900" w:h="16838" w:orient="portrait"/>
          <w:cols w:equalWidth="0" w:num="1">
            <w:col w:w="11400"/>
          </w:cols>
          <w:pgMar w:left="240" w:top="540" w:right="259" w:bottom="1440" w:gutter="0" w:footer="0" w:header="0"/>
        </w:sectPr>
      </w:pPr>
    </w:p>
    <w:p>
      <w:pPr>
        <w:spacing w:after="0" w:line="200" w:lineRule="exact"/>
        <w:rPr>
          <w:sz w:val="24"/>
          <w:szCs w:val="24"/>
          <w:color w:val="auto"/>
        </w:rPr>
      </w:pPr>
    </w:p>
    <w:p>
      <w:pPr>
        <w:spacing w:after="0" w:line="273"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8111 Lyndale Avenue South</w:t>
      </w:r>
    </w:p>
    <w:p>
      <w:pPr>
        <w:spacing w:after="0" w:line="31"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Bloomington, Minnesota</w:t>
      </w:r>
    </w:p>
    <w:p>
      <w:pPr>
        <w:spacing w:after="0" w:line="9"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6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b w:val="1"/>
          <w:bCs w:val="1"/>
          <w:color w:val="auto"/>
        </w:rPr>
        <w:t>55420</w:t>
      </w:r>
    </w:p>
    <w:p>
      <w:pPr>
        <w:spacing w:after="0" w:line="31" w:lineRule="exact"/>
        <w:rPr>
          <w:sz w:val="24"/>
          <w:szCs w:val="24"/>
          <w:color w:val="auto"/>
        </w:rPr>
      </w:pPr>
    </w:p>
    <w:p>
      <w:pPr>
        <w:jc w:val="center"/>
        <w:ind w:right="1340"/>
        <w:spacing w:after="0"/>
        <w:rPr>
          <w:sz w:val="20"/>
          <w:szCs w:val="20"/>
          <w:color w:val="auto"/>
        </w:rPr>
      </w:pPr>
      <w:r>
        <w:rPr>
          <w:rFonts w:ascii="Times New Roman" w:cs="Times New Roman" w:eastAsia="Times New Roman" w:hAnsi="Times New Roman"/>
          <w:sz w:val="18"/>
          <w:szCs w:val="18"/>
          <w:color w:val="auto"/>
        </w:rPr>
        <w:t>(Zip Code)</w:t>
      </w: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(952) 888-8801</w:t>
      </w:r>
    </w:p>
    <w:p>
      <w:pPr>
        <w:spacing w:after="0" w:line="204" w:lineRule="exact"/>
        <w:rPr>
          <w:sz w:val="24"/>
          <w:szCs w:val="24"/>
          <w:color w:val="auto"/>
        </w:rPr>
      </w:pPr>
    </w:p>
    <w:p>
      <w:pPr>
        <w:sectPr>
          <w:pgSz w:w="11900" w:h="16838" w:orient="portrait"/>
          <w:cols w:equalWidth="0" w:num="2">
            <w:col w:w="6980" w:space="80"/>
            <w:col w:w="4340"/>
          </w:cols>
          <w:pgMar w:left="240" w:top="540" w:right="259" w:bottom="1440" w:gutter="0" w:footer="0" w:header="0"/>
          <w:type w:val="continuous"/>
        </w:sectPr>
      </w:pPr>
    </w:p>
    <w:p>
      <w:pPr>
        <w:spacing w:after="0" w:line="2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-7620</wp:posOffset>
            </wp:positionV>
            <wp:extent cx="2066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52"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92710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Registrant’s Business and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00" w:lineRule="exact"/>
        <w:rPr>
          <w:sz w:val="20"/>
          <w:szCs w:val="20"/>
          <w:color w:val="auto"/>
        </w:rPr>
      </w:pPr>
    </w:p>
    <w:p>
      <w:pPr>
        <w:spacing w:after="0" w:line="299" w:lineRule="exact"/>
        <w:rPr>
          <w:sz w:val="20"/>
          <w:szCs w:val="20"/>
          <w:color w:val="auto"/>
        </w:rPr>
      </w:pPr>
    </w:p>
    <w:p>
      <w:pPr>
        <w:ind w:left="820"/>
        <w:spacing w:after="0" w:line="272" w:lineRule="auto"/>
        <w:rPr>
          <w:sz w:val="20"/>
          <w:szCs w:val="20"/>
          <w:color w:val="auto"/>
        </w:rPr>
      </w:pPr>
      <w:r>
        <w:rPr>
          <w:rFonts w:ascii="Times New Roman" w:cs="Times New Roman" w:eastAsia="Times New Roman" w:hAnsi="Times New Roman"/>
          <w:sz w:val="17"/>
          <w:szCs w:val="17"/>
          <w:color w:val="auto"/>
        </w:rPr>
        <w:t>On February 29, 2008, The Toro Company (“Toro”), and each of Toro Credit Company, Toro Manufacturing LLC, Exmark Manufacturing Company Incorporated, Toro International Company, Tover Overseas B.V., and Toro Factoring Company Limited, each of which is a subsidiary of Toro (collectively, with Toro, the “Borrowers”), executed and delivered Amendment No.4 to Credit Agreement (the “Amendment”), with certain lenders from time to time party thereto (the “Lenders”), and Bank of America, N.A., as Administrative Agent, Swing Line Lender, and L/C Issuer (the “Agent”). The Amendment amends that certain Credit Agreement, dated as of September 8, 2004 (the “Original Credit Agreement” and, as amended to date, the “Credit Agreement”), which was previously amended by Amendment No.1 to Credit Agreement, dated as of October 25, 2005, Amendment No.2 to Credit Agreement, dated as of January 10, 2007, and Amendment No. 3 to Credit Agreement, effective as of February 28, 2007. A copy of the Original Credit Agreement was attached as an exhibit to Toro’s Current Report on Form 8-K filed on September 9, 2004.</w:t>
      </w:r>
    </w:p>
    <w:p>
      <w:pPr>
        <w:spacing w:after="0" w:line="199" w:lineRule="exact"/>
        <w:rPr>
          <w:sz w:val="20"/>
          <w:szCs w:val="20"/>
          <w:color w:val="auto"/>
        </w:rPr>
      </w:pPr>
    </w:p>
    <w:p>
      <w:pPr>
        <w:ind w:left="820" w:right="100"/>
        <w:spacing w:after="0" w:line="281" w:lineRule="auto"/>
        <w:rPr>
          <w:sz w:val="20"/>
          <w:szCs w:val="20"/>
          <w:color w:val="auto"/>
        </w:rPr>
      </w:pPr>
      <w:r>
        <w:rPr>
          <w:rFonts w:ascii="Times New Roman" w:cs="Times New Roman" w:eastAsia="Times New Roman" w:hAnsi="Times New Roman"/>
          <w:sz w:val="17"/>
          <w:szCs w:val="17"/>
          <w:color w:val="auto"/>
        </w:rPr>
        <w:t>The Amendment (i) increases the covenant limit for the purchase price of an individual acquisition from $100 million to $200 million, (ii) increases the covenant limit for the aggregate purchase price of all acquisitions from $200 million to $400 million, and (iii) clarifies that earnouts and contingent liabilities are excluded when determining the purchase price of an acquisition. This description of the Amendment is qualified in its entirety by reference to the full text of the Amendment, a copy of which is filed as Exhibit 10.1 to this Current Report on Form 8-K.</w:t>
      </w:r>
    </w:p>
    <w:p>
      <w:pPr>
        <w:spacing w:after="0" w:line="192" w:lineRule="exact"/>
        <w:rPr>
          <w:sz w:val="20"/>
          <w:szCs w:val="20"/>
          <w:color w:val="auto"/>
        </w:rPr>
      </w:pPr>
    </w:p>
    <w:p>
      <w:pPr>
        <w:ind w:left="820" w:right="80"/>
        <w:spacing w:after="0" w:line="282" w:lineRule="auto"/>
        <w:rPr>
          <w:sz w:val="20"/>
          <w:szCs w:val="20"/>
          <w:color w:val="auto"/>
        </w:rPr>
      </w:pPr>
      <w:r>
        <w:rPr>
          <w:rFonts w:ascii="Times New Roman" w:cs="Times New Roman" w:eastAsia="Times New Roman" w:hAnsi="Times New Roman"/>
          <w:sz w:val="18"/>
          <w:szCs w:val="18"/>
          <w:color w:val="auto"/>
        </w:rPr>
        <w:t>Also on February 29, 2008, pursuant to Section 2.14 of the Credit Agreement, the aggregate loan commitments available to Toro under the Credit Agreement were increased from $175 million to $225 million.</w:t>
      </w:r>
    </w:p>
    <w:p>
      <w:pPr>
        <w:spacing w:after="0" w:line="189" w:lineRule="exact"/>
        <w:rPr>
          <w:sz w:val="20"/>
          <w:szCs w:val="20"/>
          <w:color w:val="auto"/>
        </w:rPr>
      </w:pPr>
    </w:p>
    <w:p>
      <w:pPr>
        <w:ind w:left="820" w:right="100"/>
        <w:spacing w:after="0" w:line="255" w:lineRule="auto"/>
        <w:rPr>
          <w:sz w:val="20"/>
          <w:szCs w:val="20"/>
          <w:color w:val="auto"/>
        </w:rPr>
      </w:pPr>
      <w:r>
        <w:rPr>
          <w:rFonts w:ascii="Times New Roman" w:cs="Times New Roman" w:eastAsia="Times New Roman" w:hAnsi="Times New Roman"/>
          <w:sz w:val="18"/>
          <w:szCs w:val="18"/>
          <w:color w:val="auto"/>
        </w:rPr>
        <w:t>Bank of America, N.A. and its affiliates, including Banc of America Securities LLC, have in the past performed, and may in the future from time to time perform, investment banking, financial advisory, lending and/or commercial banking services for Toro and its subsidiaries in arm’s length transactions, on terms customarily available to unrelated third-parties and for which services it has in the past received, and may in the future receive, customary compensation and reimbursement of expenses. Additionally, certain other Lenders and their affiliates have in the past performed, and may in the future from time to time perform, financial services for Toro and its subsidiaries in arm’s length transactions, on terms customarily available to unrelated third-parties and for which services such Lenders have in the past received, and may in the future receive, customary compensation and reimbursement of expenses.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ind w:left="620" w:hanging="612"/>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8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1"/>
                <w:szCs w:val="21"/>
                <w:color w:val="auto"/>
              </w:rPr>
            </w:pPr>
          </w:p>
        </w:tc>
        <w:tc>
          <w:tcPr>
            <w:tcW w:w="99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w w:val="99"/>
              </w:rPr>
              <w:t>Amendment No.4 to Credit Agreement, dated February 29, 2008, by and among The Toro Company, Toro Credit Company, Toro</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Manufacturing LLC, Exmark Manufacturing Company Incorporated, Toro International Company, Tover Overseas B.V., and</w:t>
            </w:r>
          </w:p>
        </w:tc>
      </w:tr>
      <w:tr>
        <w:trPr>
          <w:trHeight w:val="216"/>
        </w:trPr>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9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Toro Factoring Company Limited, each as a Borrower, each lender from time to time party thereto, and Bank of America, N.A.,</w:t>
            </w:r>
          </w:p>
        </w:tc>
      </w:t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9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as Administrative Agent, Swing Line Lender, and L/C Issuer.</w:t>
            </w:r>
          </w:p>
        </w:tc>
      </w:tr>
    </w:tbl>
    <w:p>
      <w:pPr>
        <w:sectPr>
          <w:pgSz w:w="11900" w:h="16838" w:orient="portrait"/>
          <w:cols w:equalWidth="0" w:num="1">
            <w:col w:w="11380"/>
          </w:cols>
          <w:pgMar w:left="240" w:top="360" w:right="279"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THE TORO COMPANY</w:t>
            </w:r>
          </w:p>
        </w:tc>
      </w:tr>
      <w:tr>
        <w:trPr>
          <w:trHeight w:val="234"/>
        </w:trPr>
        <w:tc>
          <w:tcPr>
            <w:tcW w:w="4800" w:type="dxa"/>
            <w:vAlign w:val="bottom"/>
          </w:tcPr>
          <w:p>
            <w:pPr>
              <w:spacing w:after="0"/>
              <w:rPr>
                <w:sz w:val="20"/>
                <w:szCs w:val="20"/>
                <w:color w:val="auto"/>
              </w:rPr>
            </w:pPr>
          </w:p>
        </w:tc>
        <w:tc>
          <w:tcPr>
            <w:tcW w:w="33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(Registrant)</w:t>
            </w:r>
          </w:p>
        </w:tc>
      </w:tr>
      <w:tr>
        <w:trPr>
          <w:trHeight w:val="392"/>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Date: March 4, 2008</w:t>
            </w:r>
          </w:p>
        </w:tc>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Timothy P.</w:t>
            </w:r>
          </w:p>
        </w:tc>
      </w:tr>
      <w:tr>
        <w:trPr>
          <w:trHeight w:val="20"/>
        </w:trPr>
        <w:tc>
          <w:tcPr>
            <w:tcW w:w="4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4800" w:type="dxa"/>
            <w:vAlign w:val="bottom"/>
          </w:tcPr>
          <w:p>
            <w:pPr>
              <w:spacing w:after="0"/>
              <w:rPr>
                <w:sz w:val="17"/>
                <w:szCs w:val="17"/>
                <w:color w:val="auto"/>
              </w:rPr>
            </w:pPr>
          </w:p>
        </w:tc>
        <w:tc>
          <w:tcPr>
            <w:tcW w:w="5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8"/>
              </w:rPr>
              <w:t>Dordell</w:t>
            </w:r>
          </w:p>
        </w:tc>
        <w:tc>
          <w:tcPr>
            <w:tcW w:w="2820" w:type="dxa"/>
            <w:vAlign w:val="bottom"/>
            <w:gridSpan w:val="2"/>
          </w:tcPr>
          <w:p>
            <w:pPr>
              <w:spacing w:after="0"/>
              <w:rPr>
                <w:sz w:val="17"/>
                <w:szCs w:val="17"/>
                <w:color w:val="auto"/>
              </w:rPr>
            </w:pPr>
          </w:p>
        </w:tc>
      </w:tr>
      <w:tr>
        <w:trPr>
          <w:trHeight w:val="218"/>
        </w:trPr>
        <w:tc>
          <w:tcPr>
            <w:tcW w:w="4800" w:type="dxa"/>
            <w:vAlign w:val="bottom"/>
          </w:tcPr>
          <w:p>
            <w:pPr>
              <w:spacing w:after="0"/>
              <w:rPr>
                <w:sz w:val="18"/>
                <w:szCs w:val="18"/>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Timothy P. Dordell</w:t>
            </w:r>
          </w:p>
        </w:tc>
      </w:tr>
      <w:tr>
        <w:trPr>
          <w:trHeight w:val="234"/>
        </w:trPr>
        <w:tc>
          <w:tcPr>
            <w:tcW w:w="4800" w:type="dxa"/>
            <w:vAlign w:val="bottom"/>
          </w:tcPr>
          <w:p>
            <w:pPr>
              <w:spacing w:after="0"/>
              <w:rPr>
                <w:sz w:val="20"/>
                <w:szCs w:val="20"/>
                <w:color w:val="auto"/>
              </w:rPr>
            </w:pPr>
          </w:p>
        </w:tc>
        <w:tc>
          <w:tcPr>
            <w:tcW w:w="33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Vice President, Secretary and General Counsel</w:t>
            </w:r>
          </w:p>
        </w:tc>
      </w:tr>
    </w:tbl>
    <w:p>
      <w:pPr>
        <w:sectPr>
          <w:pgSz w:w="11900" w:h="16838" w:orient="portrait"/>
          <w:cols w:equalWidth="0" w:num="1">
            <w:col w:w="11280"/>
          </w:cols>
          <w:pgMar w:left="240" w:top="509" w:right="3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700" w:type="dxa"/>
            <w:vAlign w:val="bottom"/>
          </w:tcPr>
          <w:p>
            <w:pPr>
              <w:ind w:left="13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9"/>
        </w:trPr>
        <w:tc>
          <w:tcPr>
            <w:tcW w:w="1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w:t>
            </w:r>
          </w:p>
        </w:tc>
        <w:tc>
          <w:tcPr>
            <w:tcW w:w="900" w:type="dxa"/>
            <w:vAlign w:val="bottom"/>
          </w:tcPr>
          <w:p>
            <w:pPr>
              <w:spacing w:after="0"/>
              <w:rPr>
                <w:sz w:val="24"/>
                <w:szCs w:val="24"/>
                <w:color w:val="auto"/>
              </w:rPr>
            </w:pPr>
          </w:p>
        </w:tc>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196"/>
        </w:trPr>
        <w:tc>
          <w:tcPr>
            <w:tcW w:w="1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NUMBER</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700" w:type="dxa"/>
            <w:vAlign w:val="bottom"/>
          </w:tcPr>
          <w:p>
            <w:pPr>
              <w:spacing w:after="0"/>
              <w:rPr>
                <w:sz w:val="17"/>
                <w:szCs w:val="17"/>
                <w:color w:val="auto"/>
              </w:rPr>
            </w:pPr>
          </w:p>
        </w:tc>
      </w:tr>
      <w:tr>
        <w:trPr>
          <w:trHeight w:val="218"/>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9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w w:val="99"/>
              </w:rPr>
              <w:t>Amendment No.4 to Credit Agreement, dated February 29, 2008, by and among The Toro Company, Toro Credit Company,</w:t>
            </w:r>
          </w:p>
        </w:tc>
      </w:t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Toro Manufacturing LLC, Exmark Manufacturing Company Incorporated, Toro International Company, Tover Overseas</w:t>
            </w:r>
          </w:p>
        </w:tc>
      </w:tr>
      <w:tr>
        <w:trPr>
          <w:trHeight w:val="216"/>
        </w:trPr>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B.V., and Toro Factoring Company Limited, each as a Borrower, each lender from time to time party thereto, and Bank of</w:t>
            </w:r>
          </w:p>
        </w:tc>
      </w:tr>
      <w:tr>
        <w:trPr>
          <w:trHeight w:val="234"/>
        </w:trPr>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760" w:type="dxa"/>
            <w:vAlign w:val="bottom"/>
            <w:gridSpan w:val="3"/>
          </w:tcPr>
          <w:p>
            <w:pPr>
              <w:ind w:left="860"/>
              <w:spacing w:after="0"/>
              <w:rPr>
                <w:sz w:val="20"/>
                <w:szCs w:val="20"/>
                <w:color w:val="auto"/>
              </w:rPr>
            </w:pPr>
            <w:r>
              <w:rPr>
                <w:rFonts w:ascii="Times New Roman" w:cs="Times New Roman" w:eastAsia="Times New Roman" w:hAnsi="Times New Roman"/>
                <w:sz w:val="18"/>
                <w:szCs w:val="18"/>
                <w:color w:val="auto"/>
              </w:rPr>
              <w:t>America, N.A., as Administrative Agent, Swing Line Lender, and L/C Issuer.</w:t>
            </w:r>
          </w:p>
        </w:tc>
      </w:tr>
    </w:tbl>
    <w:p>
      <w:pPr>
        <w:sectPr>
          <w:pgSz w:w="11900" w:h="16838" w:orient="portrait"/>
          <w:cols w:equalWidth="0" w:num="1">
            <w:col w:w="11400"/>
          </w:cols>
          <w:pgMar w:left="240" w:top="509" w:right="2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AMENDMENT NO. 4 TO CREDIT AGREEMENT</w:t>
      </w:r>
    </w:p>
    <w:p>
      <w:pPr>
        <w:spacing w:after="0" w:line="252"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This Amendment No. 4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dated as of February 29, 2008, is made by and among </w:t>
      </w:r>
      <w:r>
        <w:rPr>
          <w:rFonts w:ascii="Times New Roman" w:cs="Times New Roman" w:eastAsia="Times New Roman" w:hAnsi="Times New Roman"/>
          <w:sz w:val="18"/>
          <w:szCs w:val="18"/>
          <w:b w:val="1"/>
          <w:bCs w:val="1"/>
          <w:color w:val="auto"/>
        </w:rPr>
        <w:t>THE TORO COMPANY</w:t>
      </w:r>
      <w:r>
        <w:rPr>
          <w:rFonts w:ascii="Times New Roman" w:cs="Times New Roman" w:eastAsia="Times New Roman" w:hAnsi="Times New Roman"/>
          <w:sz w:val="18"/>
          <w:szCs w:val="18"/>
          <w:color w:val="auto"/>
        </w:rPr>
        <w:t>, a Delaware corporation (“</w:t>
      </w:r>
      <w:r>
        <w:rPr>
          <w:rFonts w:ascii="Times New Roman" w:cs="Times New Roman" w:eastAsia="Times New Roman" w:hAnsi="Times New Roman"/>
          <w:sz w:val="18"/>
          <w:szCs w:val="18"/>
          <w:u w:val="single" w:color="auto"/>
          <w:color w:val="auto"/>
        </w:rPr>
        <w:t>Toro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TORO CREDIT COMPANY</w:t>
      </w:r>
      <w:r>
        <w:rPr>
          <w:rFonts w:ascii="Times New Roman" w:cs="Times New Roman" w:eastAsia="Times New Roman" w:hAnsi="Times New Roman"/>
          <w:sz w:val="18"/>
          <w:szCs w:val="18"/>
          <w:color w:val="auto"/>
        </w:rPr>
        <w:t xml:space="preserve">, a Minnesota corporation, </w:t>
      </w:r>
      <w:r>
        <w:rPr>
          <w:rFonts w:ascii="Times New Roman" w:cs="Times New Roman" w:eastAsia="Times New Roman" w:hAnsi="Times New Roman"/>
          <w:sz w:val="18"/>
          <w:szCs w:val="18"/>
          <w:b w:val="1"/>
          <w:bCs w:val="1"/>
          <w:color w:val="auto"/>
        </w:rPr>
        <w:t>TORO MANUFACTURING LLC</w:t>
      </w:r>
      <w:r>
        <w:rPr>
          <w:rFonts w:ascii="Times New Roman" w:cs="Times New Roman" w:eastAsia="Times New Roman" w:hAnsi="Times New Roman"/>
          <w:sz w:val="18"/>
          <w:szCs w:val="18"/>
          <w:color w:val="auto"/>
        </w:rPr>
        <w:t xml:space="preserve">, a Delaware limited liability company, </w:t>
      </w:r>
      <w:r>
        <w:rPr>
          <w:rFonts w:ascii="Times New Roman" w:cs="Times New Roman" w:eastAsia="Times New Roman" w:hAnsi="Times New Roman"/>
          <w:sz w:val="18"/>
          <w:szCs w:val="18"/>
          <w:b w:val="1"/>
          <w:bCs w:val="1"/>
          <w:color w:val="auto"/>
        </w:rPr>
        <w:t>EXMARK MANUFACTURING COMPANY INCORPORATED</w:t>
      </w:r>
      <w:r>
        <w:rPr>
          <w:rFonts w:ascii="Times New Roman" w:cs="Times New Roman" w:eastAsia="Times New Roman" w:hAnsi="Times New Roman"/>
          <w:sz w:val="18"/>
          <w:szCs w:val="18"/>
          <w:color w:val="auto"/>
        </w:rPr>
        <w:t xml:space="preserve">, a Nebraska corporation, </w:t>
      </w:r>
      <w:r>
        <w:rPr>
          <w:rFonts w:ascii="Times New Roman" w:cs="Times New Roman" w:eastAsia="Times New Roman" w:hAnsi="Times New Roman"/>
          <w:sz w:val="18"/>
          <w:szCs w:val="18"/>
          <w:b w:val="1"/>
          <w:bCs w:val="1"/>
          <w:color w:val="auto"/>
        </w:rPr>
        <w:t>TORO INTERNATIONAL COMPANY</w:t>
      </w:r>
      <w:r>
        <w:rPr>
          <w:rFonts w:ascii="Times New Roman" w:cs="Times New Roman" w:eastAsia="Times New Roman" w:hAnsi="Times New Roman"/>
          <w:sz w:val="18"/>
          <w:szCs w:val="18"/>
          <w:color w:val="auto"/>
        </w:rPr>
        <w:t xml:space="preserve">, a Minnesota corporation, </w:t>
      </w:r>
      <w:r>
        <w:rPr>
          <w:rFonts w:ascii="Times New Roman" w:cs="Times New Roman" w:eastAsia="Times New Roman" w:hAnsi="Times New Roman"/>
          <w:sz w:val="18"/>
          <w:szCs w:val="18"/>
          <w:b w:val="1"/>
          <w:bCs w:val="1"/>
          <w:color w:val="auto"/>
        </w:rPr>
        <w:t>TOVER OVERSEAS B.V.,</w:t>
      </w:r>
      <w:r>
        <w:rPr>
          <w:rFonts w:ascii="Times New Roman" w:cs="Times New Roman" w:eastAsia="Times New Roman" w:hAnsi="Times New Roman"/>
          <w:sz w:val="18"/>
          <w:szCs w:val="18"/>
          <w:color w:val="auto"/>
        </w:rPr>
        <w:t xml:space="preserve"> a Netherlands company, and </w:t>
      </w:r>
      <w:r>
        <w:rPr>
          <w:rFonts w:ascii="Times New Roman" w:cs="Times New Roman" w:eastAsia="Times New Roman" w:hAnsi="Times New Roman"/>
          <w:sz w:val="18"/>
          <w:szCs w:val="18"/>
          <w:b w:val="1"/>
          <w:bCs w:val="1"/>
          <w:color w:val="auto"/>
        </w:rPr>
        <w:t>TORO FACTORING COMPANY LIMITED,</w:t>
      </w:r>
      <w:r>
        <w:rPr>
          <w:rFonts w:ascii="Times New Roman" w:cs="Times New Roman" w:eastAsia="Times New Roman" w:hAnsi="Times New Roman"/>
          <w:sz w:val="18"/>
          <w:szCs w:val="18"/>
          <w:color w:val="auto"/>
        </w:rPr>
        <w:t xml:space="preserve"> a Guernsey, Channel Islands company (all of the foregoing, collectively,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each lender from time to time party hereto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AMERICA, N.A.</w:t>
      </w:r>
      <w:r>
        <w:rPr>
          <w:rFonts w:ascii="Times New Roman" w:cs="Times New Roman" w:eastAsia="Times New Roman" w:hAnsi="Times New Roman"/>
          <w:sz w:val="18"/>
          <w:szCs w:val="18"/>
          <w:color w:val="auto"/>
        </w:rPr>
        <w:t>, as Administrative Agent, Swing Line Lender and L/C Issuer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WHEREAS, the Borrowers, the Administrative Agent and the Lenders have entered into that certain Credit Agreement dated as of September 8, 2004 (as amended by Amendment No. 1 to Credit Agreement dated as of October 25, 2005, Amendment No. 2 to Credit Agreement dated as of January 10, 2007, and Amendment No. 3 to Credit Agreement effective as of February 28, 2007, as hereby amended and as from time to time hereafter further amended, modified, supplemented, restated or amended and restated,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(capitalized terms used and not otherwise defined in this Amendment shall have the respective meanings given thereto in the Credit Agreement), pursuant to which the Lenders have made available to the Borrowers a revolving credit facility (including a letter of credit facility and a swing line facility); and</w:t>
      </w:r>
    </w:p>
    <w:p>
      <w:pPr>
        <w:spacing w:after="0" w:line="21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WHEREAS, the Borrowers have requested that the Administrative Agent and the Required Lenders amend certain provisions of the Credit Agreement as set forth herein;</w:t>
      </w:r>
    </w:p>
    <w:p>
      <w:pPr>
        <w:spacing w:after="0" w:line="18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WHEREAS, all conditions necessary to authorize the execution and delivery of this Amendment and to make this Amendment valid and binding have been complied with or have been done or performed;</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receipt of which is hereby acknowledged, the parties hereto hereby agree as follows:</w:t>
      </w:r>
    </w:p>
    <w:p>
      <w:pPr>
        <w:spacing w:after="0" w:line="189" w:lineRule="exact"/>
        <w:rPr>
          <w:sz w:val="20"/>
          <w:szCs w:val="20"/>
          <w:color w:val="auto"/>
        </w:rPr>
      </w:pPr>
    </w:p>
    <w:p>
      <w:pPr>
        <w:ind w:left="1740" w:hanging="1084"/>
        <w:spacing w:after="0"/>
        <w:tabs>
          <w:tab w:leader="none" w:pos="1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Subject to the terms and conditions set forth herein, the Credit Agreement is hereby amended as follows:</w:t>
      </w:r>
    </w:p>
    <w:p>
      <w:pPr>
        <w:spacing w:after="0" w:line="252" w:lineRule="exact"/>
        <w:rPr>
          <w:sz w:val="20"/>
          <w:szCs w:val="20"/>
          <w:color w:val="auto"/>
        </w:rPr>
      </w:pPr>
    </w:p>
    <w:p>
      <w:pPr>
        <w:ind w:left="660" w:right="2640" w:hanging="4"/>
        <w:spacing w:after="0" w:line="532" w:lineRule="auto"/>
        <w:tabs>
          <w:tab w:leader="none" w:pos="180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definition is added to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in the appropriate alphabetical location therein: “</w:t>
      </w:r>
      <w:r>
        <w:rPr>
          <w:rFonts w:ascii="Times New Roman" w:cs="Times New Roman" w:eastAsia="Times New Roman" w:hAnsi="Times New Roman"/>
          <w:sz w:val="18"/>
          <w:szCs w:val="18"/>
          <w:u w:val="single" w:color="auto"/>
          <w:color w:val="auto"/>
        </w:rPr>
        <w:t>Fourth Amendment Effective Date</w:t>
      </w:r>
      <w:r>
        <w:rPr>
          <w:rFonts w:ascii="Times New Roman" w:cs="Times New Roman" w:eastAsia="Times New Roman" w:hAnsi="Times New Roman"/>
          <w:sz w:val="18"/>
          <w:szCs w:val="18"/>
          <w:color w:val="auto"/>
        </w:rPr>
        <w:t>” means February 29, 2008.</w:t>
      </w:r>
    </w:p>
    <w:p>
      <w:pPr>
        <w:ind w:left="1820" w:hanging="1164"/>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7.04(d)</w:t>
      </w:r>
      <w:r>
        <w:rPr>
          <w:rFonts w:ascii="Times New Roman" w:cs="Times New Roman" w:eastAsia="Times New Roman" w:hAnsi="Times New Roman"/>
          <w:sz w:val="18"/>
          <w:szCs w:val="18"/>
          <w:color w:val="auto"/>
        </w:rPr>
        <w:t xml:space="preserve"> of the Credit Agreement is deleted in its entirety and the following is inserted in lieu thereof:</w:t>
      </w:r>
    </w:p>
    <w:p>
      <w:pPr>
        <w:spacing w:after="0" w:line="252" w:lineRule="exact"/>
        <w:rPr>
          <w:rFonts w:ascii="Times New Roman" w:cs="Times New Roman" w:eastAsia="Times New Roman" w:hAnsi="Times New Roman"/>
          <w:sz w:val="18"/>
          <w:szCs w:val="18"/>
          <w:color w:val="auto"/>
        </w:rPr>
      </w:pPr>
    </w:p>
    <w:p>
      <w:pPr>
        <w:ind w:left="660" w:right="160" w:firstLine="645"/>
        <w:spacing w:after="0" w:line="282" w:lineRule="auto"/>
        <w:tabs>
          <w:tab w:leader="none" w:pos="196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incurred in order to consummate Acquisitions,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purchase price payable in cash or cash equivalents (including assumption of liability and excluding earnouts or other contingent obligations related to</w:t>
      </w:r>
    </w:p>
    <w:p>
      <w:pPr>
        <w:sectPr>
          <w:pgSz w:w="11900" w:h="16838" w:orient="portrait"/>
          <w:cols w:equalWidth="0" w:num="1">
            <w:col w:w="11420"/>
          </w:cols>
          <w:pgMar w:left="240" w:top="117" w:right="239" w:bottom="1440" w:gutter="0" w:footer="0" w:header="0"/>
        </w:sectPr>
      </w:pPr>
    </w:p>
    <w:bookmarkStart w:id="5" w:name="page6"/>
    <w:bookmarkEnd w:id="5"/>
    <w:p>
      <w:pPr>
        <w:ind w:left="4" w:right="40" w:firstLine="648"/>
        <w:spacing w:after="0" w:line="258" w:lineRule="auto"/>
        <w:rPr>
          <w:sz w:val="20"/>
          <w:szCs w:val="20"/>
          <w:color w:val="auto"/>
        </w:rPr>
      </w:pPr>
      <w:r>
        <w:rPr>
          <w:rFonts w:ascii="Times New Roman" w:cs="Times New Roman" w:eastAsia="Times New Roman" w:hAnsi="Times New Roman"/>
          <w:sz w:val="18"/>
          <w:szCs w:val="18"/>
          <w:color w:val="auto"/>
        </w:rPr>
        <w:t>such Acquisition) in any such individual Acquisition shall not exceed $200,000,000, and from and after the Fourth Amendment Effective Date the aggregate purchase price payable in cash or cash equivalents (including assumption of liability and excluding earnouts or other contingent obligations related to such Acquisition) for all Acquisitions undertaken by Toro and its Subsidiaries shall not exceed $400,000,000, (ii) such Acquisitions are undertaken in accordance with all applicable Laws; and (iii) the prior, effective written consent or approval to such Acquisition of the board of directors or equivalent governing body of the acquiree is obtained;</w:t>
      </w:r>
    </w:p>
    <w:p>
      <w:pPr>
        <w:spacing w:after="0" w:line="211" w:lineRule="exact"/>
        <w:rPr>
          <w:sz w:val="20"/>
          <w:szCs w:val="20"/>
          <w:color w:val="auto"/>
        </w:rPr>
      </w:pPr>
    </w:p>
    <w:p>
      <w:pPr>
        <w:ind w:left="1084" w:hanging="1084"/>
        <w:spacing w:after="0"/>
        <w:tabs>
          <w:tab w:leader="none" w:pos="10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effectiveness of this Amendment is subject to the satisfaction of the following conditions precedent:</w:t>
      </w:r>
    </w:p>
    <w:p>
      <w:pPr>
        <w:spacing w:after="0" w:line="252" w:lineRule="exact"/>
        <w:rPr>
          <w:sz w:val="20"/>
          <w:szCs w:val="20"/>
          <w:color w:val="auto"/>
        </w:rPr>
      </w:pPr>
    </w:p>
    <w:p>
      <w:pPr>
        <w:ind w:left="-656" w:right="260" w:firstLine="656"/>
        <w:spacing w:after="0" w:line="282" w:lineRule="auto"/>
        <w:tabs>
          <w:tab w:leader="none" w:pos="11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each of the following documents or instruments in form and substance reasonably acceptable to the Administrative Agent:</w:t>
      </w:r>
    </w:p>
    <w:p>
      <w:pPr>
        <w:spacing w:after="0" w:line="189" w:lineRule="exact"/>
        <w:rPr>
          <w:sz w:val="20"/>
          <w:szCs w:val="20"/>
          <w:color w:val="auto"/>
        </w:rPr>
      </w:pPr>
    </w:p>
    <w:p>
      <w:pPr>
        <w:ind w:left="4" w:right="40" w:hanging="4"/>
        <w:spacing w:after="0" w:line="282" w:lineRule="auto"/>
        <w:tabs>
          <w:tab w:leader="none" w:pos="11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counterparts of this Amendment, duly executed by the Borrowers, the Administrative Agent and the Required Lenders, together with all schedules and exhibits thereto duly completed; and</w:t>
      </w:r>
    </w:p>
    <w:p>
      <w:pPr>
        <w:spacing w:after="0" w:line="188" w:lineRule="exact"/>
        <w:rPr>
          <w:rFonts w:ascii="Times New Roman" w:cs="Times New Roman" w:eastAsia="Times New Roman" w:hAnsi="Times New Roman"/>
          <w:sz w:val="18"/>
          <w:szCs w:val="18"/>
          <w:color w:val="auto"/>
        </w:rPr>
      </w:pPr>
    </w:p>
    <w:p>
      <w:pPr>
        <w:ind w:left="4" w:hanging="4"/>
        <w:spacing w:after="0" w:line="282" w:lineRule="auto"/>
        <w:tabs>
          <w:tab w:leader="none" w:pos="11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instruments, opinions, certifications, undertakings, further assurances and other matters as the Administrative Agent shall reasonably require.</w:t>
      </w:r>
    </w:p>
    <w:p>
      <w:pPr>
        <w:spacing w:after="0" w:line="189" w:lineRule="exact"/>
        <w:rPr>
          <w:sz w:val="20"/>
          <w:szCs w:val="20"/>
          <w:color w:val="auto"/>
        </w:rPr>
      </w:pPr>
    </w:p>
    <w:p>
      <w:pPr>
        <w:ind w:left="-656" w:right="220" w:firstLine="656"/>
        <w:spacing w:after="0" w:line="282" w:lineRule="auto"/>
        <w:tabs>
          <w:tab w:leader="none" w:pos="10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by each of the Borrowers</w:t>
      </w:r>
      <w:r>
        <w:rPr>
          <w:rFonts w:ascii="Times New Roman" w:cs="Times New Roman" w:eastAsia="Times New Roman" w:hAnsi="Times New Roman"/>
          <w:sz w:val="18"/>
          <w:szCs w:val="18"/>
          <w:color w:val="auto"/>
        </w:rPr>
        <w:t>. Each of the Borrowers hereby consents, acknowledges and agrees to the amendments of the Credit Agreement set forth herein.</w:t>
      </w:r>
    </w:p>
    <w:p>
      <w:pPr>
        <w:spacing w:after="0" w:line="188" w:lineRule="exact"/>
        <w:rPr>
          <w:rFonts w:ascii="Times New Roman" w:cs="Times New Roman" w:eastAsia="Times New Roman" w:hAnsi="Times New Roman"/>
          <w:sz w:val="18"/>
          <w:szCs w:val="18"/>
          <w:color w:val="auto"/>
        </w:rPr>
      </w:pPr>
    </w:p>
    <w:p>
      <w:pPr>
        <w:ind w:left="-656" w:right="40" w:firstLine="656"/>
        <w:spacing w:after="0" w:line="282" w:lineRule="auto"/>
        <w:tabs>
          <w:tab w:leader="none" w:pos="10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In order to induce the Administrative Agent and the Lenders to enter into this Amendment, each of the Borrowers represents and warrants to the Administrative Agent and the Lenders as follows:</w:t>
      </w:r>
    </w:p>
    <w:p>
      <w:pPr>
        <w:spacing w:after="0" w:line="189" w:lineRule="exact"/>
        <w:rPr>
          <w:sz w:val="20"/>
          <w:szCs w:val="20"/>
          <w:color w:val="auto"/>
        </w:rPr>
      </w:pPr>
    </w:p>
    <w:p>
      <w:pPr>
        <w:ind w:left="-656" w:right="20" w:firstLine="656"/>
        <w:spacing w:after="0" w:line="258" w:lineRule="auto"/>
        <w:tabs>
          <w:tab w:leader="none" w:pos="1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(i) the Borrowers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(after giving effect to this Amendment) and (ii) each Loan Party contained in each other Loan Document or in any document furnished at any time under or in connection herewith or therewith, shall be true and correct on and as of the date hereof, except to the extent that such representations and warranties specifically refer to an earlier date, in which case they shall be true and correct as of such earlier date, and except that for purposes of this Amendment, the representations and warranties contained in subsections (a) and (b) of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shall be deemed to refer to the most recent statements furnished pursuant to clauses (a) and (b), respectively,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10" w:lineRule="exact"/>
        <w:rPr>
          <w:rFonts w:ascii="Times New Roman" w:cs="Times New Roman" w:eastAsia="Times New Roman" w:hAnsi="Times New Roman"/>
          <w:sz w:val="18"/>
          <w:szCs w:val="18"/>
          <w:color w:val="auto"/>
        </w:rPr>
      </w:pPr>
    </w:p>
    <w:p>
      <w:pPr>
        <w:ind w:left="-656" w:right="200" w:firstLine="656"/>
        <w:spacing w:after="0" w:line="266" w:lineRule="auto"/>
        <w:tabs>
          <w:tab w:leader="none" w:pos="11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does not exist any pending or threatened action, suit, investigation or proceeding in any court or before any arbitrator or Government Authority that purports to affect any transaction contemplated under this Amendment or the ability of any Borrower to perform its respective obligations under this Amendment.</w:t>
      </w:r>
    </w:p>
    <w:p>
      <w:pPr>
        <w:spacing w:after="0" w:line="203" w:lineRule="exact"/>
        <w:rPr>
          <w:rFonts w:ascii="Times New Roman" w:cs="Times New Roman" w:eastAsia="Times New Roman" w:hAnsi="Times New Roman"/>
          <w:sz w:val="18"/>
          <w:szCs w:val="18"/>
          <w:color w:val="auto"/>
        </w:rPr>
      </w:pPr>
    </w:p>
    <w:p>
      <w:pPr>
        <w:ind w:left="-656" w:firstLine="656"/>
        <w:spacing w:after="0" w:line="282" w:lineRule="auto"/>
        <w:tabs>
          <w:tab w:leader="none" w:pos="113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since October 31, 2007 any event or circumstance that has resulted or could reasonably be expected to result in a Material Adverse Effect or a material adverse change in or a material adverse effect upon the business, assets, liabilities (actual or</w:t>
      </w:r>
    </w:p>
    <w:p>
      <w:pPr>
        <w:sectPr>
          <w:pgSz w:w="11900" w:h="16838" w:orient="portrait"/>
          <w:cols w:equalWidth="0" w:num="1">
            <w:col w:w="10644"/>
          </w:cols>
          <w:pgMar w:left="896" w:top="364" w:right="359" w:bottom="1440" w:gutter="0" w:footer="0" w:header="0"/>
        </w:sectPr>
      </w:pPr>
    </w:p>
    <w:bookmarkStart w:id="6" w:name="page7"/>
    <w:bookmarkEnd w:id="6"/>
    <w:p>
      <w:pPr>
        <w:ind w:left="660"/>
        <w:spacing w:after="0"/>
        <w:rPr>
          <w:sz w:val="20"/>
          <w:szCs w:val="20"/>
          <w:color w:val="auto"/>
        </w:rPr>
      </w:pPr>
      <w:r>
        <w:rPr>
          <w:rFonts w:ascii="Times New Roman" w:cs="Times New Roman" w:eastAsia="Times New Roman" w:hAnsi="Times New Roman"/>
          <w:sz w:val="18"/>
          <w:szCs w:val="18"/>
          <w:color w:val="auto"/>
        </w:rPr>
        <w:t>contingent), operations, condition (financial or otherwise), or prospects of Toro and its Subsidiaries taken as a whole; and</w:t>
      </w:r>
    </w:p>
    <w:p>
      <w:pPr>
        <w:spacing w:after="0" w:line="252" w:lineRule="exact"/>
        <w:rPr>
          <w:sz w:val="20"/>
          <w:szCs w:val="20"/>
          <w:color w:val="auto"/>
        </w:rPr>
      </w:pPr>
    </w:p>
    <w:p>
      <w:pPr>
        <w:ind w:left="1820" w:hanging="1164"/>
        <w:spacing w:after="0"/>
        <w:tabs>
          <w:tab w:leader="none" w:pos="18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w:t>
      </w:r>
    </w:p>
    <w:p>
      <w:pPr>
        <w:spacing w:after="0" w:line="252" w:lineRule="exact"/>
        <w:rPr>
          <w:sz w:val="20"/>
          <w:szCs w:val="20"/>
          <w:color w:val="auto"/>
        </w:rPr>
      </w:pPr>
    </w:p>
    <w:p>
      <w:pPr>
        <w:ind w:firstLine="656"/>
        <w:spacing w:after="0" w:line="255" w:lineRule="auto"/>
        <w:tabs>
          <w:tab w:leader="none" w:pos="1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together with all the Loan Documents (collectively, the “</w:t>
      </w:r>
      <w:r>
        <w:rPr>
          <w:rFonts w:ascii="Times New Roman" w:cs="Times New Roman" w:eastAsia="Times New Roman" w:hAnsi="Times New Roman"/>
          <w:sz w:val="18"/>
          <w:szCs w:val="18"/>
          <w:u w:val="single" w:color="auto"/>
          <w:color w:val="auto"/>
        </w:rPr>
        <w:t>Relevant Documents</w:t>
      </w:r>
      <w:r>
        <w:rPr>
          <w:rFonts w:ascii="Times New Roman" w:cs="Times New Roman" w:eastAsia="Times New Roman" w:hAnsi="Times New Roman"/>
          <w:sz w:val="18"/>
          <w:szCs w:val="18"/>
          <w:color w:val="auto"/>
        </w:rPr>
        <w:t xml:space="preserve">”), sets forth the entire understanding and agreement of the parties hereto in relation to the subject matter hereof and supersedes any prior negotiations and agreements among the parties relative to such subject matter. No promise, condition, representation or warranty, express or implied, not herein set forth, shall bind any party hereto and not one of them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None of the terms or conditions of this Amendment may be changed, modified, waived or canceled orally or otherwise, except as permitted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the Credit Agreement.</w:t>
      </w:r>
    </w:p>
    <w:p>
      <w:pPr>
        <w:spacing w:after="0" w:line="216" w:lineRule="exact"/>
        <w:rPr>
          <w:rFonts w:ascii="Times New Roman" w:cs="Times New Roman" w:eastAsia="Times New Roman" w:hAnsi="Times New Roman"/>
          <w:sz w:val="18"/>
          <w:szCs w:val="18"/>
          <w:color w:val="auto"/>
        </w:rPr>
      </w:pPr>
    </w:p>
    <w:p>
      <w:pPr>
        <w:jc w:val="both"/>
        <w:ind w:right="60" w:firstLine="656"/>
        <w:spacing w:after="0" w:line="266" w:lineRule="auto"/>
        <w:tabs>
          <w:tab w:leader="none" w:pos="1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 of Amendment.</w:t>
      </w:r>
      <w:r>
        <w:rPr>
          <w:rFonts w:ascii="Times New Roman" w:cs="Times New Roman" w:eastAsia="Times New Roman" w:hAnsi="Times New Roman"/>
          <w:sz w:val="18"/>
          <w:szCs w:val="18"/>
          <w:color w:val="auto"/>
        </w:rPr>
        <w:t xml:space="preserve"> Except as hereby specifically amended, modified or supplemented, the Credit Agreement and all other Loan Documents are hereby confirmed and ratified in all respects by each party hereto and shall be and remain in full force and effect according to their respective terms.</w:t>
      </w:r>
    </w:p>
    <w:p>
      <w:pPr>
        <w:spacing w:after="0" w:line="203" w:lineRule="exact"/>
        <w:rPr>
          <w:rFonts w:ascii="Times New Roman" w:cs="Times New Roman" w:eastAsia="Times New Roman" w:hAnsi="Times New Roman"/>
          <w:sz w:val="18"/>
          <w:szCs w:val="18"/>
          <w:color w:val="auto"/>
        </w:rPr>
      </w:pPr>
    </w:p>
    <w:p>
      <w:pPr>
        <w:ind w:right="20" w:firstLine="656"/>
        <w:spacing w:after="0" w:line="261" w:lineRule="auto"/>
        <w:tabs>
          <w:tab w:leader="none" w:pos="1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any number of counterparts, each of which shall be deemed an original as against any party whose signature appears thereon, and all of which shall together constitute one and the same instrument. Delivery of an executed counterpart of a signature page of this Amendment by telecopy, facsimile or other electronic transmission (including .PDF) shall be effective as delivery of a manually executed counterpart of this Amendment.</w:t>
      </w:r>
    </w:p>
    <w:p>
      <w:pPr>
        <w:spacing w:after="0" w:line="207" w:lineRule="exact"/>
        <w:rPr>
          <w:rFonts w:ascii="Times New Roman" w:cs="Times New Roman" w:eastAsia="Times New Roman" w:hAnsi="Times New Roman"/>
          <w:sz w:val="18"/>
          <w:szCs w:val="18"/>
          <w:color w:val="auto"/>
        </w:rPr>
      </w:pPr>
    </w:p>
    <w:p>
      <w:pPr>
        <w:ind w:left="1740" w:hanging="1084"/>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in all respects be governed by, and construed in accordance with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w:t>
      </w:r>
    </w:p>
    <w:p>
      <w:pPr>
        <w:spacing w:after="0" w:line="233" w:lineRule="exact"/>
        <w:rPr>
          <w:rFonts w:ascii="Times New Roman" w:cs="Times New Roman" w:eastAsia="Times New Roman" w:hAnsi="Times New Roman"/>
          <w:sz w:val="18"/>
          <w:szCs w:val="18"/>
          <w:color w:val="auto"/>
        </w:rPr>
      </w:pPr>
    </w:p>
    <w:p>
      <w:pPr>
        <w:ind w:right="100" w:firstLine="656"/>
        <w:spacing w:after="0" w:line="282" w:lineRule="auto"/>
        <w:tabs>
          <w:tab w:leader="none" w:pos="1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Should any one or more of the provisions of this Amendment be determined to be illegal or unenforceable as to one or more of the parties hereto, all other provisions nevertheless shall remain effective and binding on the parties hereto.</w:t>
      </w:r>
    </w:p>
    <w:p>
      <w:pPr>
        <w:spacing w:after="0" w:line="188" w:lineRule="exact"/>
        <w:rPr>
          <w:rFonts w:ascii="Times New Roman" w:cs="Times New Roman" w:eastAsia="Times New Roman" w:hAnsi="Times New Roman"/>
          <w:sz w:val="18"/>
          <w:szCs w:val="18"/>
          <w:color w:val="auto"/>
        </w:rPr>
      </w:pPr>
    </w:p>
    <w:p>
      <w:pPr>
        <w:ind w:left="1740" w:hanging="1084"/>
        <w:spacing w:after="0"/>
        <w:tabs>
          <w:tab w:leader="none" w:pos="1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References</w:t>
      </w:r>
      <w:r>
        <w:rPr>
          <w:rFonts w:ascii="Times New Roman" w:cs="Times New Roman" w:eastAsia="Times New Roman" w:hAnsi="Times New Roman"/>
          <w:sz w:val="18"/>
          <w:szCs w:val="18"/>
          <w:color w:val="auto"/>
        </w:rPr>
        <w:t>. All references in any of the Loan Documents to the “Credit Agreement” shall mean the Credit Agreement as amended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w:t>
      </w:r>
    </w:p>
    <w:p>
      <w:pPr>
        <w:spacing w:after="0" w:line="233" w:lineRule="exact"/>
        <w:rPr>
          <w:rFonts w:ascii="Times New Roman" w:cs="Times New Roman" w:eastAsia="Times New Roman" w:hAnsi="Times New Roman"/>
          <w:sz w:val="18"/>
          <w:szCs w:val="18"/>
          <w:color w:val="auto"/>
        </w:rPr>
      </w:pPr>
    </w:p>
    <w:p>
      <w:pPr>
        <w:jc w:val="both"/>
        <w:ind w:firstLine="656"/>
        <w:spacing w:after="0" w:line="266" w:lineRule="auto"/>
        <w:tabs>
          <w:tab w:leader="none" w:pos="172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Amendment shall be binding upon and inure to the benefit of the Borrowers, the Administrative Agent and each of the Lenders, and their respective successors, assigns and legal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 Borrower, without the prior consent of the Required Lenders, may assign any rights, powers, duties or obligations hereunder.</w:t>
      </w:r>
    </w:p>
    <w:p>
      <w:pPr>
        <w:spacing w:after="0" w:line="203" w:lineRule="exact"/>
        <w:rPr>
          <w:rFonts w:ascii="Times New Roman" w:cs="Times New Roman" w:eastAsia="Times New Roman" w:hAnsi="Times New Roman"/>
          <w:sz w:val="18"/>
          <w:szCs w:val="18"/>
          <w:color w:val="auto"/>
        </w:rPr>
      </w:pPr>
    </w:p>
    <w:p>
      <w:pPr>
        <w:ind w:right="220" w:firstLine="656"/>
        <w:spacing w:after="0" w:line="282" w:lineRule="auto"/>
        <w:tabs>
          <w:tab w:leader="none" w:pos="172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Toro agrees to pay to the Administrative Agent all reasonable out-of-pocket expenses incurred or arising in connection with the negotiation and preparation of this Amendment.</w:t>
      </w:r>
    </w:p>
    <w:p>
      <w:pPr>
        <w:sectPr>
          <w:pgSz w:w="11900" w:h="16838" w:orient="portrait"/>
          <w:cols w:equalWidth="0" w:num="1">
            <w:col w:w="11320"/>
          </w:cols>
          <w:pgMar w:left="240" w:top="364" w:right="339" w:bottom="1440" w:gutter="0" w:footer="0" w:header="0"/>
        </w:sectPr>
      </w:pPr>
    </w:p>
    <w:bookmarkStart w:id="7" w:name="page8"/>
    <w:bookmarkEnd w:id="7"/>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Amendment No. 3 to Credit Agreement to be made, executed and delivered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duly authorized officers or representatives as of the day and year first above written.</w:t>
      </w:r>
    </w:p>
    <w:p>
      <w:pPr>
        <w:spacing w:after="0" w:line="200" w:lineRule="exact"/>
        <w:rPr>
          <w:sz w:val="20"/>
          <w:szCs w:val="20"/>
          <w:color w:val="auto"/>
        </w:rPr>
      </w:pP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-7620</wp:posOffset>
            </wp:positionV>
            <wp:extent cx="1837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7690"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-7620</wp:posOffset>
            </wp:positionV>
            <wp:extent cx="1638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8300" cy="8890"/>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Vice President, Finance &amp;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-19050</wp:posOffset>
            </wp:positionV>
            <wp:extent cx="1676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640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TORO CREDIT COMPANY</w:t>
      </w:r>
    </w:p>
    <w:p>
      <w:pPr>
        <w:spacing w:after="0" w:line="2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By: /s/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-7620</wp:posOffset>
            </wp:positionV>
            <wp:extent cx="1780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spacing w:after="0" w:line="1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-7620</wp:posOffset>
            </wp:positionV>
            <wp:extent cx="16421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2110" cy="8890"/>
                    </a:xfrm>
                    <a:prstGeom prst="rect">
                      <a:avLst/>
                    </a:prstGeom>
                    <a:noFill/>
                  </pic:spPr>
                </pic:pic>
              </a:graphicData>
            </a:graphic>
          </wp:anchor>
        </w:drawing>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Title: 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-19050</wp:posOffset>
            </wp:positionV>
            <wp:extent cx="1658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5862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TORO MANUFACTURING COMPANY</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-7620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-7620</wp:posOffset>
            </wp:positionV>
            <wp:extent cx="1644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4650" cy="8890"/>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-19050</wp:posOffset>
            </wp:positionV>
            <wp:extent cx="16668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6875"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EXMARK MANUFACTURING COMPANY</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20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-7620</wp:posOffset>
            </wp:positionV>
            <wp:extent cx="17805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0540"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Thomas J. Larson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-7620</wp:posOffset>
            </wp:positionV>
            <wp:extent cx="16421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2110" cy="8890"/>
                    </a:xfrm>
                    <a:prstGeom prst="rect">
                      <a:avLst/>
                    </a:prstGeom>
                    <a:noFill/>
                  </pic:spPr>
                </pic:pic>
              </a:graphicData>
            </a:graphic>
          </wp:anchor>
        </w:drawing>
      </w:r>
    </w:p>
    <w:p>
      <w:pPr>
        <w:spacing w:after="0" w:line="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Title: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-19050</wp:posOffset>
            </wp:positionV>
            <wp:extent cx="17462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46250" cy="889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TORO INTERNATIONAL COMPANY</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3171825</wp:posOffset>
            </wp:positionH>
            <wp:positionV relativeFrom="paragraph">
              <wp:posOffset>-7620</wp:posOffset>
            </wp:positionV>
            <wp:extent cx="1774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74825" cy="8890"/>
                    </a:xfrm>
                    <a:prstGeom prst="rect">
                      <a:avLst/>
                    </a:prstGeom>
                    <a:noFill/>
                  </pic:spPr>
                </pic:pic>
              </a:graphicData>
            </a:graphic>
          </wp:anchor>
        </w:drawing>
      </w:r>
    </w:p>
    <w:p>
      <w:pPr>
        <w:spacing w:after="0" w:line="1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Name: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3311525</wp:posOffset>
            </wp:positionH>
            <wp:positionV relativeFrom="paragraph">
              <wp:posOffset>-7620</wp:posOffset>
            </wp:positionV>
            <wp:extent cx="16668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66875" cy="8890"/>
                    </a:xfrm>
                    <a:prstGeom prst="rect">
                      <a:avLst/>
                    </a:prstGeom>
                    <a:noFill/>
                  </pic:spPr>
                </pic:pic>
              </a:graphicData>
            </a:graphic>
          </wp:anchor>
        </w:drawing>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3249930</wp:posOffset>
            </wp:positionH>
            <wp:positionV relativeFrom="paragraph">
              <wp:posOffset>-19050</wp:posOffset>
            </wp:positionV>
            <wp:extent cx="169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9735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color w:val="auto"/>
        </w:rPr>
        <w:t>&amp;# 160;</w:t>
      </w:r>
    </w:p>
    <w:p>
      <w:pPr>
        <w:sectPr>
          <w:pgSz w:w="11900" w:h="16838" w:orient="portrait"/>
          <w:cols w:equalWidth="0" w:num="1">
            <w:col w:w="10980"/>
          </w:cols>
          <w:pgMar w:left="240" w:top="360" w:right="679" w:bottom="1440" w:gutter="0" w:footer="0" w:header="0"/>
        </w:sectPr>
      </w:pPr>
    </w:p>
    <w:bookmarkStart w:id="8" w:name="page9"/>
    <w:bookmarkEnd w:id="8"/>
    <w:p>
      <w:pPr>
        <w:ind w:left="3600"/>
        <w:spacing w:after="0"/>
        <w:rPr>
          <w:sz w:val="20"/>
          <w:szCs w:val="20"/>
          <w:color w:val="auto"/>
        </w:rPr>
      </w:pPr>
      <w:r>
        <w:rPr>
          <w:rFonts w:ascii="Times New Roman" w:cs="Times New Roman" w:eastAsia="Times New Roman" w:hAnsi="Times New Roman"/>
          <w:sz w:val="18"/>
          <w:szCs w:val="18"/>
          <w:b w:val="1"/>
          <w:bCs w:val="1"/>
          <w:color w:val="auto"/>
        </w:rPr>
        <w:t>TOVER OVERSEAS B.V.</w:t>
      </w:r>
    </w:p>
    <w:p>
      <w:pPr>
        <w:spacing w:after="0" w:line="22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161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1610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075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583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39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7"/>
          <w:szCs w:val="17"/>
          <w:b w:val="1"/>
          <w:bCs w:val="1"/>
          <w:color w:val="auto"/>
        </w:rPr>
        <w:t>TORO FACTORING COMPANY LIMITED</w:t>
      </w:r>
    </w:p>
    <w:p>
      <w:pPr>
        <w:spacing w:after="0" w:line="24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44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Stacy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075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075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583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9" w:name="page10"/>
    <w:bookmarkEnd w:id="9"/>
    <w:p>
      <w:pPr>
        <w:ind w:left="3600"/>
        <w:spacing w:after="0"/>
        <w:rPr>
          <w:sz w:val="20"/>
          <w:szCs w:val="20"/>
          <w:color w:val="auto"/>
        </w:rPr>
      </w:pPr>
      <w:r>
        <w:rPr>
          <w:rFonts w:ascii="Times New Roman" w:cs="Times New Roman" w:eastAsia="Times New Roman" w:hAnsi="Times New Roman"/>
          <w:sz w:val="18"/>
          <w:szCs w:val="18"/>
          <w:b w:val="1"/>
          <w:bCs w:val="1"/>
          <w:color w:val="auto"/>
        </w:rPr>
        <w:t xml:space="preserve">BANK OF AMERICA, N.A., </w:t>
      </w:r>
      <w:r>
        <w:rPr>
          <w:rFonts w:ascii="Times New Roman" w:cs="Times New Roman" w:eastAsia="Times New Roman" w:hAnsi="Times New Roman"/>
          <w:sz w:val="18"/>
          <w:szCs w:val="18"/>
          <w:color w:val="auto"/>
        </w:rPr>
        <w:t>as Administrative</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Agent</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Charlene Wright-Jones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7887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879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Charlene Wright-Jones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6522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2270" cy="8890"/>
                    </a:xfrm>
                    <a:prstGeom prst="rect">
                      <a:avLst/>
                    </a:prstGeom>
                    <a:noFill/>
                  </pic:spPr>
                </pic:pic>
              </a:graphicData>
            </a:graphic>
          </wp:anchor>
        </w:drawing>
      </w:r>
    </w:p>
    <w:p>
      <w:pPr>
        <w:spacing w:after="0" w:line="7"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043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04340"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&amp;# 160;</w:t>
      </w:r>
    </w:p>
    <w:p>
      <w:pPr>
        <w:sectPr>
          <w:pgSz w:w="11900" w:h="16838" w:orient="portrait"/>
          <w:cols w:equalWidth="0" w:num="1">
            <w:col w:w="9600"/>
          </w:cols>
          <w:pgMar w:left="1440" w:top="549" w:right="859" w:bottom="1440" w:gutter="0" w:footer="0" w:header="0"/>
        </w:sectPr>
      </w:pPr>
    </w:p>
    <w:bookmarkStart w:id="10" w:name="page11"/>
    <w:bookmarkEnd w:id="10"/>
    <w:p>
      <w:pPr>
        <w:ind w:left="3600"/>
        <w:spacing w:after="0"/>
        <w:rPr>
          <w:sz w:val="20"/>
          <w:szCs w:val="20"/>
          <w:color w:val="auto"/>
        </w:rPr>
      </w:pPr>
      <w:r>
        <w:rPr>
          <w:rFonts w:ascii="Times New Roman" w:cs="Times New Roman" w:eastAsia="Times New Roman" w:hAnsi="Times New Roman"/>
          <w:sz w:val="17"/>
          <w:szCs w:val="17"/>
          <w:b w:val="1"/>
          <w:bCs w:val="1"/>
          <w:color w:val="auto"/>
        </w:rPr>
        <w:t xml:space="preserve">BANK OF AMERICA, N.A., </w:t>
      </w:r>
      <w:r>
        <w:rPr>
          <w:rFonts w:ascii="Times New Roman" w:cs="Times New Roman" w:eastAsia="Times New Roman" w:hAnsi="Times New Roman"/>
          <w:sz w:val="17"/>
          <w:szCs w:val="17"/>
          <w:color w:val="auto"/>
        </w:rPr>
        <w:t>as a Lender, L/C</w:t>
      </w:r>
    </w:p>
    <w:p>
      <w:pPr>
        <w:spacing w:after="0" w:line="4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Issuer and Swing Line Lender</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Charles R.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313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3134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Charles R. Dickerson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6948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94815" cy="8890"/>
                    </a:xfrm>
                    <a:prstGeom prst="rect">
                      <a:avLst/>
                    </a:prstGeom>
                    <a:noFill/>
                  </pic:spPr>
                </pic:pic>
              </a:graphicData>
            </a:graphic>
          </wp:anchor>
        </w:drawing>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583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1" w:name="page12"/>
    <w:bookmarkEnd w:id="11"/>
    <w:p>
      <w:pPr>
        <w:ind w:left="3600"/>
        <w:spacing w:after="0"/>
        <w:rPr>
          <w:sz w:val="20"/>
          <w:szCs w:val="20"/>
          <w:color w:val="auto"/>
        </w:rPr>
      </w:pPr>
      <w:r>
        <w:rPr>
          <w:rFonts w:ascii="Times New Roman" w:cs="Times New Roman" w:eastAsia="Times New Roman" w:hAnsi="Times New Roman"/>
          <w:sz w:val="18"/>
          <w:szCs w:val="18"/>
          <w:b w:val="1"/>
          <w:bCs w:val="1"/>
          <w:color w:val="auto"/>
        </w:rPr>
        <w:t xml:space="preserve">SUNTRUST BANK, </w:t>
      </w:r>
      <w:r>
        <w:rPr>
          <w:rFonts w:ascii="Times New Roman" w:cs="Times New Roman" w:eastAsia="Times New Roman" w:hAnsi="Times New Roman"/>
          <w:sz w:val="18"/>
          <w:szCs w:val="18"/>
          <w:color w:val="auto"/>
        </w:rPr>
        <w:t>as a Lender and a Co-</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Syndication Agent</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Robert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288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2880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Robert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2085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0850" cy="8890"/>
                    </a:xfrm>
                    <a:prstGeom prst="rect">
                      <a:avLst/>
                    </a:prstGeom>
                    <a:noFill/>
                  </pic:spPr>
                </pic:pic>
              </a:graphicData>
            </a:graphic>
          </wp:anchor>
        </w:drawing>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8383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38325" cy="889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2" w:name="page13"/>
    <w:bookmarkEnd w:id="12"/>
    <w:p>
      <w:pPr>
        <w:ind w:left="3600"/>
        <w:spacing w:after="0"/>
        <w:rPr>
          <w:sz w:val="20"/>
          <w:szCs w:val="20"/>
          <w:color w:val="auto"/>
        </w:rPr>
      </w:pPr>
      <w:r>
        <w:rPr>
          <w:rFonts w:ascii="Times New Roman" w:cs="Times New Roman" w:eastAsia="Times New Roman" w:hAnsi="Times New Roman"/>
          <w:sz w:val="17"/>
          <w:szCs w:val="17"/>
          <w:b w:val="1"/>
          <w:bCs w:val="1"/>
          <w:color w:val="auto"/>
        </w:rPr>
        <w:t xml:space="preserve">U.S. BANK NATIONAL ASSOCIATION, </w:t>
      </w:r>
      <w:r>
        <w:rPr>
          <w:rFonts w:ascii="Times New Roman" w:cs="Times New Roman" w:eastAsia="Times New Roman" w:hAnsi="Times New Roman"/>
          <w:sz w:val="17"/>
          <w:szCs w:val="17"/>
          <w:color w:val="auto"/>
        </w:rPr>
        <w:t>as a</w:t>
      </w:r>
    </w:p>
    <w:p>
      <w:pPr>
        <w:spacing w:after="0" w:line="43"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Lender and a Co-Syndication Agent</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Michael J. Staloch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40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40865"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Michael J. Staloch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32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9006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0065" cy="889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3" w:name="page14"/>
    <w:bookmarkEnd w:id="13"/>
    <w:p>
      <w:pPr>
        <w:ind w:left="3600"/>
        <w:spacing w:after="0"/>
        <w:rPr>
          <w:sz w:val="20"/>
          <w:szCs w:val="20"/>
          <w:color w:val="auto"/>
        </w:rPr>
      </w:pPr>
      <w:r>
        <w:rPr>
          <w:rFonts w:ascii="Times New Roman" w:cs="Times New Roman" w:eastAsia="Times New Roman" w:hAnsi="Times New Roman"/>
          <w:sz w:val="18"/>
          <w:szCs w:val="18"/>
          <w:b w:val="1"/>
          <w:bCs w:val="1"/>
          <w:color w:val="auto"/>
        </w:rPr>
        <w:t>BMO CAPITAL MARKETS FINANCING,</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INC.</w:t>
      </w:r>
      <w:r>
        <w:rPr>
          <w:rFonts w:ascii="Times New Roman" w:cs="Times New Roman" w:eastAsia="Times New Roman" w:hAnsi="Times New Roman"/>
          <w:sz w:val="18"/>
          <w:szCs w:val="18"/>
          <w:color w:val="auto"/>
        </w:rPr>
        <w:t>, as a Lender and a Co-Documentation Agent</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James J. 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98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9865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James J. 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614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61490" cy="8890"/>
                    </a:xfrm>
                    <a:prstGeom prst="rect">
                      <a:avLst/>
                    </a:prstGeom>
                    <a:noFill/>
                  </pic:spPr>
                </pic:pic>
              </a:graphicData>
            </a:graphic>
          </wp:anchor>
        </w:drawing>
      </w:r>
    </w:p>
    <w:p>
      <w:pPr>
        <w:spacing w:after="0" w:line="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8040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04035" cy="8890"/>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14" w:name="page15"/>
    <w:bookmarkEnd w:id="14"/>
    <w:p>
      <w:pPr>
        <w:ind w:left="3600"/>
        <w:spacing w:after="0"/>
        <w:rPr>
          <w:sz w:val="20"/>
          <w:szCs w:val="20"/>
          <w:color w:val="auto"/>
        </w:rPr>
      </w:pPr>
      <w:r>
        <w:rPr>
          <w:rFonts w:ascii="Times New Roman" w:cs="Times New Roman" w:eastAsia="Times New Roman" w:hAnsi="Times New Roman"/>
          <w:sz w:val="18"/>
          <w:szCs w:val="18"/>
          <w:b w:val="1"/>
          <w:bCs w:val="1"/>
          <w:color w:val="auto"/>
        </w:rPr>
        <w:t>WELLS FARGO BANK, NATIONAL</w:t>
      </w:r>
    </w:p>
    <w:p>
      <w:pPr>
        <w:spacing w:after="0" w:line="3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a Lender and a</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Co-Documentation Agent</w:t>
      </w:r>
    </w:p>
    <w:p>
      <w:pPr>
        <w:spacing w:after="0" w:line="20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Ted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554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5470" cy="8890"/>
                    </a:xfrm>
                    <a:prstGeom prst="rect">
                      <a:avLst/>
                    </a:prstGeom>
                    <a:noFill/>
                  </pic:spPr>
                </pic:pic>
              </a:graphicData>
            </a:graphic>
          </wp:anchor>
        </w:drawing>
      </w:r>
    </w:p>
    <w:p>
      <w:pPr>
        <w:spacing w:after="0" w:line="16"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Ted Hanson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-7620</wp:posOffset>
            </wp:positionV>
            <wp:extent cx="17456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745615" cy="8890"/>
                    </a:xfrm>
                    <a:prstGeom prst="rect">
                      <a:avLst/>
                    </a:prstGeom>
                    <a:noFill/>
                  </pic:spPr>
                </pic:pic>
              </a:graphicData>
            </a:graphic>
          </wp:anchor>
        </w:drawing>
      </w:r>
    </w:p>
    <w:p>
      <w:pPr>
        <w:spacing w:after="0" w:line="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7329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32915" cy="8890"/>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&amp;#</w:t>
      </w:r>
    </w:p>
    <w:p>
      <w:pPr>
        <w:spacing w:after="0" w:line="2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9220"/>
          </w:cols>
          <w:pgMar w:left="1440" w:top="549" w:right="1239" w:bottom="1440" w:gutter="0" w:footer="0" w:header="0"/>
        </w:sectPr>
      </w:pPr>
    </w:p>
    <w:bookmarkStart w:id="15" w:name="page16"/>
    <w:bookmarkEnd w:id="15"/>
    <w:p>
      <w:pPr>
        <w:ind w:left="3600"/>
        <w:spacing w:after="0"/>
        <w:rPr>
          <w:sz w:val="20"/>
          <w:szCs w:val="20"/>
          <w:color w:val="auto"/>
        </w:rPr>
      </w:pPr>
      <w:r>
        <w:rPr>
          <w:rFonts w:ascii="Times New Roman" w:cs="Times New Roman" w:eastAsia="Times New Roman" w:hAnsi="Times New Roman"/>
          <w:sz w:val="17"/>
          <w:szCs w:val="17"/>
          <w:b w:val="1"/>
          <w:bCs w:val="1"/>
          <w:color w:val="auto"/>
        </w:rPr>
        <w:t xml:space="preserve">THE BANK OF NEW YORK, </w:t>
      </w:r>
      <w:r>
        <w:rPr>
          <w:rFonts w:ascii="Times New Roman" w:cs="Times New Roman" w:eastAsia="Times New Roman" w:hAnsi="Times New Roman"/>
          <w:sz w:val="17"/>
          <w:szCs w:val="17"/>
          <w:color w:val="auto"/>
        </w:rPr>
        <w:t>as a Lender</w:t>
      </w:r>
    </w:p>
    <w:p>
      <w:pPr>
        <w:spacing w:after="0" w:line="29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By: /s/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-7620</wp:posOffset>
            </wp:positionV>
            <wp:extent cx="18675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67535" cy="8890"/>
                    </a:xfrm>
                    <a:prstGeom prst="rect">
                      <a:avLst/>
                    </a:prstGeom>
                    <a:noFill/>
                  </pic:spPr>
                </pic:pic>
              </a:graphicData>
            </a:graphic>
          </wp:anchor>
        </w:drawing>
      </w:r>
    </w:p>
    <w:p>
      <w:pPr>
        <w:spacing w:after="0" w:line="7"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Name: John T. Smathers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2592070</wp:posOffset>
            </wp:positionH>
            <wp:positionV relativeFrom="paragraph">
              <wp:posOffset>-19050</wp:posOffset>
            </wp:positionV>
            <wp:extent cx="17310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31010" cy="8890"/>
                    </a:xfrm>
                    <a:prstGeom prst="rect">
                      <a:avLst/>
                    </a:prstGeom>
                    <a:noFill/>
                  </pic:spPr>
                </pic:pic>
              </a:graphicData>
            </a:graphic>
          </wp:anchor>
        </w:drawing>
      </w:r>
    </w:p>
    <w:p>
      <w:pPr>
        <w:ind w:left="36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2531110</wp:posOffset>
            </wp:positionH>
            <wp:positionV relativeFrom="paragraph">
              <wp:posOffset>-19050</wp:posOffset>
            </wp:positionV>
            <wp:extent cx="18319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183" w:lineRule="exact"/>
        <w:rPr>
          <w:sz w:val="20"/>
          <w:szCs w:val="20"/>
          <w:color w:val="auto"/>
        </w:rPr>
      </w:pPr>
    </w:p>
    <w:p>
      <w:pPr>
        <w:ind w:left="5440" w:right="2999" w:hanging="368"/>
        <w:spacing w:after="0" w:line="788" w:lineRule="auto"/>
        <w:tabs>
          <w:tab w:leader="none" w:pos="527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#160; </w:t>
      </w:r>
      <w:r>
        <w:rPr>
          <w:rFonts w:ascii="Times New Roman" w:cs="Times New Roman" w:eastAsia="Times New Roman" w:hAnsi="Times New Roman"/>
          <w:sz w:val="18"/>
          <w:szCs w:val="18"/>
          <w:color w:val="auto"/>
        </w:rPr>
        <w:t>&amp;# 160;</w:t>
      </w:r>
    </w:p>
    <w:sectPr>
      <w:pgSz w:w="11900" w:h="16838" w:orient="portrait"/>
      <w:cols w:equalWidth="0" w:num="1">
        <w:col w:w="9019"/>
      </w:cols>
      <w:pgMar w:left="1440" w:top="5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Letter"/>
      <w:start w:val="1"/>
    </w:lvl>
    <w:lvl w:ilvl="1">
      <w:lvlJc w:val="left"/>
      <w:lvlText w:val="(%2)"/>
      <w:numFmt w:val="lowerLetter"/>
      <w:start w:val="4"/>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Roman"/>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decimal"/>
      <w:start w:val="5"/>
    </w:lvl>
  </w:abstractNum>
  <w:abstractNum w:abstractNumId="11">
    <w:nsid w:val="66EF438D"/>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2019-12-13T14:03:21Z</dcterms:created>
  <dcterms:modified xsi:type="dcterms:W3CDTF">2019-12-13T14:03:21Z</dcterms:modified>
</cp:coreProperties>
</file>