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850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85025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Funk Edric C</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Pr>
          <w:p>
            <w:pPr>
              <w:ind w:left="42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5"/>
              </w:rPr>
              <w:t>8111 LYNDALE AVENUE SOUTH</w:t>
            </w:r>
          </w:p>
        </w:tc>
        <w:tc>
          <w:tcPr>
            <w:tcW w:w="118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r>
      <w:tr>
        <w:trPr>
          <w:trHeight w:val="25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640" w:type="dxa"/>
            <w:vAlign w:val="bottom"/>
          </w:tcPr>
          <w:p>
            <w:pPr>
              <w:ind w:left="42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TORO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8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06/28/2024</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Group VP, Golf, Grounds &amp; Irr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20" w:right="32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29"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7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0000FF"/>
              </w:rPr>
              <w:t>06/28/2024</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jc w:val="center"/>
              <w:ind w:right="140"/>
              <w:spacing w:after="0"/>
              <w:rPr>
                <w:sz w:val="20"/>
                <w:szCs w:val="20"/>
                <w:color w:val="auto"/>
              </w:rPr>
            </w:pPr>
            <w:r>
              <w:rPr>
                <w:rFonts w:ascii="Times New Roman" w:cs="Times New Roman" w:eastAsia="Times New Roman" w:hAnsi="Times New Roman"/>
                <w:sz w:val="13"/>
                <w:szCs w:val="13"/>
                <w:color w:val="0000FF"/>
                <w:w w:val="91"/>
              </w:rPr>
              <w:t>I</w:t>
            </w:r>
          </w:p>
        </w:tc>
        <w:tc>
          <w:tcPr>
            <w:tcW w:w="200" w:type="dxa"/>
            <w:vAlign w:val="bottom"/>
          </w:tcPr>
          <w:p>
            <w:pPr>
              <w:spacing w:after="0"/>
              <w:rPr>
                <w:sz w:val="17"/>
                <w:szCs w:val="17"/>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55</w:t>
            </w: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93.22</w:t>
            </w:r>
          </w:p>
        </w:tc>
        <w:tc>
          <w:tcPr>
            <w:tcW w:w="60" w:type="dxa"/>
            <w:vAlign w:val="bottom"/>
          </w:tcPr>
          <w:p>
            <w:pPr>
              <w:spacing w:after="0"/>
              <w:rPr>
                <w:sz w:val="17"/>
                <w:szCs w:val="17"/>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4,332.067</w:t>
            </w:r>
            <w:r>
              <w:rPr>
                <w:rFonts w:ascii="Times New Roman" w:cs="Times New Roman" w:eastAsia="Times New Roman" w:hAnsi="Times New Roman"/>
                <w:sz w:val="21"/>
                <w:szCs w:val="21"/>
                <w:color w:val="008000"/>
                <w:w w:val="94"/>
                <w:vertAlign w:val="superscript"/>
              </w:rPr>
              <w:t>(1)</w:t>
            </w:r>
          </w:p>
        </w:tc>
        <w:tc>
          <w:tcPr>
            <w:tcW w:w="340" w:type="dxa"/>
            <w:vAlign w:val="bottom"/>
          </w:tcPr>
          <w:p>
            <w:pPr>
              <w:spacing w:after="0"/>
              <w:rPr>
                <w:sz w:val="17"/>
                <w:szCs w:val="17"/>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jc w:val="center"/>
              <w:ind w:left="357"/>
              <w:spacing w:after="0"/>
              <w:rPr>
                <w:sz w:val="20"/>
                <w:szCs w:val="20"/>
                <w:color w:val="auto"/>
              </w:rPr>
            </w:pPr>
            <w:r>
              <w:rPr>
                <w:rFonts w:ascii="Times New Roman" w:cs="Times New Roman" w:eastAsia="Times New Roman" w:hAnsi="Times New Roman"/>
                <w:sz w:val="17"/>
                <w:szCs w:val="17"/>
                <w:color w:val="0000FF"/>
                <w:w w:val="93"/>
              </w:rPr>
              <w:t>0</w:t>
            </w: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1,053.5</w:t>
            </w:r>
            <w:r>
              <w:rPr>
                <w:rFonts w:ascii="Times New Roman" w:cs="Times New Roman" w:eastAsia="Times New Roman" w:hAnsi="Times New Roman"/>
                <w:sz w:val="21"/>
                <w:szCs w:val="21"/>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3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13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1,499.11</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3"/>
                <w:szCs w:val="13"/>
                <w:color w:val="0000FF"/>
              </w:rPr>
              <w:t>1,499.11</w:t>
            </w:r>
          </w:p>
        </w:tc>
        <w:tc>
          <w:tcPr>
            <w:tcW w:w="5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-1923415</wp:posOffset>
            </wp:positionV>
            <wp:extent cx="29210" cy="1929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91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104.85 net shares acquired by the reporting person since the date of his last report under the dividend reinvestment feature of The Toro Company Retirement Plan less non-discretionary quarterly administrative fees.</w:t>
      </w:r>
    </w:p>
    <w:p>
      <w:pPr>
        <w:spacing w:after="0" w:line="18" w:lineRule="exact"/>
        <w:rPr>
          <w:rFonts w:ascii="Times New Roman" w:cs="Times New Roman" w:eastAsia="Times New Roman" w:hAnsi="Times New Roman"/>
          <w:sz w:val="13"/>
          <w:szCs w:val="13"/>
          <w:color w:val="008000"/>
        </w:rPr>
      </w:pPr>
    </w:p>
    <w:p>
      <w:pPr>
        <w:ind w:left="40" w:right="60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4.375 performance share units acquired by the reporting person since the date of his last report under the dividend reinvestment feature of The Toro Company Deferred Compensation Plan for Officers.</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November 1, 2022 grant date.</w:t>
      </w:r>
    </w:p>
    <w:p>
      <w:pPr>
        <w:ind w:left="6600"/>
        <w:spacing w:after="0" w:line="185"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07/01/2024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300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099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5209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2024-07-01T10:49:54Z</dcterms:created>
  <dcterms:modified xsi:type="dcterms:W3CDTF">2024-07-01T10:49:54Z</dcterms:modified>
</cp:coreProperties>
</file>