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0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086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12/03/2015</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2,310</w:t>
            </w:r>
            <w:r>
              <w:rPr>
                <w:rFonts w:ascii="Arial" w:cs="Arial" w:eastAsia="Arial" w:hAnsi="Arial"/>
                <w:sz w:val="22"/>
                <w:szCs w:val="22"/>
                <w:color w:val="008000"/>
                <w:w w:val="95"/>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6"/>
              </w:rPr>
              <w:t>16,925.606</w:t>
            </w:r>
            <w:r>
              <w:rPr>
                <w:rFonts w:ascii="Arial" w:cs="Arial" w:eastAsia="Arial" w:hAnsi="Arial"/>
                <w:sz w:val="22"/>
                <w:szCs w:val="22"/>
                <w:color w:val="008000"/>
                <w:w w:val="96"/>
                <w:vertAlign w:val="superscript"/>
              </w:rPr>
              <w:t>(2)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133"/>
              <w:spacing w:after="0" w:line="217" w:lineRule="exact"/>
              <w:rPr>
                <w:sz w:val="20"/>
                <w:szCs w:val="20"/>
                <w:color w:val="auto"/>
              </w:rPr>
            </w:pPr>
            <w:r>
              <w:rPr>
                <w:rFonts w:ascii="Arial" w:cs="Arial" w:eastAsia="Arial" w:hAnsi="Arial"/>
                <w:sz w:val="18"/>
                <w:szCs w:val="18"/>
                <w:color w:val="0000FF"/>
              </w:rPr>
              <w:t>117.904</w:t>
            </w:r>
            <w:r>
              <w:rPr>
                <w:rFonts w:ascii="Arial" w:cs="Arial" w:eastAsia="Arial" w:hAnsi="Arial"/>
                <w:sz w:val="22"/>
                <w:szCs w:val="22"/>
                <w:color w:val="008000"/>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12/04/2015</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5,300</w:t>
            </w: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12/04/2025</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5,300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5,300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2013 to Fiscal 2015 Performance Period under The Toro Company Amended and Restated 2010 Equity and Incentive Plan, as amended, as approved by the registrant's Compensation &amp; Human Resources Committee of its Board of Directors on December 1, 2015, and which was conditioned upon and subject to confirmation by the registrant's Fiscal 2015 financial results that were released on December 3, 2015.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48.959 performance share units acquired by the reporting person since the date of his last report under the dividend reinvestment feature of the Deferred Plan.</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0.115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12/07/2015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2019-12-23T20:46:57Z</dcterms:created>
  <dcterms:modified xsi:type="dcterms:W3CDTF">2019-12-23T20:46:57Z</dcterms:modified>
</cp:coreProperties>
</file>