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742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742940"/>
                    </a:xfrm>
                    <a:prstGeom prst="rect">
                      <a:avLst/>
                    </a:prstGeom>
                    <a:noFill/>
                  </pic:spPr>
                </pic:pic>
              </a:graphicData>
            </a:graphic>
          </wp:anchor>
        </w:drawing>
      </w:r>
    </w:p>
    <w:p>
      <w:pPr>
        <w:sectPr>
          <w:pgSz w:w="11900" w:h="16838" w:orient="portrait"/>
          <w:cols w:equalWidth="0" w:num="1">
            <w:col w:w="10940"/>
          </w:cols>
          <w:pgMar w:left="480" w:top="230" w:right="479" w:bottom="865"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Smith Kevin L</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420" w:type="dxa"/>
            <w:vAlign w:val="bottom"/>
            <w:tcBorders>
              <w:top w:val="single" w:sz="8" w:color="0000EE"/>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12/13/2022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TORO CO</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TTC</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865"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200" w:type="dxa"/>
            <w:vAlign w:val="bottom"/>
          </w:tcPr>
          <w:p>
            <w:pPr>
              <w:ind w:left="280"/>
              <w:spacing w:after="0"/>
              <w:rPr>
                <w:sz w:val="20"/>
                <w:szCs w:val="20"/>
                <w:color w:val="auto"/>
              </w:rPr>
            </w:pPr>
            <w:r>
              <w:rPr>
                <w:rFonts w:ascii="Arial" w:cs="Arial" w:eastAsia="Arial" w:hAnsi="Arial"/>
                <w:sz w:val="15"/>
                <w:szCs w:val="15"/>
                <w:color w:val="auto"/>
              </w:rPr>
              <w:t>(First)</w:t>
            </w:r>
          </w:p>
        </w:tc>
        <w:tc>
          <w:tcPr>
            <w:tcW w:w="1120" w:type="dxa"/>
            <w:vAlign w:val="bottom"/>
          </w:tcPr>
          <w:p>
            <w:pPr>
              <w:ind w:left="12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8111 LYNDALE AVENUE SOUTH</w:t>
            </w:r>
          </w:p>
        </w:tc>
      </w:tr>
      <w:tr>
        <w:trPr>
          <w:trHeight w:val="237"/>
        </w:trPr>
        <w:tc>
          <w:tcPr>
            <w:tcW w:w="780" w:type="dxa"/>
            <w:vAlign w:val="bottom"/>
            <w:tcBorders>
              <w:bottom w:val="single" w:sz="8" w:color="9A9A9A"/>
            </w:tcBorders>
          </w:tcPr>
          <w:p>
            <w:pPr>
              <w:spacing w:after="0"/>
              <w:rPr>
                <w:sz w:val="20"/>
                <w:szCs w:val="20"/>
                <w:color w:val="auto"/>
              </w:rPr>
            </w:pPr>
          </w:p>
        </w:tc>
        <w:tc>
          <w:tcPr>
            <w:tcW w:w="1200" w:type="dxa"/>
            <w:vAlign w:val="bottom"/>
            <w:tcBorders>
              <w:bottom w:val="single" w:sz="8" w:color="9A9A9A"/>
            </w:tcBorders>
          </w:tcPr>
          <w:p>
            <w:pPr>
              <w:spacing w:after="0"/>
              <w:rPr>
                <w:sz w:val="20"/>
                <w:szCs w:val="20"/>
                <w:color w:val="auto"/>
              </w:rPr>
            </w:pPr>
          </w:p>
        </w:tc>
        <w:tc>
          <w:tcPr>
            <w:tcW w:w="112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65"/>
        </w:trPr>
        <w:tc>
          <w:tcPr>
            <w:tcW w:w="19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BLOOMINGTON MN</w:t>
            </w:r>
          </w:p>
        </w:tc>
        <w:tc>
          <w:tcPr>
            <w:tcW w:w="1120" w:type="dxa"/>
            <w:vAlign w:val="bottom"/>
          </w:tcPr>
          <w:p>
            <w:pPr>
              <w:jc w:val="right"/>
              <w:ind w:right="237"/>
              <w:spacing w:after="0"/>
              <w:rPr>
                <w:sz w:val="20"/>
                <w:szCs w:val="20"/>
                <w:color w:val="auto"/>
              </w:rPr>
            </w:pPr>
            <w:r>
              <w:rPr>
                <w:rFonts w:ascii="Times New Roman" w:cs="Times New Roman" w:eastAsia="Times New Roman" w:hAnsi="Times New Roman"/>
                <w:sz w:val="20"/>
                <w:szCs w:val="20"/>
                <w:color w:val="0000FF"/>
              </w:rPr>
              <w:t>55420</w:t>
            </w:r>
          </w:p>
        </w:tc>
      </w:tr>
      <w:tr>
        <w:trPr>
          <w:trHeight w:val="177"/>
        </w:trPr>
        <w:tc>
          <w:tcPr>
            <w:tcW w:w="7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200" w:type="dxa"/>
            <w:vAlign w:val="bottom"/>
          </w:tcPr>
          <w:p>
            <w:pPr>
              <w:ind w:left="280"/>
              <w:spacing w:after="0"/>
              <w:rPr>
                <w:sz w:val="20"/>
                <w:szCs w:val="20"/>
                <w:color w:val="auto"/>
              </w:rPr>
            </w:pPr>
            <w:r>
              <w:rPr>
                <w:rFonts w:ascii="Arial" w:cs="Arial" w:eastAsia="Arial" w:hAnsi="Arial"/>
                <w:sz w:val="15"/>
                <w:szCs w:val="15"/>
                <w:color w:val="auto"/>
              </w:rPr>
              <w:t>(State)</w:t>
            </w:r>
          </w:p>
        </w:tc>
        <w:tc>
          <w:tcPr>
            <w:tcW w:w="1120" w:type="dxa"/>
            <w:vAlign w:val="bottom"/>
          </w:tcPr>
          <w:p>
            <w:pPr>
              <w:ind w:left="12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6"/>
          <w:szCs w:val="26"/>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463"/>
        <w:spacing w:after="0"/>
        <w:rPr>
          <w:sz w:val="20"/>
          <w:szCs w:val="20"/>
          <w:color w:val="auto"/>
        </w:rPr>
      </w:pPr>
      <w:r>
        <w:rPr>
          <w:rFonts w:ascii="Times New Roman" w:cs="Times New Roman" w:eastAsia="Times New Roman" w:hAnsi="Times New Roman"/>
          <w:sz w:val="20"/>
          <w:szCs w:val="20"/>
          <w:color w:val="0000FF"/>
        </w:rPr>
        <w:t>Vice President, Ditch Witch</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865"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20" w:type="dxa"/>
            <w:vAlign w:val="bottom"/>
          </w:tcPr>
          <w:p>
            <w:pPr>
              <w:ind w:left="40"/>
              <w:spacing w:after="0"/>
              <w:rPr>
                <w:sz w:val="20"/>
                <w:szCs w:val="20"/>
                <w:color w:val="auto"/>
              </w:rPr>
            </w:pPr>
            <w:r>
              <w:rPr>
                <w:rFonts w:ascii="Arial" w:cs="Arial" w:eastAsia="Arial" w:hAnsi="Arial"/>
                <w:sz w:val="15"/>
                <w:szCs w:val="15"/>
                <w:b w:val="1"/>
                <w:bCs w:val="1"/>
                <w:color w:val="auto"/>
              </w:rPr>
              <w:t>2. Amount of Securities</w:t>
            </w:r>
          </w:p>
        </w:tc>
        <w:tc>
          <w:tcPr>
            <w:tcW w:w="1380" w:type="dxa"/>
            <w:vAlign w:val="bottom"/>
            <w:gridSpan w:val="3"/>
          </w:tcPr>
          <w:p>
            <w:pPr>
              <w:ind w:left="20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2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380" w:type="dxa"/>
            <w:vAlign w:val="bottom"/>
            <w:gridSpan w:val="3"/>
          </w:tcPr>
          <w:p>
            <w:pPr>
              <w:ind w:left="200"/>
              <w:spacing w:after="0" w:line="165" w:lineRule="exact"/>
              <w:rPr>
                <w:sz w:val="20"/>
                <w:szCs w:val="20"/>
                <w:color w:val="auto"/>
              </w:rPr>
            </w:pPr>
            <w:r>
              <w:rPr>
                <w:rFonts w:ascii="Arial" w:cs="Arial" w:eastAsia="Arial" w:hAnsi="Arial"/>
                <w:sz w:val="15"/>
                <w:szCs w:val="15"/>
                <w:b w:val="1"/>
                <w:bCs w:val="1"/>
                <w:color w:val="auto"/>
              </w:rPr>
              <w:t>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2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4)</w:t>
            </w:r>
          </w:p>
        </w:tc>
        <w:tc>
          <w:tcPr>
            <w:tcW w:w="1380" w:type="dxa"/>
            <w:vAlign w:val="bottom"/>
            <w:gridSpan w:val="3"/>
          </w:tcPr>
          <w:p>
            <w:pPr>
              <w:ind w:left="200"/>
              <w:spacing w:after="0" w:line="165" w:lineRule="exact"/>
              <w:rPr>
                <w:sz w:val="20"/>
                <w:szCs w:val="20"/>
                <w:color w:val="auto"/>
              </w:rPr>
            </w:pPr>
            <w:r>
              <w:rPr>
                <w:rFonts w:ascii="Arial" w:cs="Arial" w:eastAsia="Arial" w:hAnsi="Arial"/>
                <w:sz w:val="15"/>
                <w:szCs w:val="15"/>
                <w:b w:val="1"/>
                <w:bCs w:val="1"/>
                <w:color w:val="auto"/>
              </w:rPr>
              <w:t>(D) or Indirect</w:t>
            </w: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380" w:type="dxa"/>
            <w:vAlign w:val="bottom"/>
            <w:gridSpan w:val="3"/>
          </w:tcPr>
          <w:p>
            <w:pPr>
              <w:ind w:left="200"/>
              <w:spacing w:after="0"/>
              <w:rPr>
                <w:sz w:val="20"/>
                <w:szCs w:val="20"/>
                <w:color w:val="auto"/>
              </w:rPr>
            </w:pPr>
            <w:r>
              <w:rPr>
                <w:rFonts w:ascii="Arial" w:cs="Arial" w:eastAsia="Arial" w:hAnsi="Arial"/>
                <w:sz w:val="15"/>
                <w:szCs w:val="15"/>
                <w:b w:val="1"/>
                <w:bCs w:val="1"/>
                <w:color w:val="auto"/>
              </w:rPr>
              <w:t>(I) (Instr. 5)</w:t>
            </w: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920" w:type="dxa"/>
            <w:vAlign w:val="bottom"/>
          </w:tcPr>
          <w:p>
            <w:pPr>
              <w:jc w:val="right"/>
              <w:ind w:right="495"/>
              <w:spacing w:after="0"/>
              <w:rPr>
                <w:sz w:val="20"/>
                <w:szCs w:val="20"/>
                <w:color w:val="auto"/>
              </w:rPr>
            </w:pPr>
            <w:r>
              <w:rPr>
                <w:rFonts w:ascii="Times New Roman" w:cs="Times New Roman" w:eastAsia="Times New Roman" w:hAnsi="Times New Roman"/>
                <w:sz w:val="20"/>
                <w:szCs w:val="20"/>
                <w:color w:val="0000FF"/>
              </w:rPr>
              <w:t>1,477.23</w:t>
            </w:r>
          </w:p>
        </w:tc>
        <w:tc>
          <w:tcPr>
            <w:tcW w:w="82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0000FF"/>
              </w:rPr>
              <w:t>D</w:t>
            </w: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9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gridSpan w:val="3"/>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920" w:type="dxa"/>
            <w:vAlign w:val="bottom"/>
            <w:vMerge w:val="restart"/>
          </w:tcPr>
          <w:p>
            <w:pPr>
              <w:jc w:val="right"/>
              <w:ind w:right="615"/>
              <w:spacing w:after="0"/>
              <w:rPr>
                <w:sz w:val="20"/>
                <w:szCs w:val="20"/>
                <w:color w:val="auto"/>
              </w:rPr>
            </w:pPr>
            <w:r>
              <w:rPr>
                <w:rFonts w:ascii="Times New Roman" w:cs="Times New Roman" w:eastAsia="Times New Roman" w:hAnsi="Times New Roman"/>
                <w:sz w:val="20"/>
                <w:szCs w:val="20"/>
                <w:color w:val="0000FF"/>
              </w:rPr>
              <w:t>1.019</w:t>
            </w:r>
          </w:p>
        </w:tc>
        <w:tc>
          <w:tcPr>
            <w:tcW w:w="820" w:type="dxa"/>
            <w:vAlign w:val="bottom"/>
            <w:gridSpan w:val="2"/>
            <w:vMerge w:val="restart"/>
          </w:tcPr>
          <w:p>
            <w:pPr>
              <w:ind w:left="680"/>
              <w:spacing w:after="0"/>
              <w:rPr>
                <w:sz w:val="20"/>
                <w:szCs w:val="20"/>
                <w:color w:val="auto"/>
              </w:rPr>
            </w:pPr>
            <w:r>
              <w:rPr>
                <w:rFonts w:ascii="Times New Roman" w:cs="Times New Roman" w:eastAsia="Times New Roman" w:hAnsi="Times New Roman"/>
                <w:sz w:val="20"/>
                <w:szCs w:val="20"/>
                <w:color w:val="0000FF"/>
              </w:rPr>
              <w:t>I</w:t>
            </w:r>
          </w:p>
        </w:tc>
        <w:tc>
          <w:tcPr>
            <w:tcW w:w="56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The Toro Company Retirement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920" w:type="dxa"/>
            <w:vAlign w:val="bottom"/>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Plan</w:t>
            </w:r>
          </w:p>
        </w:tc>
        <w:tc>
          <w:tcPr>
            <w:tcW w:w="9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9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4500" w:type="dxa"/>
            <w:vAlign w:val="bottom"/>
            <w:tcBorders>
              <w:bottom w:val="single" w:sz="8" w:color="2C2C2C"/>
            </w:tcBorders>
            <w:gridSpan w:val="4"/>
          </w:tcPr>
          <w:p>
            <w:pPr>
              <w:spacing w:after="0"/>
              <w:rPr>
                <w:sz w:val="9"/>
                <w:szCs w:val="9"/>
                <w:color w:val="auto"/>
              </w:rPr>
            </w:pPr>
          </w:p>
        </w:tc>
        <w:tc>
          <w:tcPr>
            <w:tcW w:w="620" w:type="dxa"/>
            <w:vAlign w:val="bottom"/>
            <w:tcBorders>
              <w:bottom w:val="single" w:sz="8" w:color="2C2C2C"/>
            </w:tcBorders>
            <w:gridSpan w:val="2"/>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12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40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380" w:type="dxa"/>
            <w:vAlign w:val="bottom"/>
            <w:gridSpan w:val="7"/>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4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26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8"/>
                <w:szCs w:val="18"/>
                <w:color w:val="auto"/>
              </w:rPr>
            </w:pPr>
          </w:p>
        </w:tc>
        <w:tc>
          <w:tcPr>
            <w:tcW w:w="182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40" w:type="dxa"/>
            <w:vAlign w:val="bottom"/>
            <w:gridSpan w:val="3"/>
          </w:tcPr>
          <w:p>
            <w:pPr>
              <w:ind w:left="140"/>
              <w:spacing w:after="0"/>
              <w:rPr>
                <w:sz w:val="20"/>
                <w:szCs w:val="20"/>
                <w:color w:val="auto"/>
              </w:rPr>
            </w:pPr>
            <w:r>
              <w:rPr>
                <w:rFonts w:ascii="Arial" w:cs="Arial" w:eastAsia="Arial" w:hAnsi="Arial"/>
                <w:sz w:val="15"/>
                <w:szCs w:val="15"/>
                <w:b w:val="1"/>
                <w:bCs w:val="1"/>
                <w:color w:val="auto"/>
              </w:rPr>
              <w:t>3. Title and Amount of Securities</w:t>
            </w:r>
          </w:p>
        </w:tc>
        <w:tc>
          <w:tcPr>
            <w:tcW w:w="56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400" w:type="dxa"/>
            <w:vAlign w:val="bottom"/>
          </w:tcPr>
          <w:p>
            <w:pPr>
              <w:spacing w:after="0"/>
              <w:rPr>
                <w:sz w:val="18"/>
                <w:szCs w:val="18"/>
                <w:color w:val="auto"/>
              </w:rPr>
            </w:pPr>
          </w:p>
        </w:tc>
        <w:tc>
          <w:tcPr>
            <w:tcW w:w="900" w:type="dxa"/>
            <w:vAlign w:val="bottom"/>
          </w:tcPr>
          <w:p>
            <w:pPr>
              <w:ind w:left="6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40" w:type="dxa"/>
            <w:vAlign w:val="bottom"/>
            <w:gridSpan w:val="3"/>
          </w:tcPr>
          <w:p>
            <w:pPr>
              <w:ind w:left="14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6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9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(Instr. 4)</w:t>
            </w: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9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60" w:type="dxa"/>
            <w:vAlign w:val="bottom"/>
            <w:gridSpan w:val="2"/>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0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920" w:type="dxa"/>
            <w:vAlign w:val="bottom"/>
          </w:tcPr>
          <w:p>
            <w:pPr>
              <w:spacing w:after="0"/>
              <w:rPr>
                <w:sz w:val="5"/>
                <w:szCs w:val="5"/>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5"/>
                <w:szCs w:val="15"/>
                <w:b w:val="1"/>
                <w:bCs w:val="1"/>
                <w:color w:val="auto"/>
              </w:rPr>
              <w:t>Amount</w:t>
            </w:r>
          </w:p>
        </w:tc>
        <w:tc>
          <w:tcPr>
            <w:tcW w:w="960" w:type="dxa"/>
            <w:vAlign w:val="bottom"/>
            <w:gridSpan w:val="2"/>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960" w:type="dxa"/>
            <w:vAlign w:val="bottom"/>
            <w:gridSpan w:val="2"/>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00" w:type="dxa"/>
            <w:vAlign w:val="bottom"/>
          </w:tcPr>
          <w:p>
            <w:pPr>
              <w:ind w:left="6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2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or</w:t>
            </w:r>
          </w:p>
        </w:tc>
        <w:tc>
          <w:tcPr>
            <w:tcW w:w="96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2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Number</w:t>
            </w: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2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8"/>
              </w:rPr>
              <w:t>Expiration</w:t>
            </w:r>
          </w:p>
        </w:tc>
        <w:tc>
          <w:tcPr>
            <w:tcW w:w="1920" w:type="dxa"/>
            <w:vAlign w:val="bottom"/>
          </w:tcPr>
          <w:p>
            <w:pPr>
              <w:spacing w:after="0"/>
              <w:rPr>
                <w:sz w:val="14"/>
                <w:szCs w:val="14"/>
                <w:color w:val="auto"/>
              </w:rPr>
            </w:pPr>
          </w:p>
        </w:tc>
        <w:tc>
          <w:tcPr>
            <w:tcW w:w="82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of</w:t>
            </w: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2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920" w:type="dxa"/>
            <w:vAlign w:val="bottom"/>
          </w:tcPr>
          <w:p>
            <w:pPr>
              <w:ind w:left="140"/>
              <w:spacing w:after="0"/>
              <w:rPr>
                <w:sz w:val="20"/>
                <w:szCs w:val="20"/>
                <w:color w:val="auto"/>
              </w:rPr>
            </w:pPr>
            <w:r>
              <w:rPr>
                <w:rFonts w:ascii="Arial" w:cs="Arial" w:eastAsia="Arial" w:hAnsi="Arial"/>
                <w:sz w:val="15"/>
                <w:szCs w:val="15"/>
                <w:b w:val="1"/>
                <w:bCs w:val="1"/>
                <w:color w:val="auto"/>
              </w:rPr>
              <w:t>Title</w:t>
            </w:r>
          </w:p>
        </w:tc>
        <w:tc>
          <w:tcPr>
            <w:tcW w:w="820" w:type="dxa"/>
            <w:vAlign w:val="bottom"/>
            <w:gridSpan w:val="2"/>
          </w:tcPr>
          <w:p>
            <w:pPr>
              <w:ind w:left="40"/>
              <w:spacing w:after="0"/>
              <w:rPr>
                <w:sz w:val="20"/>
                <w:szCs w:val="20"/>
                <w:color w:val="auto"/>
              </w:rPr>
            </w:pPr>
            <w:r>
              <w:rPr>
                <w:rFonts w:ascii="Arial" w:cs="Arial" w:eastAsia="Arial" w:hAnsi="Arial"/>
                <w:sz w:val="15"/>
                <w:szCs w:val="15"/>
                <w:b w:val="1"/>
                <w:bCs w:val="1"/>
                <w:color w:val="auto"/>
              </w:rPr>
              <w:t>Shares</w:t>
            </w: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Non-Qualified Stock Option</w:t>
            </w:r>
          </w:p>
        </w:tc>
        <w:tc>
          <w:tcPr>
            <w:tcW w:w="126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(1)</w:t>
            </w:r>
          </w:p>
        </w:tc>
        <w:tc>
          <w:tcPr>
            <w:tcW w:w="82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12/19/2029</w:t>
            </w:r>
          </w:p>
        </w:tc>
        <w:tc>
          <w:tcPr>
            <w:tcW w:w="1920" w:type="dxa"/>
            <w:vAlign w:val="bottom"/>
          </w:tcPr>
          <w:p>
            <w:pPr>
              <w:ind w:left="360"/>
              <w:spacing w:after="0"/>
              <w:rPr>
                <w:sz w:val="20"/>
                <w:szCs w:val="20"/>
                <w:color w:val="auto"/>
              </w:rPr>
            </w:pPr>
            <w:r>
              <w:rPr>
                <w:rFonts w:ascii="Times New Roman" w:cs="Times New Roman" w:eastAsia="Times New Roman" w:hAnsi="Times New Roman"/>
                <w:sz w:val="20"/>
                <w:szCs w:val="20"/>
                <w:color w:val="0000FF"/>
              </w:rPr>
              <w:t>Common Stock</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3,000</w:t>
            </w:r>
          </w:p>
        </w:tc>
        <w:tc>
          <w:tcPr>
            <w:tcW w:w="60" w:type="dxa"/>
            <w:vAlign w:val="bottom"/>
          </w:tcPr>
          <w:p>
            <w:pPr>
              <w:spacing w:after="0"/>
              <w:rPr>
                <w:sz w:val="24"/>
                <w:szCs w:val="24"/>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0000FF"/>
                <w:w w:val="97"/>
              </w:rPr>
              <w:t>76.53</w:t>
            </w:r>
          </w:p>
        </w:tc>
        <w:tc>
          <w:tcPr>
            <w:tcW w:w="900" w:type="dxa"/>
            <w:vAlign w:val="bottom"/>
          </w:tcPr>
          <w:p>
            <w:pPr>
              <w:ind w:left="38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gridSpan w:val="2"/>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9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Non-Qualified Stock Option</w:t>
            </w:r>
          </w:p>
        </w:tc>
        <w:tc>
          <w:tcPr>
            <w:tcW w:w="126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2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12/17/2030</w:t>
            </w:r>
          </w:p>
        </w:tc>
        <w:tc>
          <w:tcPr>
            <w:tcW w:w="1920" w:type="dxa"/>
            <w:vAlign w:val="bottom"/>
          </w:tcPr>
          <w:p>
            <w:pPr>
              <w:ind w:left="360"/>
              <w:spacing w:after="0"/>
              <w:rPr>
                <w:sz w:val="20"/>
                <w:szCs w:val="20"/>
                <w:color w:val="auto"/>
              </w:rPr>
            </w:pPr>
            <w:r>
              <w:rPr>
                <w:rFonts w:ascii="Times New Roman" w:cs="Times New Roman" w:eastAsia="Times New Roman" w:hAnsi="Times New Roman"/>
                <w:sz w:val="20"/>
                <w:szCs w:val="20"/>
                <w:color w:val="0000FF"/>
              </w:rPr>
              <w:t>Common Stock</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6,300</w:t>
            </w:r>
          </w:p>
        </w:tc>
        <w:tc>
          <w:tcPr>
            <w:tcW w:w="60" w:type="dxa"/>
            <w:vAlign w:val="bottom"/>
          </w:tcPr>
          <w:p>
            <w:pPr>
              <w:spacing w:after="0"/>
              <w:rPr>
                <w:sz w:val="24"/>
                <w:szCs w:val="24"/>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0000FF"/>
                <w:w w:val="97"/>
              </w:rPr>
              <w:t>93.33</w:t>
            </w:r>
          </w:p>
        </w:tc>
        <w:tc>
          <w:tcPr>
            <w:tcW w:w="900" w:type="dxa"/>
            <w:vAlign w:val="bottom"/>
          </w:tcPr>
          <w:p>
            <w:pPr>
              <w:ind w:left="38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gridSpan w:val="2"/>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9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Non-Qualified Stock Option</w:t>
            </w:r>
          </w:p>
        </w:tc>
        <w:tc>
          <w:tcPr>
            <w:tcW w:w="126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82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12/16/2031</w:t>
            </w:r>
          </w:p>
        </w:tc>
        <w:tc>
          <w:tcPr>
            <w:tcW w:w="1920" w:type="dxa"/>
            <w:vAlign w:val="bottom"/>
          </w:tcPr>
          <w:p>
            <w:pPr>
              <w:ind w:left="360"/>
              <w:spacing w:after="0"/>
              <w:rPr>
                <w:sz w:val="20"/>
                <w:szCs w:val="20"/>
                <w:color w:val="auto"/>
              </w:rPr>
            </w:pPr>
            <w:r>
              <w:rPr>
                <w:rFonts w:ascii="Times New Roman" w:cs="Times New Roman" w:eastAsia="Times New Roman" w:hAnsi="Times New Roman"/>
                <w:sz w:val="20"/>
                <w:szCs w:val="20"/>
                <w:color w:val="0000FF"/>
              </w:rPr>
              <w:t>Common Stock</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4,600</w:t>
            </w:r>
          </w:p>
        </w:tc>
        <w:tc>
          <w:tcPr>
            <w:tcW w:w="60" w:type="dxa"/>
            <w:vAlign w:val="bottom"/>
          </w:tcPr>
          <w:p>
            <w:pPr>
              <w:spacing w:after="0"/>
              <w:rPr>
                <w:sz w:val="24"/>
                <w:szCs w:val="24"/>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0000FF"/>
                <w:w w:val="97"/>
              </w:rPr>
              <w:t>99.34</w:t>
            </w:r>
          </w:p>
        </w:tc>
        <w:tc>
          <w:tcPr>
            <w:tcW w:w="900" w:type="dxa"/>
            <w:vAlign w:val="bottom"/>
          </w:tcPr>
          <w:p>
            <w:pPr>
              <w:ind w:left="38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gridSpan w:val="2"/>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9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Restricted Stock Units</w:t>
            </w:r>
          </w:p>
        </w:tc>
        <w:tc>
          <w:tcPr>
            <w:tcW w:w="126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(4)</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008000"/>
              </w:rPr>
              <w:t>(4)</w:t>
            </w:r>
          </w:p>
        </w:tc>
        <w:tc>
          <w:tcPr>
            <w:tcW w:w="1920" w:type="dxa"/>
            <w:vAlign w:val="bottom"/>
          </w:tcPr>
          <w:p>
            <w:pPr>
              <w:ind w:left="360"/>
              <w:spacing w:after="0"/>
              <w:rPr>
                <w:sz w:val="20"/>
                <w:szCs w:val="20"/>
                <w:color w:val="auto"/>
              </w:rPr>
            </w:pPr>
            <w:r>
              <w:rPr>
                <w:rFonts w:ascii="Times New Roman" w:cs="Times New Roman" w:eastAsia="Times New Roman" w:hAnsi="Times New Roman"/>
                <w:sz w:val="20"/>
                <w:szCs w:val="20"/>
                <w:color w:val="0000FF"/>
              </w:rPr>
              <w:t>Common Stock</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5"/>
              </w:rPr>
              <w:t>716.503</w:t>
            </w:r>
          </w:p>
        </w:tc>
        <w:tc>
          <w:tcPr>
            <w:tcW w:w="60" w:type="dxa"/>
            <w:vAlign w:val="bottom"/>
          </w:tcPr>
          <w:p>
            <w:pPr>
              <w:spacing w:after="0"/>
              <w:rPr>
                <w:sz w:val="24"/>
                <w:szCs w:val="24"/>
                <w:color w:val="auto"/>
              </w:rPr>
            </w:pPr>
          </w:p>
        </w:tc>
        <w:tc>
          <w:tcPr>
            <w:tcW w:w="560" w:type="dxa"/>
            <w:vAlign w:val="bottom"/>
          </w:tcPr>
          <w:p>
            <w:pPr>
              <w:jc w:val="center"/>
              <w:ind w:left="259"/>
              <w:spacing w:after="0"/>
              <w:rPr>
                <w:sz w:val="20"/>
                <w:szCs w:val="20"/>
                <w:color w:val="auto"/>
              </w:rPr>
            </w:pPr>
            <w:r>
              <w:rPr>
                <w:rFonts w:ascii="Times New Roman" w:cs="Times New Roman" w:eastAsia="Times New Roman" w:hAnsi="Times New Roman"/>
                <w:sz w:val="13"/>
                <w:szCs w:val="13"/>
                <w:color w:val="008000"/>
                <w:w w:val="92"/>
              </w:rPr>
              <w:t>(5)</w:t>
            </w:r>
          </w:p>
        </w:tc>
        <w:tc>
          <w:tcPr>
            <w:tcW w:w="400" w:type="dxa"/>
            <w:vAlign w:val="bottom"/>
          </w:tcPr>
          <w:p>
            <w:pPr>
              <w:spacing w:after="0"/>
              <w:rPr>
                <w:sz w:val="24"/>
                <w:szCs w:val="24"/>
                <w:color w:val="auto"/>
              </w:rPr>
            </w:pPr>
          </w:p>
        </w:tc>
        <w:tc>
          <w:tcPr>
            <w:tcW w:w="900" w:type="dxa"/>
            <w:vAlign w:val="bottom"/>
          </w:tcPr>
          <w:p>
            <w:pPr>
              <w:ind w:left="38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9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 vested in three equal annual installments commencing on the first anniversary of the December 19, 2019 grant date.</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 vests in three equal annual installments commencing on the first anniversary of the December 17, 2020 grant date.</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 vests in three equal annual installments commencing on the first anniversary of the December 16, 2021 grant date.</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restricted stock units and related dividend and equivalents vest and become non-forfeitable in full on the third anniversary of the November 2, 2020 grant date.</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restricted stock unit represents a contingent right to receive one share of TTC common stock.</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Amy E. Dahl, Attorney-</w:t>
            </w:r>
          </w:p>
        </w:tc>
        <w:tc>
          <w:tcPr>
            <w:tcW w:w="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12/20/2022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865"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Exhibit 24</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LIMITED POWER OF ATTORNEY</w:t>
      </w:r>
    </w:p>
    <w:p>
      <w:pPr>
        <w:spacing w:after="0" w:line="224" w:lineRule="exact"/>
        <w:rPr>
          <w:sz w:val="20"/>
          <w:szCs w:val="20"/>
          <w:color w:val="auto"/>
        </w:rPr>
      </w:pPr>
    </w:p>
    <w:p>
      <w:pPr>
        <w:ind w:right="2139"/>
        <w:spacing w:after="0" w:line="265"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Amy E. Dahl, signing singly, true and lawful attorney-in-fact relative to the filings identified below in connection with the undersigned's derivative and non-derivative securities of The Toro Company (the ?Company?) to:</w:t>
      </w:r>
    </w:p>
    <w:p>
      <w:pPr>
        <w:spacing w:after="0" w:line="100" w:lineRule="exact"/>
        <w:rPr>
          <w:sz w:val="20"/>
          <w:szCs w:val="20"/>
          <w:color w:val="auto"/>
        </w:rPr>
      </w:pPr>
    </w:p>
    <w:p>
      <w:pPr>
        <w:ind w:right="2019"/>
        <w:spacing w:after="0" w:line="265" w:lineRule="auto"/>
        <w:tabs>
          <w:tab w:leader="none" w:pos="937"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and execute for and on behalf of the undersigned, in the undersigned?s capacity as an officer of the Company, Forms 3, 4 and 5 in accordance with Section 16(a) of the Securities Exchange Act of 1934, as amended, and the rules and regulations thereunder (the ?Exchange Act?);</w:t>
      </w:r>
    </w:p>
    <w:p>
      <w:pPr>
        <w:spacing w:after="0" w:line="99" w:lineRule="exact"/>
        <w:rPr>
          <w:rFonts w:ascii="Courier New" w:cs="Courier New" w:eastAsia="Courier New" w:hAnsi="Courier New"/>
          <w:sz w:val="20"/>
          <w:szCs w:val="20"/>
          <w:color w:val="auto"/>
        </w:rPr>
      </w:pPr>
    </w:p>
    <w:p>
      <w:pPr>
        <w:ind w:right="2379"/>
        <w:spacing w:after="0" w:line="265" w:lineRule="auto"/>
        <w:tabs>
          <w:tab w:leader="none" w:pos="937"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and execute for and on behalf of the undersigned, in the undersigned?s capacity as an officer of the Company, any Form 144 in accordance with Rule 144 under the Securities Act of 1933, as amended, and the rules and regulations thereunder (the ?Securities Act?);</w:t>
      </w:r>
    </w:p>
    <w:p>
      <w:pPr>
        <w:spacing w:after="0" w:line="99" w:lineRule="exact"/>
        <w:rPr>
          <w:rFonts w:ascii="Courier New" w:cs="Courier New" w:eastAsia="Courier New" w:hAnsi="Courier New"/>
          <w:sz w:val="20"/>
          <w:szCs w:val="20"/>
          <w:color w:val="auto"/>
        </w:rPr>
      </w:pPr>
    </w:p>
    <w:p>
      <w:pPr>
        <w:ind w:right="2019"/>
        <w:spacing w:after="0" w:line="265" w:lineRule="auto"/>
        <w:tabs>
          <w:tab w:leader="none" w:pos="937"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99" w:lineRule="exact"/>
        <w:rPr>
          <w:rFonts w:ascii="Courier New" w:cs="Courier New" w:eastAsia="Courier New" w:hAnsi="Courier New"/>
          <w:sz w:val="20"/>
          <w:szCs w:val="20"/>
          <w:color w:val="auto"/>
        </w:rPr>
      </w:pPr>
    </w:p>
    <w:p>
      <w:pPr>
        <w:ind w:right="2019"/>
        <w:spacing w:after="0" w:line="254" w:lineRule="auto"/>
        <w:tabs>
          <w:tab w:leader="none" w:pos="937"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108" w:lineRule="exact"/>
        <w:rPr>
          <w:sz w:val="20"/>
          <w:szCs w:val="20"/>
          <w:color w:val="auto"/>
        </w:rPr>
      </w:pPr>
    </w:p>
    <w:p>
      <w:pPr>
        <w:ind w:right="1899"/>
        <w:spacing w:after="0" w:line="275" w:lineRule="auto"/>
        <w:rPr>
          <w:sz w:val="20"/>
          <w:szCs w:val="20"/>
          <w:color w:val="auto"/>
        </w:rPr>
      </w:pPr>
      <w:r>
        <w:rPr>
          <w:rFonts w:ascii="Courier New" w:cs="Courier New" w:eastAsia="Courier New" w:hAnsi="Courier New"/>
          <w:sz w:val="18"/>
          <w:szCs w:val="18"/>
          <w:color w:val="auto"/>
        </w:rPr>
        <w:t>The undersigned hereby grants to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Limited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the Securities Act and Exchange Act, including Section 16 of the Exchange Act and Rule 144 under the Securities Act.</w:t>
      </w:r>
    </w:p>
    <w:p>
      <w:pPr>
        <w:spacing w:after="0" w:line="331" w:lineRule="exact"/>
        <w:rPr>
          <w:sz w:val="20"/>
          <w:szCs w:val="20"/>
          <w:color w:val="auto"/>
        </w:rPr>
      </w:pPr>
    </w:p>
    <w:p>
      <w:pPr>
        <w:ind w:right="2019"/>
        <w:spacing w:after="0" w:line="302" w:lineRule="auto"/>
        <w:rPr>
          <w:sz w:val="20"/>
          <w:szCs w:val="20"/>
          <w:color w:val="auto"/>
        </w:rPr>
      </w:pPr>
      <w:r>
        <w:rPr>
          <w:rFonts w:ascii="Courier New" w:cs="Courier New" w:eastAsia="Courier New" w:hAnsi="Courier New"/>
          <w:sz w:val="18"/>
          <w:szCs w:val="18"/>
          <w:color w:val="auto"/>
        </w:rPr>
        <w:t>IN WITNESS WHEREOF, the undersigned has caused this Limited Power of Attorney to be executed effective as of the date indicated below, and said Power of Attorney shall remain in effect until revoked by the undersigned in writing, or at such time as the undersigned is no longer an officer of the Company, whichever first occurs.</w:t>
      </w:r>
    </w:p>
    <w:p>
      <w:pPr>
        <w:sectPr>
          <w:pgSz w:w="11900" w:h="16838" w:orient="portrait"/>
          <w:cols w:equalWidth="0" w:num="1">
            <w:col w:w="9979"/>
          </w:cols>
          <w:pgMar w:left="480" w:top="106" w:right="1440" w:bottom="1440" w:gutter="0" w:footer="0" w:header="0"/>
        </w:sect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Signed:</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L. Smith</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Kevin L. Smith</w:t>
      </w:r>
    </w:p>
    <w:p>
      <w:pPr>
        <w:spacing w:after="0" w:line="188" w:lineRule="exact"/>
        <w:rPr>
          <w:sz w:val="20"/>
          <w:szCs w:val="20"/>
          <w:color w:val="auto"/>
        </w:rPr>
      </w:pPr>
    </w:p>
    <w:p>
      <w:pPr>
        <w:sectPr>
          <w:pgSz w:w="11900" w:h="16838" w:orient="portrait"/>
          <w:cols w:equalWidth="0" w:num="2">
            <w:col w:w="1160" w:space="720"/>
            <w:col w:w="8099"/>
          </w:cols>
          <w:pgMar w:left="480" w:top="106"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12/13/2022</w:t>
      </w:r>
    </w:p>
    <w:sectPr>
      <w:pgSz w:w="11900" w:h="16838" w:orient="portrait"/>
      <w:cols w:equalWidth="0" w:num="2">
        <w:col w:w="700" w:space="240"/>
        <w:col w:w="9039"/>
      </w:cols>
      <w:pgMar w:left="480" w:top="10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58271" TargetMode="External"/><Relationship Id="rId11"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2022-12-20T13:20:13Z</dcterms:created>
  <dcterms:modified xsi:type="dcterms:W3CDTF">2022-12-20T13:20:13Z</dcterms:modified>
</cp:coreProperties>
</file>