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4, 2012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300" w:space="720"/>
            <w:col w:w="3400"/>
          </w:cols>
          <w:pgMar w:left="240" w:top="233" w:right="239" w:bottom="0" w:gutter="0" w:footer="0" w:header="0"/>
          <w:type w:val="continuous"/>
        </w:sectPr>
      </w:pPr>
    </w:p>
    <w:p>
      <w:pPr>
        <w:spacing w:after="0" w:line="48"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920" w:space="720"/>
            <w:col w:w="378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May 30, 2012 was 29,479,893.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380" w:type="dxa"/>
            <w:vAlign w:val="bottom"/>
          </w:tcPr>
          <w:p>
            <w:pPr>
              <w:spacing w:after="0"/>
              <w:rPr>
                <w:sz w:val="24"/>
                <w:szCs w:val="24"/>
                <w:color w:val="auto"/>
              </w:rPr>
            </w:pPr>
          </w:p>
        </w:tc>
        <w:tc>
          <w:tcPr>
            <w:tcW w:w="9620" w:type="dxa"/>
            <w:vAlign w:val="bottom"/>
            <w:gridSpan w:val="11"/>
          </w:tcPr>
          <w:p>
            <w:pPr>
              <w:ind w:left="3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8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380" w:type="dxa"/>
            <w:vAlign w:val="bottom"/>
          </w:tcPr>
          <w:p>
            <w:pPr>
              <w:spacing w:after="0"/>
              <w:rPr>
                <w:sz w:val="24"/>
                <w:szCs w:val="24"/>
                <w:color w:val="auto"/>
              </w:rPr>
            </w:pPr>
          </w:p>
        </w:tc>
        <w:tc>
          <w:tcPr>
            <w:tcW w:w="9620" w:type="dxa"/>
            <w:vAlign w:val="bottom"/>
            <w:gridSpan w:val="11"/>
          </w:tcPr>
          <w:p>
            <w:pPr>
              <w:ind w:left="38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78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EE"/>
                <w:w w:val="97"/>
              </w:rPr>
            </w:pPr>
            <w:hyperlink w:anchor="page2">
              <w:r>
                <w:rPr>
                  <w:rFonts w:ascii="Arial" w:cs="Arial" w:eastAsia="Arial" w:hAnsi="Arial"/>
                  <w:sz w:val="18"/>
                  <w:szCs w:val="18"/>
                  <w:color w:val="0000EE"/>
                  <w:w w:val="97"/>
                </w:rPr>
                <w:t>Condensed Consolidated Statements of Earnings — Three and Six Months Ended May 4, 2012 and April 29, 2011</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Balance Sheets — May 4, 2012, April 29, 2011, and October 31, 2011</w:t>
              </w:r>
            </w:hyperlink>
          </w:p>
        </w:tc>
        <w:tc>
          <w:tcPr>
            <w:tcW w:w="1340" w:type="dxa"/>
            <w:vAlign w:val="bottom"/>
            <w:tcBorders>
              <w:top w:val="single" w:sz="8" w:color="0000EE"/>
            </w:tcBorders>
            <w:gridSpan w:val="2"/>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 Six Months Ended May 4, 2012 and April 29, 2011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Notes to Condensed Consolidated Financial Statements</w:t>
              </w:r>
            </w:hyperlink>
          </w:p>
        </w:tc>
        <w:tc>
          <w:tcPr>
            <w:tcW w:w="3680" w:type="dxa"/>
            <w:vAlign w:val="bottom"/>
            <w:tcBorders>
              <w:top w:val="single" w:sz="8" w:color="0000EE"/>
            </w:tcBorders>
            <w:gridSpan w:val="4"/>
          </w:tcPr>
          <w:p>
            <w:pPr>
              <w:spacing w:after="0"/>
              <w:rPr>
                <w:sz w:val="24"/>
                <w:szCs w:val="24"/>
                <w:color w:val="auto"/>
              </w:rPr>
            </w:pPr>
          </w:p>
        </w:tc>
        <w:tc>
          <w:tcPr>
            <w:tcW w:w="120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412"/>
        </w:trPr>
        <w:tc>
          <w:tcPr>
            <w:tcW w:w="1020" w:type="dxa"/>
            <w:vAlign w:val="bottom"/>
            <w:gridSpan w:val="3"/>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020" w:type="dxa"/>
            <w:vAlign w:val="bottom"/>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3.</w:t>
              </w:r>
            </w:hyperlink>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020" w:type="dxa"/>
            <w:vAlign w:val="bottom"/>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7500" w:type="dxa"/>
            <w:vAlign w:val="bottom"/>
            <w:gridSpan w:val="9"/>
          </w:tcPr>
          <w:p>
            <w:pPr>
              <w:ind w:left="34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2900" w:type="dxa"/>
            <w:vAlign w:val="bottom"/>
          </w:tcPr>
          <w:p>
            <w:pPr>
              <w:spacing w:after="0"/>
              <w:rPr>
                <w:sz w:val="17"/>
                <w:szCs w:val="17"/>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top w:val="single" w:sz="8" w:color="0000EE"/>
            </w:tcBorders>
            <w:gridSpan w:val="6"/>
          </w:tcPr>
          <w:p>
            <w:pPr>
              <w:ind w:left="360"/>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080" w:type="dxa"/>
            <w:vAlign w:val="bottom"/>
            <w:gridSpan w:val="2"/>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Item 1A.</w:t>
              </w:r>
            </w:hyperlink>
          </w:p>
        </w:tc>
        <w:tc>
          <w:tcPr>
            <w:tcW w:w="3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8"/>
          </w:tcPr>
          <w:p>
            <w:pPr>
              <w:ind w:left="360"/>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3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8"/>
          </w:tcPr>
          <w:p>
            <w:pPr>
              <w:ind w:left="360"/>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2"/>
        </w:trPr>
        <w:tc>
          <w:tcPr>
            <w:tcW w:w="106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5.</w:t>
              </w:r>
            </w:hyperlink>
          </w:p>
        </w:tc>
        <w:tc>
          <w:tcPr>
            <w:tcW w:w="340" w:type="dxa"/>
            <w:vAlign w:val="bottom"/>
          </w:tcPr>
          <w:p>
            <w:pPr>
              <w:spacing w:after="0"/>
              <w:rPr>
                <w:sz w:val="24"/>
                <w:szCs w:val="24"/>
                <w:color w:val="auto"/>
              </w:rPr>
            </w:pPr>
          </w:p>
        </w:tc>
        <w:tc>
          <w:tcPr>
            <w:tcW w:w="7160" w:type="dxa"/>
            <w:vAlign w:val="bottom"/>
            <w:gridSpan w:val="8"/>
          </w:tcPr>
          <w:p>
            <w:pPr>
              <w:ind w:left="360"/>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0"/>
        </w:trPr>
        <w:tc>
          <w:tcPr>
            <w:tcW w:w="5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2"/>
        </w:trPr>
        <w:tc>
          <w:tcPr>
            <w:tcW w:w="106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340" w:type="dxa"/>
            <w:vAlign w:val="bottom"/>
          </w:tcPr>
          <w:p>
            <w:pPr>
              <w:spacing w:after="0"/>
              <w:rPr>
                <w:sz w:val="24"/>
                <w:szCs w:val="24"/>
                <w:color w:val="auto"/>
              </w:rPr>
            </w:pPr>
          </w:p>
        </w:tc>
        <w:tc>
          <w:tcPr>
            <w:tcW w:w="7160" w:type="dxa"/>
            <w:vAlign w:val="bottom"/>
            <w:gridSpan w:val="8"/>
          </w:tcPr>
          <w:p>
            <w:pPr>
              <w:ind w:left="36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8"/>
          </w:tcPr>
          <w:p>
            <w:pPr>
              <w:ind w:left="360"/>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80" w:type="dxa"/>
            <w:vAlign w:val="bottom"/>
            <w:gridSpan w:val="4"/>
          </w:tcPr>
          <w:p>
            <w:pPr>
              <w:jc w:val="right"/>
              <w:ind w:right="340"/>
              <w:spacing w:after="0"/>
              <w:rPr>
                <w:sz w:val="20"/>
                <w:szCs w:val="20"/>
                <w:color w:val="auto"/>
              </w:rPr>
            </w:pPr>
            <w:r>
              <w:rPr>
                <w:rFonts w:ascii="Arial" w:cs="Arial" w:eastAsia="Arial" w:hAnsi="Arial"/>
                <w:sz w:val="18"/>
                <w:szCs w:val="18"/>
                <w:color w:val="auto"/>
              </w:rPr>
              <w:t>2</w:t>
            </w:r>
          </w:p>
        </w:tc>
        <w:tc>
          <w:tcPr>
            <w:tcW w:w="24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4,</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April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456,063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418,047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733,247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664,614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235,422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382,073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120,199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241,552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229,643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(4,165)</w:t>
            </w: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(8,593)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134,478</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35,574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45,737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68,818</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60,250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88,741</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8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8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29,939</w:t>
            </w: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31,447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29,967</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30,480</w:t>
            </w: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30,481</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w:t>
            </w:r>
          </w:p>
        </w:tc>
        <w:tc>
          <w:tcPr>
            <w:tcW w:w="24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82,572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106,862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272,819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278,491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250,804</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259,826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23,281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15,261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62,209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59,535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691,685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669,159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630,130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484,539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449,815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184,620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180,315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25,190</w:t>
            </w:r>
          </w:p>
        </w:tc>
        <w:tc>
          <w:tcPr>
            <w:tcW w:w="3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23,812</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91,988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91,892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35,871</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34,393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1,029,354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1,858</w:t>
            </w:r>
          </w:p>
        </w:tc>
        <w:tc>
          <w:tcPr>
            <w:tcW w:w="360" w:type="dxa"/>
            <w:vAlign w:val="bottom"/>
            <w:tcBorders>
              <w:top w:val="single" w:sz="8" w:color="CCEEFF"/>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2,478</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196,382</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202,588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278,491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285,896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476,738</w:t>
            </w:r>
          </w:p>
        </w:tc>
        <w:tc>
          <w:tcPr>
            <w:tcW w:w="3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491,026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223,701</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224,897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1,380</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7,614</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5"/>
              </w:rPr>
              <w:t>Preferred stock, par value $1.00 per share, authorized 1,000,000 voting and 850,000</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non-voting shares, none issued and outstanding</w:t>
            </w:r>
          </w:p>
        </w:tc>
        <w:tc>
          <w:tcPr>
            <w:tcW w:w="38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par value $1.00 per share, authorized 100,000,000 shares, issued and</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29,413,661 shares as of May 4, 2012, 30,999,154 shares as of</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April 29, 2011, and 29,603,095 shares as of October 31, 2011</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29,414</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30,999</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288,804</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289,573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(7,644)</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310,574</w:t>
            </w:r>
          </w:p>
        </w:tc>
        <w:tc>
          <w:tcPr>
            <w:tcW w:w="3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318,540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1,029,354</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1,052,527</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2"/>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88,741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affiliates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(2,802)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25,664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(126,215)</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(5,066)</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89,495</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(9,663)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 short-term debt, net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6,879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13,268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(56,067)</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(13,228)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vMerge w:val="continue"/>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1,686</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(70,504)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80,886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177,366</w:t>
            </w:r>
          </w:p>
        </w:tc>
        <w:tc>
          <w:tcPr>
            <w:tcW w:w="80" w:type="dxa"/>
            <w:vAlign w:val="bottom"/>
            <w:shd w:val="clear" w:color="auto" w:fill="CCEEFF"/>
          </w:tcPr>
          <w:p>
            <w:pPr>
              <w:spacing w:after="0"/>
              <w:rPr>
                <w:sz w:val="18"/>
                <w:szCs w:val="18"/>
                <w:color w:val="auto"/>
              </w:rPr>
            </w:pPr>
          </w:p>
        </w:tc>
      </w:tr>
      <w:tr>
        <w:trPr>
          <w:trHeight w:val="25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106,862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6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cash flow information:</w:t>
            </w:r>
          </w:p>
        </w:tc>
        <w:tc>
          <w:tcPr>
            <w:tcW w:w="1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Long-term debt issued in connection with acquisitions</w:t>
            </w:r>
          </w:p>
        </w:tc>
        <w:tc>
          <w:tcPr>
            <w:tcW w:w="22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4,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Certain amounts from prior periods’ financial statements have been reclassified to conform to this period’s presentation. Since the company’s business is seasonal, operating results for the six months ended May 4, 2012 cannot be annualized to determine the expected results for the fiscal year ending October 31, 2012. Additional factors that could cause the company’s actual results to differ materially from its expected results, including any forward-looking statements made in this report, are described in the company’s most recently filed Annual Report on Form 10-K (Item 1A. Risk Factors) and later in this report under Item 2, Management’s Discussion and Analysis of Financial Condition and Results of Operations — Forward-Looking Information.</w:t>
      </w:r>
    </w:p>
    <w:p>
      <w:pPr>
        <w:spacing w:after="0" w:line="178"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2011.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earnout liabilities, allowance for doubtful accounts, pension and postretirement accruals, self-insurance accruals, and useful lives for tangible and intangible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the company’s Annual Report on Form 10-K (Item 1A. Risk Factors) for the fiscal year ended October 31, 2011, which may increase the uncertainty inherent in such estimates and assumptions.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Adopted</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May 2011, the Financial Accounting Standards Board (“FASB”) issued Accounting Standards Update (“ASU”) No. 2011-04,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(Topic 820): Amendments to Achieve Common Fair Value Measurement and Disclosure Requirements in U.S. GAAP and IFRS</w:t>
      </w:r>
      <w:r>
        <w:rPr>
          <w:rFonts w:ascii="Arial" w:cs="Arial" w:eastAsia="Arial" w:hAnsi="Arial"/>
          <w:sz w:val="17"/>
          <w:szCs w:val="17"/>
          <w:color w:val="auto"/>
        </w:rPr>
        <w:t>. The amendments result in a</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definition of fair value and common requirements for measurement of and disclosure regarding fair value between U.S. GAAP and International Financial Reporting Standards. Specifically, the amendments clarify the application of existing fair value measurement and disclosure requirements, including: a) application of the highest and best use and valuation premise concepts, b) measurement of the fair value of an instrument classified in a reporting entity’s shareholders equity, and c) quantitative disclosure about the unobservable inputs used in a fair value measurement that is categorized within Level 3 of the fair value hierarchy. The amendments also change a particular principle or requirement for fair value measurement and disclosure, including: a) measurement of the fair value of financial instruments that are managed within a portfolio, b) application of premiums and discounts in a fair value measurement, and c) additional disclosure about fair value measurements. The company adopted the amendments of ASU No.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2011-04 at the beginning of its fiscal 2012 second quarter, as required. The adoption of this guidance did not have an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December 9, 2011, during the first quarter of fiscal 2012, the company completed the acquisition of certain assets and assumed certain liabilities for a greens roller product line for the golf course market. On February 10, 2012, during the second quarter of fiscal 2012, the company completed the acquisition</w:t>
      </w:r>
    </w:p>
    <w:p>
      <w:pPr>
        <w:sectPr>
          <w:pgSz w:w="11900" w:h="16838" w:orient="portrait"/>
          <w:cols w:equalWidth="0" w:num="1">
            <w:col w:w="11420"/>
          </w:cols>
          <w:pgMar w:left="240" w:top="140" w:right="239" w:bottom="0" w:gutter="0" w:footer="0" w:header="0"/>
        </w:sectPr>
      </w:pPr>
    </w:p>
    <w:bookmarkStart w:id="4" w:name="page5"/>
    <w:bookmarkEnd w:id="4"/>
    <w:p>
      <w:pPr>
        <w:spacing w:after="0" w:line="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of certain assets and assumed certain liabilities for an equipment line of vibratory plows, trenchers, and horizontal directional drills for the underground utilities market. On April 25, 2012, also during the second quarter of fiscal 2012, the company completed the acquisition of certain assets for an equipment line of concrete and mortar mixers, material handlers, compaction equipment, and other concrete power tools for the rental and light construction market. The aggregate purchase price of these acquisitions was $11.1 million and accounted for as business combinations.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acquisitions were immaterial individually and, in the aggregate, based on the company’s consolidated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36"/>
              <w:spacing w:after="0" w:line="119" w:lineRule="exact"/>
              <w:rPr>
                <w:sz w:val="20"/>
                <w:szCs w:val="20"/>
                <w:color w:val="auto"/>
              </w:rPr>
            </w:pPr>
            <w:r>
              <w:rPr>
                <w:rFonts w:ascii="Arial" w:cs="Arial" w:eastAsia="Arial" w:hAnsi="Arial"/>
                <w:sz w:val="13"/>
                <w:szCs w:val="13"/>
                <w:b w:val="1"/>
                <w:bCs w:val="1"/>
                <w:color w:val="auto"/>
              </w:rPr>
              <w:t>April 29,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4,</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16"/>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Pension liability adjustment, net of tax</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Unrealized (loss) gain on derivative instruments, net</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tax</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67,365</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87,923</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company’s equity and incentive plan, stock options are granted with an exercise price equal to the closing price of the 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key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fair value of the options granted is fully expensed on the date of the grant.</w:t>
      </w:r>
    </w:p>
    <w:p>
      <w:pPr>
        <w:spacing w:after="0" w:line="167" w:lineRule="exact"/>
        <w:rPr>
          <w:sz w:val="20"/>
          <w:szCs w:val="20"/>
          <w:color w:val="auto"/>
        </w:rPr>
      </w:pPr>
    </w:p>
    <w:p>
      <w:pPr>
        <w:ind w:right="20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key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cash dividends paid, expected future cash dividends, and expected changes in the company’s stock price.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100" w:type="dxa"/>
            <w:vAlign w:val="bottom"/>
            <w:gridSpan w:val="2"/>
          </w:tcPr>
          <w:p>
            <w:pPr>
              <w:ind w:left="580"/>
              <w:spacing w:after="0"/>
              <w:rPr>
                <w:sz w:val="20"/>
                <w:szCs w:val="20"/>
                <w:color w:val="auto"/>
              </w:rPr>
            </w:pPr>
            <w:r>
              <w:rPr>
                <w:rFonts w:ascii="Arial" w:cs="Arial" w:eastAsia="Arial" w:hAnsi="Arial"/>
                <w:sz w:val="14"/>
                <w:szCs w:val="14"/>
                <w:b w:val="1"/>
                <w:bCs w:val="1"/>
                <w:color w:val="auto"/>
              </w:rPr>
              <w:t>Fiscal 2012</w:t>
            </w:r>
          </w:p>
        </w:tc>
        <w:tc>
          <w:tcPr>
            <w:tcW w:w="1960" w:type="dxa"/>
            <w:vAlign w:val="bottom"/>
            <w:gridSpan w:val="3"/>
          </w:tcPr>
          <w:p>
            <w:pPr>
              <w:ind w:left="580"/>
              <w:spacing w:after="0"/>
              <w:rPr>
                <w:sz w:val="20"/>
                <w:szCs w:val="20"/>
                <w:color w:val="auto"/>
              </w:rPr>
            </w:pPr>
            <w:r>
              <w:rPr>
                <w:rFonts w:ascii="Arial" w:cs="Arial" w:eastAsia="Arial" w:hAnsi="Arial"/>
                <w:sz w:val="14"/>
                <w:szCs w:val="14"/>
                <w:b w:val="1"/>
                <w:bCs w:val="1"/>
                <w:color w:val="auto"/>
              </w:rPr>
              <w:t>Fiscal 2011</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750"/>
              <w:spacing w:after="0"/>
              <w:rPr>
                <w:sz w:val="20"/>
                <w:szCs w:val="20"/>
                <w:color w:val="auto"/>
              </w:rPr>
            </w:pPr>
            <w:r>
              <w:rPr>
                <w:rFonts w:ascii="Arial" w:cs="Arial" w:eastAsia="Arial" w:hAnsi="Arial"/>
                <w:sz w:val="18"/>
                <w:szCs w:val="18"/>
                <w:color w:val="auto"/>
                <w:w w:val="99"/>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34.87% - 35.02%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33.34%</w:t>
            </w:r>
          </w:p>
        </w:tc>
        <w:tc>
          <w:tcPr>
            <w:tcW w:w="980" w:type="dxa"/>
            <w:vAlign w:val="bottom"/>
          </w:tcPr>
          <w:p>
            <w:pPr>
              <w:ind w:left="40"/>
              <w:spacing w:after="0"/>
              <w:rPr>
                <w:sz w:val="20"/>
                <w:szCs w:val="20"/>
                <w:color w:val="auto"/>
              </w:rPr>
            </w:pPr>
            <w:r>
              <w:rPr>
                <w:rFonts w:ascii="Arial" w:cs="Arial" w:eastAsia="Arial" w:hAnsi="Arial"/>
                <w:sz w:val="18"/>
                <w:szCs w:val="18"/>
                <w:color w:val="auto"/>
              </w:rPr>
              <w:t>- 33.43%</w:t>
            </w:r>
          </w:p>
        </w:tc>
        <w:tc>
          <w:tcPr>
            <w:tcW w:w="1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35.01%</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33.42%</w:t>
            </w: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980" w:type="dxa"/>
            <w:vAlign w:val="bottom"/>
          </w:tcPr>
          <w:p>
            <w:pPr>
              <w:ind w:left="40"/>
              <w:spacing w:after="0"/>
              <w:rPr>
                <w:sz w:val="20"/>
                <w:szCs w:val="20"/>
                <w:color w:val="auto"/>
              </w:rPr>
            </w:pPr>
            <w:r>
              <w:rPr>
                <w:rFonts w:ascii="Arial" w:cs="Arial" w:eastAsia="Arial" w:hAnsi="Arial"/>
                <w:sz w:val="18"/>
                <w:szCs w:val="18"/>
                <w:color w:val="auto"/>
              </w:rPr>
              <w:t>- 2.36%</w:t>
            </w:r>
          </w:p>
        </w:tc>
        <w:tc>
          <w:tcPr>
            <w:tcW w:w="1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 - 1.40%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- 1.16%</w:t>
            </w: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2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0"/>
              </w:rPr>
              <w:t>1.05%</w:t>
            </w:r>
          </w:p>
        </w:tc>
        <w:tc>
          <w:tcPr>
            <w:tcW w:w="1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$17.10</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$20.30</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granted on an annual basis in the first quarter of the company’s fiscal year. Compensation expense is recognized for these awards on a straight-line basis over the vesting period based on the per share fair value as of the date of grant and the probability of achieving performance goals. The per share fair value of performance share awards granted during the first quarter of each of fiscal 2012 and 2011 was $56.47 and $60.98, respectively. No performance share awards were granted during the second quarter of fiscal 2012 or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Under the company’s equity and incentive plan, restricted stock awards are generally granted to certain non-officer employees. Restricted stock awards generally vest one-third each year over a three-year period or vest in full on the three-year anniversary of the date of grant. Compensation expense equal to the grant date fair value, which is equal to the closing price of the company’s common stock on the date of grant multiplied by the number of shares subject to</w:t>
      </w:r>
    </w:p>
    <w:p>
      <w:pPr>
        <w:sectPr>
          <w:pgSz w:w="11900" w:h="16925" w:orient="portrait"/>
          <w:cols w:equalWidth="0" w:num="1">
            <w:col w:w="11420"/>
          </w:cols>
          <w:pgMar w:left="240" w:top="125" w:right="239" w:bottom="0" w:gutter="0" w:footer="0" w:header="0"/>
        </w:sectPr>
      </w:pPr>
    </w:p>
    <w:bookmarkStart w:id="5" w:name="page6"/>
    <w:bookmarkEnd w:id="5"/>
    <w:p>
      <w:pPr>
        <w:ind w:right="480"/>
        <w:spacing w:after="0" w:line="277" w:lineRule="auto"/>
        <w:rPr>
          <w:sz w:val="20"/>
          <w:szCs w:val="20"/>
          <w:color w:val="auto"/>
        </w:rPr>
      </w:pPr>
      <w:r>
        <w:rPr>
          <w:rFonts w:ascii="Arial" w:cs="Arial" w:eastAsia="Arial" w:hAnsi="Arial"/>
          <w:sz w:val="18"/>
          <w:szCs w:val="18"/>
          <w:color w:val="auto"/>
        </w:rPr>
        <w:t>the restricted stock award, is recognized for these awards over the vesting period. The per share weighted- average fair value of restricted stock awards granted during the first six months of fiscal 2012 and 2011 was $61.41 and $63.42,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20" w:type="dxa"/>
            <w:vAlign w:val="bottom"/>
            <w:gridSpan w:val="5"/>
          </w:tcPr>
          <w:p>
            <w:pPr>
              <w:ind w:lef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20" w:type="dxa"/>
            <w:vAlign w:val="bottom"/>
            <w:tcBorders>
              <w:top w:val="single" w:sz="8" w:color="auto"/>
            </w:tcBorders>
            <w:gridSpan w:val="2"/>
          </w:tcPr>
          <w:p>
            <w:pPr>
              <w:ind w:left="360"/>
              <w:spacing w:after="0" w:line="119" w:lineRule="exact"/>
              <w:rPr>
                <w:sz w:val="20"/>
                <w:szCs w:val="20"/>
                <w:color w:val="auto"/>
              </w:rPr>
            </w:pPr>
            <w:r>
              <w:rPr>
                <w:rFonts w:ascii="Arial" w:cs="Arial" w:eastAsia="Arial" w:hAnsi="Arial"/>
                <w:sz w:val="13"/>
                <w:szCs w:val="13"/>
                <w:b w:val="1"/>
                <w:bCs w:val="1"/>
                <w:color w:val="auto"/>
              </w:rPr>
              <w:t>May 4,</w:t>
            </w:r>
          </w:p>
        </w:tc>
        <w:tc>
          <w:tcPr>
            <w:tcW w:w="114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April 29,</w:t>
            </w:r>
          </w:p>
        </w:tc>
        <w:tc>
          <w:tcPr>
            <w:tcW w:w="240" w:type="dxa"/>
            <w:vAlign w:val="bottom"/>
          </w:tcPr>
          <w:p>
            <w:pPr>
              <w:spacing w:after="0"/>
              <w:rPr>
                <w:sz w:val="10"/>
                <w:szCs w:val="10"/>
                <w:color w:val="auto"/>
              </w:rPr>
            </w:pPr>
          </w:p>
        </w:tc>
        <w:tc>
          <w:tcPr>
            <w:tcW w:w="1400" w:type="dxa"/>
            <w:vAlign w:val="bottom"/>
            <w:tcBorders>
              <w:top w:val="single" w:sz="8" w:color="auto"/>
            </w:tcBorders>
            <w:gridSpan w:val="2"/>
          </w:tcPr>
          <w:p>
            <w:pPr>
              <w:ind w:left="360"/>
              <w:spacing w:after="0" w:line="119" w:lineRule="exact"/>
              <w:rPr>
                <w:sz w:val="20"/>
                <w:szCs w:val="20"/>
                <w:color w:val="auto"/>
              </w:rPr>
            </w:pPr>
            <w:r>
              <w:rPr>
                <w:rFonts w:ascii="Arial" w:cs="Arial" w:eastAsia="Arial" w:hAnsi="Arial"/>
                <w:sz w:val="13"/>
                <w:szCs w:val="13"/>
                <w:b w:val="1"/>
                <w:bCs w:val="1"/>
                <w:color w:val="auto"/>
              </w:rPr>
              <w:t>May 4,</w:t>
            </w:r>
          </w:p>
        </w:tc>
        <w:tc>
          <w:tcPr>
            <w:tcW w:w="114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April 29,</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gridSpan w:val="5"/>
            <w:vMerge w:val="continue"/>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8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29,939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31,447</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29,960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5"/>
              </w:rPr>
              <w:t>Weighted-average number of shares of common stock and assumed</w:t>
            </w: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gridSpan w:val="4"/>
            <w:vMerge w:val="continue"/>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29,939</w:t>
            </w:r>
          </w:p>
        </w:tc>
        <w:tc>
          <w:tcPr>
            <w:tcW w:w="260" w:type="dxa"/>
            <w:vAlign w:val="bottom"/>
            <w:vMerge w:val="restart"/>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31,447</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29,967</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31,650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16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gridSpan w:val="4"/>
          </w:tcPr>
          <w:p>
            <w:pPr>
              <w:spacing w:after="0" w:line="201" w:lineRule="exact"/>
              <w:rPr>
                <w:sz w:val="20"/>
                <w:szCs w:val="20"/>
                <w:color w:val="auto"/>
              </w:rPr>
            </w:pPr>
            <w:r>
              <w:rPr>
                <w:rFonts w:ascii="Arial" w:cs="Arial" w:eastAsia="Arial" w:hAnsi="Arial"/>
                <w:sz w:val="18"/>
                <w:szCs w:val="18"/>
                <w:color w:val="auto"/>
                <w:w w:val="95"/>
              </w:rPr>
              <w:t>Weighted-average number of shares of common stock and assumed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29,939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31,447</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29,967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31,650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rPr>
              <w:t>Weighted-average number of shares of common stock, assumed</w:t>
            </w: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gridSpan w:val="4"/>
            <w:vMerge w:val="continue"/>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30,480</w:t>
            </w:r>
          </w:p>
        </w:tc>
        <w:tc>
          <w:tcPr>
            <w:tcW w:w="260" w:type="dxa"/>
            <w:vAlign w:val="bottom"/>
            <w:vMerge w:val="restart"/>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32,020</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30,481</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32,228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 and effect of dilutive securities</w:t>
            </w:r>
          </w:p>
        </w:tc>
        <w:tc>
          <w:tcPr>
            <w:tcW w:w="11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Options to purchase an aggregate of 142,834 and 222,360 shares of common stock outstanding during the second quarter of fiscal 2012 and 2011, respectively, were excluded from the diluted net earnings per share calculation because their exercise prices were greater than the average market price of the company’s common stock during the same respective periods. Options to purchase an aggregate of 234,621 and 177,641 shares of common stock outstanding during the year-to-date periods through the second quarter of fiscal 2012 and 2011, respectively, were excluded from the diluted net earnings per share calculations because their exercise prices were greater than the average market price of the company’s common stock during the same respective periods.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May 4,</w:t>
            </w:r>
          </w:p>
        </w:tc>
        <w:tc>
          <w:tcPr>
            <w:tcW w:w="24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211,638</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239,604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315,568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61,001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55,742</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61,001</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250,804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2012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Professional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gridSpan w:val="4"/>
            <w:vMerge w:val="continue"/>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 as of October 31, 2011</w:t>
            </w:r>
          </w:p>
        </w:tc>
        <w:tc>
          <w:tcPr>
            <w:tcW w:w="1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Translation adjustments</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as of May 4, 2012</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Other Intangible Assets</w:t>
            </w: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gridSpan w:val="4"/>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5"/>
          </w:tcPr>
          <w:p>
            <w:pPr>
              <w:spacing w:after="0"/>
              <w:rPr>
                <w:sz w:val="20"/>
                <w:szCs w:val="20"/>
                <w:color w:val="auto"/>
              </w:rPr>
            </w:pPr>
            <w:r>
              <w:rPr>
                <w:rFonts w:ascii="Arial" w:cs="Arial" w:eastAsia="Arial" w:hAnsi="Arial"/>
                <w:sz w:val="18"/>
                <w:szCs w:val="18"/>
                <w:color w:val="auto"/>
                <w:w w:val="90"/>
              </w:rPr>
              <w:t>The components of other amortizable intangible assets were as follows: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Gross Carrying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860" w:type="dxa"/>
            <w:vAlign w:val="bottom"/>
            <w:gridSpan w:val="4"/>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May 4, 2012</w:t>
            </w:r>
          </w:p>
        </w:tc>
        <w:tc>
          <w:tcPr>
            <w:tcW w:w="3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Patents</w:t>
            </w:r>
          </w:p>
        </w:tc>
        <w:tc>
          <w:tcPr>
            <w:tcW w:w="2940" w:type="dxa"/>
            <w:vAlign w:val="bottom"/>
            <w:tcBorders>
              <w:top w:val="single" w:sz="8" w:color="CCEEFF"/>
            </w:tcBorders>
            <w:gridSpan w:val="2"/>
          </w:tcPr>
          <w:p>
            <w:pPr>
              <w:spacing w:after="0"/>
              <w:rPr>
                <w:sz w:val="18"/>
                <w:szCs w:val="18"/>
                <w:color w:val="auto"/>
              </w:rPr>
            </w:pPr>
          </w:p>
        </w:tc>
        <w:tc>
          <w:tcPr>
            <w:tcW w:w="13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1.5-13</w:t>
            </w:r>
          </w:p>
        </w:tc>
        <w:tc>
          <w:tcPr>
            <w:tcW w:w="48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9,593</w:t>
            </w: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(7,760)</w:t>
            </w:r>
          </w:p>
        </w:tc>
        <w:tc>
          <w:tcPr>
            <w:tcW w:w="420" w:type="dxa"/>
            <w:vAlign w:val="bottom"/>
            <w:tcBorders>
              <w:top w:val="single" w:sz="8" w:color="CCEEFF"/>
            </w:tcBorders>
            <w:gridSpan w:val="3"/>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Customer-related</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1.5-13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8,317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1.5-5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Total amortizable</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54,550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(23,960)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Non-amortizable - trade names</w:t>
            </w: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other intangible assets, net</w:t>
            </w:r>
          </w:p>
        </w:tc>
        <w:tc>
          <w:tcPr>
            <w:tcW w:w="13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59,831</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(23,960)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35,871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Arial" w:cs="Arial" w:eastAsia="Arial" w:hAnsi="Arial"/>
                <w:sz w:val="18"/>
                <w:szCs w:val="18"/>
                <w:color w:val="auto"/>
              </w:rPr>
              <w:t>October 31, 2011</w:t>
            </w:r>
          </w:p>
        </w:tc>
        <w:tc>
          <w:tcPr>
            <w:tcW w:w="1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17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4"/>
              </w:rPr>
              <w:t>5-13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760" w:type="dxa"/>
            <w:vAlign w:val="bottom"/>
          </w:tcPr>
          <w:p>
            <w:pPr>
              <w:jc w:val="center"/>
              <w:ind w:left="530"/>
              <w:spacing w:after="0"/>
              <w:rPr>
                <w:sz w:val="20"/>
                <w:szCs w:val="20"/>
                <w:color w:val="auto"/>
              </w:rPr>
            </w:pPr>
            <w:r>
              <w:rPr>
                <w:rFonts w:ascii="Arial" w:cs="Arial" w:eastAsia="Arial" w:hAnsi="Arial"/>
                <w:sz w:val="18"/>
                <w:szCs w:val="18"/>
                <w:color w:val="auto"/>
                <w:w w:val="94"/>
              </w:rPr>
              <w:t>2-10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(2,685)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7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4"/>
              </w:rPr>
              <w:t>5-13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760" w:type="dxa"/>
            <w:vAlign w:val="bottom"/>
          </w:tcPr>
          <w:p>
            <w:pPr>
              <w:jc w:val="center"/>
              <w:ind w:left="530"/>
              <w:spacing w:after="0"/>
              <w:rPr>
                <w:sz w:val="20"/>
                <w:szCs w:val="20"/>
                <w:color w:val="auto"/>
              </w:rPr>
            </w:pPr>
            <w:r>
              <w:rPr>
                <w:rFonts w:ascii="Arial" w:cs="Arial" w:eastAsia="Arial" w:hAnsi="Arial"/>
                <w:sz w:val="18"/>
                <w:szCs w:val="18"/>
                <w:color w:val="auto"/>
                <w:w w:val="94"/>
              </w:rPr>
              <w:t>2-10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25,236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(7,016)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18,220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7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amortizable</w:t>
            </w:r>
          </w:p>
        </w:tc>
        <w:tc>
          <w:tcPr>
            <w:tcW w:w="1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six months of fiscal 2012 was $2.9 million. Estimated amortization expense for the remainder of fiscal 2012 and succeeding fiscal years is as follows: fiscal 2012 (remainder), $3.0 million; fiscal 2013, $5.8 million; fiscal 2014, $5.4 million; fiscal 2015, $5.2 million; fiscal 2016, $4.7 million; fiscal 2017, $3.7 million; and after fiscal 2017, $2.8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As described in Part II, Item 5 of this Quarterly Report on Form 10-Q, on June 6,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w:t>
      </w:r>
    </w:p>
    <w:p>
      <w:pPr>
        <w:spacing w:after="0" w:line="167"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May 4, 2012 was $18.0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$0.2 million as of May 4, 2012.</w:t>
      </w:r>
    </w:p>
    <w:p>
      <w:pPr>
        <w:spacing w:after="0" w:line="192"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six months ended April 30, 2012 and April 29, 2011 was $615.2 million and $593.3 million, respectively.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April 30, 2012, Red Iron’s total assets were $352.0 million and total liabilities were $312.0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Warranty provisions, claims, changes in estimates, and additions from acquisitions for the first six months of fiscal 2012 and 2011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16"/>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22,263</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22,253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(13,573)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1,461</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08" w:right="199" w:bottom="0" w:gutter="0" w:footer="0" w:header="0"/>
        </w:sectPr>
      </w:pPr>
    </w:p>
    <w:bookmarkStart w:id="7" w:name="page8"/>
    <w:bookmarkEnd w:id="7"/>
    <w:p>
      <w:pPr>
        <w:spacing w:after="0" w:line="107" w:lineRule="exact"/>
        <w:rPr>
          <w:sz w:val="20"/>
          <w:szCs w:val="20"/>
          <w:color w:val="auto"/>
        </w:rPr>
      </w:pPr>
    </w:p>
    <w:p>
      <w:pPr>
        <w:spacing w:after="0"/>
        <w:tabs>
          <w:tab w:leader="none" w:pos="4860" w:val="left"/>
          <w:tab w:leader="none" w:pos="5740" w:val="left"/>
          <w:tab w:leader="none" w:pos="6520" w:val="left"/>
          <w:tab w:leader="none" w:pos="7360" w:val="left"/>
        </w:tabs>
        <w:rPr>
          <w:sz w:val="20"/>
          <w:szCs w:val="20"/>
          <w:color w:val="auto"/>
        </w:rPr>
      </w:pPr>
      <w:r>
        <w:rPr>
          <w:rFonts w:ascii="Arial" w:cs="Arial" w:eastAsia="Arial" w:hAnsi="Arial"/>
          <w:sz w:val="18"/>
          <w:szCs w:val="18"/>
          <w:color w:val="auto"/>
        </w:rPr>
        <w:t>Ending balance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73,081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69,269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1912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12620" cy="2603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4"/>
                <w:szCs w:val="14"/>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Three months ended May 4, 2012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14,056</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(14,184)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98,701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104,392</w:t>
            </w: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Three months ended April 29, 2011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418,284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13,272</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(14,582)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85,606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90,500</w:t>
            </w: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Six months ended May 4, 2012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19,122</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(19,034)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134,478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598,357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239,385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191,612</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1,029,354</w:t>
            </w:r>
          </w:p>
        </w:tc>
        <w:tc>
          <w:tcPr>
            <w:tcW w:w="0" w:type="dxa"/>
            <w:vAlign w:val="bottom"/>
          </w:tcPr>
          <w:p>
            <w:pPr>
              <w:spacing w:after="0"/>
              <w:rPr>
                <w:sz w:val="1"/>
                <w:szCs w:val="1"/>
                <w:color w:val="auto"/>
              </w:rPr>
            </w:pPr>
          </w:p>
        </w:tc>
      </w:tr>
      <w:tr>
        <w:trPr>
          <w:trHeight w:val="350"/>
        </w:trPr>
        <w:tc>
          <w:tcPr>
            <w:tcW w:w="4700" w:type="dxa"/>
            <w:vAlign w:val="bottom"/>
          </w:tcPr>
          <w:p>
            <w:pPr>
              <w:spacing w:after="0"/>
              <w:rPr>
                <w:sz w:val="20"/>
                <w:szCs w:val="20"/>
                <w:color w:val="auto"/>
              </w:rPr>
            </w:pPr>
            <w:r>
              <w:rPr>
                <w:rFonts w:ascii="Arial" w:cs="Arial" w:eastAsia="Arial" w:hAnsi="Arial"/>
                <w:sz w:val="14"/>
                <w:szCs w:val="14"/>
                <w:b w:val="1"/>
                <w:bCs w:val="1"/>
                <w:color w:val="auto"/>
              </w:rPr>
              <w:t>Six months ended April 29, 2011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676,564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332,925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19,567</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(21,731)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(46,479)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114,953</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570,462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248,099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233,966</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1,052,527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May 4,</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7"/>
              <w:spacing w:after="0" w:line="119" w:lineRule="exact"/>
              <w:rPr>
                <w:sz w:val="20"/>
                <w:szCs w:val="20"/>
                <w:color w:val="auto"/>
              </w:rPr>
            </w:pPr>
            <w:r>
              <w:rPr>
                <w:rFonts w:ascii="Arial" w:cs="Arial" w:eastAsia="Arial" w:hAnsi="Arial"/>
                <w:sz w:val="13"/>
                <w:szCs w:val="13"/>
                <w:b w:val="1"/>
                <w:bCs w:val="1"/>
                <w:color w:val="auto"/>
              </w:rPr>
              <w:t>April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7"/>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(4,165)</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(8,593)</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77"/>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 Retirement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November 30, 2011, the company’s Board of Directors authorized the retirement of 15 million treasury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and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permitted in ASU No. 2011-04 with respect to measuring 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Yuan, the Romanian New Lei against the U.S. dollar, as well as the Romanian New Lei against the Euro.</w:t>
      </w:r>
    </w:p>
    <w:p>
      <w:pPr>
        <w:spacing w:after="0" w:line="18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items,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ectPr>
          <w:pgSz w:w="11900" w:h="16946" w:orient="portrait"/>
          <w:cols w:equalWidth="0" w:num="1">
            <w:col w:w="11460"/>
          </w:cols>
          <w:pgMar w:left="240" w:top="125" w:right="199" w:bottom="0" w:gutter="0" w:footer="0" w:header="0"/>
        </w:sectPr>
      </w:pPr>
    </w:p>
    <w:bookmarkStart w:id="8" w:name="page9"/>
    <w:bookmarkEnd w:id="8"/>
    <w:p>
      <w:pPr>
        <w:ind w:right="40" w:firstLine="270"/>
        <w:spacing w:after="0" w:line="269" w:lineRule="auto"/>
        <w:rPr>
          <w:sz w:val="20"/>
          <w:szCs w:val="20"/>
          <w:color w:val="auto"/>
        </w:rPr>
      </w:pPr>
      <w:r>
        <w:rPr>
          <w:rFonts w:ascii="Arial" w:cs="Arial" w:eastAsia="Arial" w:hAnsi="Arial"/>
          <w:sz w:val="17"/>
          <w:szCs w:val="17"/>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second quarter of fiscal 2012, there were no gains or losses on contracts reclassified into earnings as a result of the discontinuance of cash flow hedges. As of May 4, 2012, the notional amount outstanding of forward contracts designated as cash flow hedges was $56.5 million.</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Derivatives not designated as hedging instruments. </w:t>
      </w:r>
      <w:r>
        <w:rPr>
          <w:rFonts w:ascii="Arial" w:cs="Arial" w:eastAsia="Arial" w:hAnsi="Arial"/>
          <w:sz w:val="18"/>
          <w:szCs w:val="18"/>
          <w:color w:val="auto"/>
        </w:rPr>
        <w:t>The company also enters into foreign currency contracts that include forward currency contracts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cross currency swaps to mitigate the change in fair value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net, on the consolidated statements of earnings together with the transaction gain or loss from the hedged balance sheet position.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Borders>
              <w:bottom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w w:val="95"/>
              </w:rPr>
              <w:t>May 4, 2012</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bottom w:val="single" w:sz="8" w:color="auto"/>
            </w:tcBorders>
            <w:gridSpan w:val="3"/>
          </w:tcPr>
          <w:p>
            <w:pPr>
              <w:jc w:val="right"/>
              <w:ind w:right="308"/>
              <w:spacing w:after="0" w:line="142" w:lineRule="exact"/>
              <w:rPr>
                <w:sz w:val="20"/>
                <w:szCs w:val="20"/>
                <w:color w:val="auto"/>
              </w:rPr>
            </w:pPr>
            <w:r>
              <w:rPr>
                <w:rFonts w:ascii="Arial" w:cs="Arial" w:eastAsia="Arial" w:hAnsi="Arial"/>
                <w:sz w:val="14"/>
                <w:szCs w:val="14"/>
                <w:b w:val="1"/>
                <w:bCs w:val="1"/>
                <w:color w:val="auto"/>
              </w:rPr>
              <w:t>April 29, 2011</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bottom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w w:val="95"/>
              </w:rPr>
              <w:t>May 4, 2012</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Borders>
              <w:bottom w:val="single" w:sz="8" w:color="auto"/>
            </w:tcBorders>
            <w:gridSpan w:val="4"/>
          </w:tcPr>
          <w:p>
            <w:pPr>
              <w:jc w:val="right"/>
              <w:ind w:right="508"/>
              <w:spacing w:after="0" w:line="142" w:lineRule="exact"/>
              <w:rPr>
                <w:sz w:val="20"/>
                <w:szCs w:val="20"/>
                <w:color w:val="auto"/>
              </w:rPr>
            </w:pPr>
            <w:r>
              <w:rPr>
                <w:rFonts w:ascii="Arial" w:cs="Arial" w:eastAsia="Arial" w:hAnsi="Arial"/>
                <w:sz w:val="14"/>
                <w:szCs w:val="14"/>
                <w:b w:val="1"/>
                <w:bCs w:val="1"/>
                <w:color w:val="auto"/>
              </w:rPr>
              <w:t>April 29,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Balance</w:t>
            </w:r>
          </w:p>
        </w:tc>
        <w:tc>
          <w:tcPr>
            <w:tcW w:w="280" w:type="dxa"/>
            <w:vAlign w:val="bottom"/>
          </w:tcPr>
          <w:p>
            <w:pPr>
              <w:spacing w:after="0"/>
              <w:rPr>
                <w:sz w:val="10"/>
                <w:szCs w:val="10"/>
                <w:color w:val="auto"/>
              </w:rPr>
            </w:pPr>
          </w:p>
        </w:tc>
        <w:tc>
          <w:tcPr>
            <w:tcW w:w="7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Sheet</w:t>
            </w: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Derivatives Designated as Hedging</w:t>
            </w: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Instruments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Foreign exchange contracts</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Prepaid</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Accrued</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expenses</w:t>
            </w:r>
          </w:p>
        </w:tc>
        <w:tc>
          <w:tcPr>
            <w:tcW w:w="94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Derivatives Not Designated as</w:t>
            </w: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Hedging Instruments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Foreign exchange contracts</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Prepaid</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Accrued</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w:t>
            </w: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1,318</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3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Derivatives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2,077</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six months ended May 4, 2012 and April 29, 2011,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Gain (Loss)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left="477"/>
              <w:spacing w:after="0" w:line="135" w:lineRule="exact"/>
              <w:rPr>
                <w:sz w:val="20"/>
                <w:szCs w:val="20"/>
                <w:color w:val="auto"/>
              </w:rPr>
            </w:pPr>
            <w:r>
              <w:rPr>
                <w:rFonts w:ascii="Arial" w:cs="Arial" w:eastAsia="Arial" w:hAnsi="Arial"/>
                <w:sz w:val="13"/>
                <w:szCs w:val="13"/>
                <w:b w:val="1"/>
                <w:bCs w:val="1"/>
                <w:color w:val="auto"/>
                <w:w w:val="86"/>
              </w:rPr>
              <w:t>Gain (Loss)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left="157"/>
              <w:spacing w:after="0" w:line="135" w:lineRule="exact"/>
              <w:rPr>
                <w:sz w:val="20"/>
                <w:szCs w:val="20"/>
                <w:color w:val="auto"/>
              </w:rPr>
            </w:pPr>
            <w:r>
              <w:rPr>
                <w:rFonts w:ascii="Arial" w:cs="Arial" w:eastAsia="Arial" w:hAnsi="Arial"/>
                <w:sz w:val="13"/>
                <w:szCs w:val="13"/>
                <w:b w:val="1"/>
                <w:bCs w:val="1"/>
                <w:color w:val="auto"/>
                <w:w w:val="86"/>
              </w:rPr>
              <w:t>Gain (Loss)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Location of Gain (Loss)</w:t>
            </w:r>
          </w:p>
        </w:tc>
        <w:tc>
          <w:tcPr>
            <w:tcW w:w="100" w:type="dxa"/>
            <w:vAlign w:val="bottom"/>
          </w:tcPr>
          <w:p>
            <w:pPr>
              <w:spacing w:after="0"/>
              <w:rPr>
                <w:sz w:val="11"/>
                <w:szCs w:val="11"/>
                <w:color w:val="auto"/>
              </w:rPr>
            </w:pPr>
          </w:p>
        </w:tc>
        <w:tc>
          <w:tcPr>
            <w:tcW w:w="150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on Derivatives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5"/>
          </w:tcPr>
          <w:p>
            <w:pPr>
              <w:jc w:val="center"/>
              <w:ind w:right="258"/>
              <w:spacing w:after="0" w:line="135" w:lineRule="exact"/>
              <w:rPr>
                <w:sz w:val="20"/>
                <w:szCs w:val="20"/>
                <w:color w:val="auto"/>
              </w:rPr>
            </w:pPr>
            <w:r>
              <w:rPr>
                <w:rFonts w:ascii="Arial" w:cs="Arial" w:eastAsia="Arial" w:hAnsi="Arial"/>
                <w:sz w:val="13"/>
                <w:szCs w:val="13"/>
                <w:b w:val="1"/>
                <w:bCs w:val="1"/>
                <w:color w:val="auto"/>
                <w:w w:val="87"/>
              </w:rPr>
              <w:t>Recognized in OCI on</w:t>
            </w: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Location of Gain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left="157"/>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00" w:type="dxa"/>
            <w:vAlign w:val="bottom"/>
          </w:tcPr>
          <w:p>
            <w:pPr>
              <w:spacing w:after="0"/>
              <w:rPr>
                <w:sz w:val="11"/>
                <w:szCs w:val="11"/>
                <w:color w:val="auto"/>
              </w:rPr>
            </w:pPr>
          </w:p>
        </w:tc>
        <w:tc>
          <w:tcPr>
            <w:tcW w:w="150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left="477"/>
              <w:spacing w:after="0" w:line="135" w:lineRule="exact"/>
              <w:rPr>
                <w:sz w:val="20"/>
                <w:szCs w:val="20"/>
                <w:color w:val="auto"/>
              </w:rPr>
            </w:pPr>
            <w:r>
              <w:rPr>
                <w:rFonts w:ascii="Arial" w:cs="Arial" w:eastAsia="Arial" w:hAnsi="Arial"/>
                <w:sz w:val="13"/>
                <w:szCs w:val="13"/>
                <w:b w:val="1"/>
                <w:bCs w:val="1"/>
                <w:color w:val="auto"/>
                <w:w w:val="89"/>
              </w:rPr>
              <w:t>Derivatives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left="157"/>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00" w:type="dxa"/>
            <w:vAlign w:val="bottom"/>
          </w:tcPr>
          <w:p>
            <w:pPr>
              <w:spacing w:after="0"/>
              <w:rPr>
                <w:sz w:val="11"/>
                <w:szCs w:val="11"/>
                <w:color w:val="auto"/>
              </w:rPr>
            </w:pPr>
          </w:p>
        </w:tc>
        <w:tc>
          <w:tcPr>
            <w:tcW w:w="150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5"/>
          </w:tcPr>
          <w:p>
            <w:pPr>
              <w:jc w:val="center"/>
              <w:ind w:right="258"/>
              <w:spacing w:after="0"/>
              <w:rPr>
                <w:sz w:val="20"/>
                <w:szCs w:val="20"/>
                <w:color w:val="auto"/>
              </w:rPr>
            </w:pPr>
            <w:r>
              <w:rPr>
                <w:rFonts w:ascii="Arial" w:cs="Arial" w:eastAsia="Arial" w:hAnsi="Arial"/>
                <w:sz w:val="13"/>
                <w:szCs w:val="13"/>
                <w:b w:val="1"/>
                <w:bCs w:val="1"/>
                <w:color w:val="auto"/>
                <w:w w:val="87"/>
              </w:rPr>
              <w:t>(Effective Portion)</w:t>
            </w: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from AOCL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left="157"/>
              <w:spacing w:after="0"/>
              <w:rPr>
                <w:sz w:val="20"/>
                <w:szCs w:val="20"/>
                <w:color w:val="auto"/>
              </w:rPr>
            </w:pPr>
            <w:r>
              <w:rPr>
                <w:rFonts w:ascii="Arial" w:cs="Arial" w:eastAsia="Arial" w:hAnsi="Arial"/>
                <w:sz w:val="13"/>
                <w:szCs w:val="13"/>
                <w:b w:val="1"/>
                <w:bCs w:val="1"/>
                <w:color w:val="auto"/>
                <w:w w:val="87"/>
              </w:rPr>
              <w:t>(Effective Portion)</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(Ineffective Portion</w:t>
            </w:r>
          </w:p>
        </w:tc>
        <w:tc>
          <w:tcPr>
            <w:tcW w:w="100" w:type="dxa"/>
            <w:vAlign w:val="bottom"/>
          </w:tcPr>
          <w:p>
            <w:pPr>
              <w:spacing w:after="0"/>
              <w:rPr>
                <w:sz w:val="13"/>
                <w:szCs w:val="13"/>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16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(Dollars in thousands)</w:t>
            </w: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ind w:right="400"/>
              <w:spacing w:after="0" w:line="110" w:lineRule="exact"/>
              <w:rPr>
                <w:sz w:val="20"/>
                <w:szCs w:val="20"/>
                <w:color w:val="auto"/>
              </w:rPr>
            </w:pPr>
            <w:r>
              <w:rPr>
                <w:rFonts w:ascii="Arial" w:cs="Arial" w:eastAsia="Arial" w:hAnsi="Arial"/>
                <w:sz w:val="12"/>
                <w:szCs w:val="12"/>
                <w:b w:val="1"/>
                <w:bCs w:val="1"/>
                <w:color w:val="auto"/>
              </w:rPr>
              <w:t>May 4,</w:t>
            </w:r>
          </w:p>
        </w:tc>
        <w:tc>
          <w:tcPr>
            <w:tcW w:w="2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158"/>
              <w:spacing w:after="0" w:line="110" w:lineRule="exact"/>
              <w:rPr>
                <w:sz w:val="20"/>
                <w:szCs w:val="20"/>
                <w:color w:val="auto"/>
              </w:rPr>
            </w:pPr>
            <w:r>
              <w:rPr>
                <w:rFonts w:ascii="Arial" w:cs="Arial" w:eastAsia="Arial" w:hAnsi="Arial"/>
                <w:sz w:val="12"/>
                <w:szCs w:val="12"/>
                <w:b w:val="1"/>
                <w:bCs w:val="1"/>
                <w:color w:val="auto"/>
              </w:rPr>
              <w:t>April 29,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into Income</w:t>
            </w: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7"/>
              </w:rPr>
              <w:t>May 4,</w:t>
            </w: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rPr>
              <w:t>April 29,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5"/>
              </w:rPr>
              <w:t>and excluded from</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7"/>
              </w:rPr>
              <w:t>May 4,</w:t>
            </w: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18"/>
              <w:spacing w:after="0" w:line="110" w:lineRule="exact"/>
              <w:rPr>
                <w:sz w:val="20"/>
                <w:szCs w:val="20"/>
                <w:color w:val="auto"/>
              </w:rPr>
            </w:pPr>
            <w:r>
              <w:rPr>
                <w:rFonts w:ascii="Arial" w:cs="Arial" w:eastAsia="Arial" w:hAnsi="Arial"/>
                <w:sz w:val="12"/>
                <w:szCs w:val="12"/>
                <w:b w:val="1"/>
                <w:bCs w:val="1"/>
                <w:color w:val="auto"/>
              </w:rPr>
              <w:t>April 29,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160" w:type="dxa"/>
            <w:vAlign w:val="bottom"/>
          </w:tcPr>
          <w:p>
            <w:pPr>
              <w:spacing w:after="0"/>
              <w:rPr>
                <w:sz w:val="13"/>
                <w:szCs w:val="13"/>
                <w:color w:val="auto"/>
              </w:rPr>
            </w:pPr>
          </w:p>
        </w:tc>
        <w:tc>
          <w:tcPr>
            <w:tcW w:w="76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2012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ind w:right="158"/>
              <w:spacing w:after="0"/>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2012</w:t>
            </w:r>
          </w:p>
        </w:tc>
        <w:tc>
          <w:tcPr>
            <w:tcW w:w="140" w:type="dxa"/>
            <w:vAlign w:val="bottom"/>
          </w:tcPr>
          <w:p>
            <w:pPr>
              <w:spacing w:after="0"/>
              <w:rPr>
                <w:sz w:val="13"/>
                <w:szCs w:val="13"/>
                <w:color w:val="auto"/>
              </w:rPr>
            </w:pPr>
          </w:p>
        </w:tc>
        <w:tc>
          <w:tcPr>
            <w:tcW w:w="88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Effectiveness Testing)</w:t>
            </w:r>
          </w:p>
        </w:tc>
        <w:tc>
          <w:tcPr>
            <w:tcW w:w="100" w:type="dxa"/>
            <w:vAlign w:val="bottom"/>
          </w:tcPr>
          <w:p>
            <w:pPr>
              <w:spacing w:after="0"/>
              <w:rPr>
                <w:sz w:val="13"/>
                <w:szCs w:val="13"/>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8"/>
              <w:spacing w:after="0"/>
              <w:rPr>
                <w:sz w:val="20"/>
                <w:szCs w:val="20"/>
                <w:color w:val="auto"/>
              </w:rPr>
            </w:pPr>
            <w:r>
              <w:rPr>
                <w:rFonts w:ascii="Arial" w:cs="Arial" w:eastAsia="Arial" w:hAnsi="Arial"/>
                <w:sz w:val="13"/>
                <w:szCs w:val="13"/>
                <w:b w:val="1"/>
                <w:bCs w:val="1"/>
                <w:color w:val="auto"/>
                <w:w w:val="82"/>
              </w:rPr>
              <w:t>2011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2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Foreign exchange contracts</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(2,859)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32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(1,847)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580" w:type="dxa"/>
            <w:vAlign w:val="bottom"/>
            <w:tcBorders>
              <w:top w:val="single" w:sz="8" w:color="auto"/>
              <w:bottom w:val="single" w:sz="8" w:color="CCEEFF"/>
            </w:tcBorders>
            <w:shd w:val="clear" w:color="auto" w:fill="CCEEFF"/>
          </w:tcPr>
          <w:p>
            <w:pPr>
              <w:jc w:val="right"/>
              <w:ind w:right="618"/>
              <w:spacing w:after="0" w:line="129" w:lineRule="exact"/>
              <w:rPr>
                <w:sz w:val="20"/>
                <w:szCs w:val="20"/>
                <w:color w:val="auto"/>
              </w:rPr>
            </w:pPr>
            <w:r>
              <w:rPr>
                <w:rFonts w:ascii="Arial" w:cs="Arial" w:eastAsia="Arial" w:hAnsi="Arial"/>
                <w:sz w:val="13"/>
                <w:szCs w:val="13"/>
                <w:color w:val="auto"/>
                <w:w w:val="85"/>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Foreign exchange contracts</w:t>
            </w:r>
          </w:p>
        </w:tc>
        <w:tc>
          <w:tcPr>
            <w:tcW w:w="160" w:type="dxa"/>
            <w:vAlign w:val="bottom"/>
          </w:tcPr>
          <w:p>
            <w:pPr>
              <w:spacing w:after="0" w:line="20" w:lineRule="exact"/>
              <w:rPr>
                <w:sz w:val="1"/>
                <w:szCs w:val="1"/>
                <w:color w:val="auto"/>
              </w:rPr>
            </w:pPr>
          </w:p>
        </w:tc>
        <w:tc>
          <w:tcPr>
            <w:tcW w:w="980" w:type="dxa"/>
            <w:vAlign w:val="bottom"/>
            <w:gridSpan w:val="2"/>
            <w:vMerge w:val="restart"/>
          </w:tcPr>
          <w:p>
            <w:pPr>
              <w:jc w:val="right"/>
              <w:ind w:right="220"/>
              <w:spacing w:after="0" w:line="129" w:lineRule="exact"/>
              <w:rPr>
                <w:sz w:val="20"/>
                <w:szCs w:val="20"/>
                <w:color w:val="auto"/>
              </w:rPr>
            </w:pPr>
            <w:r>
              <w:rPr>
                <w:rFonts w:ascii="Arial" w:cs="Arial" w:eastAsia="Arial" w:hAnsi="Arial"/>
                <w:sz w:val="13"/>
                <w:szCs w:val="13"/>
                <w:color w:val="auto"/>
              </w:rPr>
              <w:t>120</w:t>
            </w:r>
          </w:p>
        </w:tc>
        <w:tc>
          <w:tcPr>
            <w:tcW w:w="220" w:type="dxa"/>
            <w:vAlign w:val="bottom"/>
          </w:tcPr>
          <w:p>
            <w:pPr>
              <w:spacing w:after="0" w:line="20" w:lineRule="exact"/>
              <w:rPr>
                <w:sz w:val="1"/>
                <w:szCs w:val="1"/>
                <w:color w:val="auto"/>
              </w:rPr>
            </w:pPr>
          </w:p>
        </w:tc>
        <w:tc>
          <w:tcPr>
            <w:tcW w:w="840" w:type="dxa"/>
            <w:vAlign w:val="bottom"/>
            <w:gridSpan w:val="2"/>
            <w:vMerge w:val="restart"/>
          </w:tcPr>
          <w:p>
            <w:pPr>
              <w:jc w:val="right"/>
              <w:ind w:right="98"/>
              <w:spacing w:after="0" w:line="129" w:lineRule="exact"/>
              <w:rPr>
                <w:sz w:val="20"/>
                <w:szCs w:val="20"/>
                <w:color w:val="auto"/>
              </w:rPr>
            </w:pPr>
            <w:r>
              <w:rPr>
                <w:rFonts w:ascii="Arial" w:cs="Arial" w:eastAsia="Arial" w:hAnsi="Arial"/>
                <w:sz w:val="13"/>
                <w:szCs w:val="13"/>
                <w:color w:val="auto"/>
              </w:rPr>
              <w:t>261</w:t>
            </w:r>
          </w:p>
        </w:tc>
        <w:tc>
          <w:tcPr>
            <w:tcW w:w="1420" w:type="dxa"/>
            <w:vAlign w:val="bottom"/>
            <w:gridSpan w:val="2"/>
            <w:vMerge w:val="restart"/>
          </w:tcPr>
          <w:p>
            <w:pPr>
              <w:ind w:left="100"/>
              <w:spacing w:after="0" w:line="129" w:lineRule="exact"/>
              <w:rPr>
                <w:sz w:val="20"/>
                <w:szCs w:val="20"/>
                <w:color w:val="auto"/>
              </w:rPr>
            </w:pPr>
            <w:r>
              <w:rPr>
                <w:rFonts w:ascii="Arial" w:cs="Arial" w:eastAsia="Arial" w:hAnsi="Arial"/>
                <w:sz w:val="13"/>
                <w:szCs w:val="13"/>
                <w:color w:val="auto"/>
              </w:rPr>
              <w:t>Cost of sales</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(214)</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vMerge w:val="restart"/>
          </w:tcPr>
          <w:p>
            <w:pPr>
              <w:jc w:val="right"/>
              <w:ind w:right="118"/>
              <w:spacing w:after="0" w:line="129" w:lineRule="exact"/>
              <w:rPr>
                <w:sz w:val="20"/>
                <w:szCs w:val="20"/>
                <w:color w:val="auto"/>
              </w:rPr>
            </w:pPr>
            <w:r>
              <w:rPr>
                <w:rFonts w:ascii="Arial" w:cs="Arial" w:eastAsia="Arial" w:hAnsi="Arial"/>
                <w:sz w:val="13"/>
                <w:szCs w:val="13"/>
                <w:color w:val="auto"/>
              </w:rPr>
              <w:t>231</w:t>
            </w: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16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w:t>
            </w: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3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(1,616)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5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May 4,</w:t>
            </w:r>
          </w:p>
        </w:tc>
        <w:tc>
          <w:tcPr>
            <w:tcW w:w="220" w:type="dxa"/>
            <w:vAlign w:val="bottom"/>
          </w:tcPr>
          <w:p>
            <w:pPr>
              <w:spacing w:after="0"/>
              <w:rPr>
                <w:sz w:val="20"/>
                <w:szCs w:val="20"/>
                <w:color w:val="auto"/>
              </w:rPr>
            </w:pPr>
          </w:p>
        </w:tc>
        <w:tc>
          <w:tcPr>
            <w:tcW w:w="840" w:type="dxa"/>
            <w:vAlign w:val="bottom"/>
            <w:gridSpan w:val="2"/>
          </w:tcPr>
          <w:p>
            <w:pPr>
              <w:jc w:val="center"/>
              <w:ind w:right="318"/>
              <w:spacing w:after="0"/>
              <w:rPr>
                <w:sz w:val="20"/>
                <w:szCs w:val="20"/>
                <w:color w:val="auto"/>
              </w:rPr>
            </w:pPr>
            <w:r>
              <w:rPr>
                <w:rFonts w:ascii="Arial" w:cs="Arial" w:eastAsia="Arial" w:hAnsi="Arial"/>
                <w:sz w:val="13"/>
                <w:szCs w:val="13"/>
                <w:b w:val="1"/>
                <w:bCs w:val="1"/>
                <w:color w:val="auto"/>
                <w:w w:val="93"/>
              </w:rPr>
              <w:t>April 29,</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May 4,</w:t>
            </w:r>
          </w:p>
        </w:tc>
        <w:tc>
          <w:tcPr>
            <w:tcW w:w="80" w:type="dxa"/>
            <w:vAlign w:val="bottom"/>
          </w:tcPr>
          <w:p>
            <w:pPr>
              <w:spacing w:after="0"/>
              <w:rPr>
                <w:sz w:val="20"/>
                <w:szCs w:val="20"/>
                <w:color w:val="auto"/>
              </w:rPr>
            </w:pPr>
          </w:p>
        </w:tc>
        <w:tc>
          <w:tcPr>
            <w:tcW w:w="960" w:type="dxa"/>
            <w:vAlign w:val="bottom"/>
            <w:gridSpan w:val="3"/>
          </w:tcPr>
          <w:p>
            <w:pPr>
              <w:jc w:val="center"/>
              <w:ind w:right="118"/>
              <w:spacing w:after="0"/>
              <w:rPr>
                <w:sz w:val="20"/>
                <w:szCs w:val="20"/>
                <w:color w:val="auto"/>
              </w:rPr>
            </w:pPr>
            <w:r>
              <w:rPr>
                <w:rFonts w:ascii="Arial" w:cs="Arial" w:eastAsia="Arial" w:hAnsi="Arial"/>
                <w:sz w:val="13"/>
                <w:szCs w:val="13"/>
                <w:b w:val="1"/>
                <w:bCs w:val="1"/>
                <w:color w:val="auto"/>
                <w:w w:val="93"/>
              </w:rPr>
              <w:t>April 29,</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May 4,</w:t>
            </w:r>
          </w:p>
        </w:tc>
        <w:tc>
          <w:tcPr>
            <w:tcW w:w="80" w:type="dxa"/>
            <w:vAlign w:val="bottom"/>
          </w:tcPr>
          <w:p>
            <w:pPr>
              <w:spacing w:after="0"/>
              <w:rPr>
                <w:sz w:val="20"/>
                <w:szCs w:val="20"/>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April 29,</w:t>
            </w: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w:t>
            </w:r>
          </w:p>
        </w:tc>
        <w:tc>
          <w:tcPr>
            <w:tcW w:w="160" w:type="dxa"/>
            <w:vAlign w:val="bottom"/>
          </w:tcPr>
          <w:p>
            <w:pPr>
              <w:spacing w:after="0"/>
              <w:rPr>
                <w:sz w:val="13"/>
                <w:szCs w:val="13"/>
                <w:color w:val="auto"/>
              </w:rPr>
            </w:pPr>
          </w:p>
        </w:tc>
        <w:tc>
          <w:tcPr>
            <w:tcW w:w="76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2012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ind w:right="158"/>
              <w:spacing w:after="0"/>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2012</w:t>
            </w:r>
          </w:p>
        </w:tc>
        <w:tc>
          <w:tcPr>
            <w:tcW w:w="140" w:type="dxa"/>
            <w:vAlign w:val="bottom"/>
          </w:tcPr>
          <w:p>
            <w:pPr>
              <w:spacing w:after="0"/>
              <w:rPr>
                <w:sz w:val="13"/>
                <w:szCs w:val="13"/>
                <w:color w:val="auto"/>
              </w:rPr>
            </w:pPr>
          </w:p>
        </w:tc>
        <w:tc>
          <w:tcPr>
            <w:tcW w:w="88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8"/>
              <w:spacing w:after="0"/>
              <w:rPr>
                <w:sz w:val="20"/>
                <w:szCs w:val="20"/>
                <w:color w:val="auto"/>
              </w:rPr>
            </w:pPr>
            <w:r>
              <w:rPr>
                <w:rFonts w:ascii="Arial" w:cs="Arial" w:eastAsia="Arial" w:hAnsi="Arial"/>
                <w:sz w:val="13"/>
                <w:szCs w:val="13"/>
                <w:b w:val="1"/>
                <w:bCs w:val="1"/>
                <w:color w:val="auto"/>
                <w:w w:val="82"/>
              </w:rPr>
              <w:t>2011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2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Foreign exchange contracts</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(7,119)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20" w:type="dxa"/>
            <w:vAlign w:val="bottom"/>
            <w:tcBorders>
              <w:top w:val="single" w:sz="8" w:color="CCEEFF"/>
              <w:bottom w:val="single" w:sz="8" w:color="CCEEFF"/>
            </w:tcBorders>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rPr>
              <w:t>Net sales</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(2,590)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40" w:type="dxa"/>
            <w:vAlign w:val="bottom"/>
            <w:tcBorders>
              <w:top w:val="single" w:sz="8" w:color="CCEEFF"/>
              <w:bottom w:val="single" w:sz="8" w:color="CCEEFF"/>
            </w:tcBorders>
            <w:gridSpan w:val="3"/>
            <w:shd w:val="clear" w:color="auto" w:fill="CCEEFF"/>
          </w:tcPr>
          <w:p>
            <w:pPr>
              <w:jc w:val="right"/>
              <w:ind w:right="840"/>
              <w:spacing w:after="0" w:line="129" w:lineRule="exact"/>
              <w:rPr>
                <w:sz w:val="20"/>
                <w:szCs w:val="20"/>
                <w:color w:val="auto"/>
              </w:rPr>
            </w:pPr>
            <w:r>
              <w:rPr>
                <w:rFonts w:ascii="Arial" w:cs="Arial" w:eastAsia="Arial" w:hAnsi="Arial"/>
                <w:sz w:val="13"/>
                <w:szCs w:val="13"/>
                <w:color w:val="auto"/>
                <w:w w:val="94"/>
              </w:rPr>
              <w:t>Other income,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Foreign exchange contracts</w:t>
            </w:r>
          </w:p>
        </w:tc>
        <w:tc>
          <w:tcPr>
            <w:tcW w:w="160" w:type="dxa"/>
            <w:vAlign w:val="bottom"/>
          </w:tcPr>
          <w:p>
            <w:pPr>
              <w:spacing w:after="0" w:line="20" w:lineRule="exact"/>
              <w:rPr>
                <w:sz w:val="1"/>
                <w:szCs w:val="1"/>
                <w:color w:val="auto"/>
              </w:rPr>
            </w:pPr>
          </w:p>
        </w:tc>
        <w:tc>
          <w:tcPr>
            <w:tcW w:w="980" w:type="dxa"/>
            <w:vAlign w:val="bottom"/>
            <w:gridSpan w:val="2"/>
            <w:vMerge w:val="restart"/>
          </w:tcPr>
          <w:p>
            <w:pPr>
              <w:jc w:val="right"/>
              <w:ind w:right="220"/>
              <w:spacing w:after="0" w:line="129" w:lineRule="exact"/>
              <w:rPr>
                <w:sz w:val="20"/>
                <w:szCs w:val="20"/>
                <w:color w:val="auto"/>
              </w:rPr>
            </w:pPr>
            <w:r>
              <w:rPr>
                <w:rFonts w:ascii="Arial" w:cs="Arial" w:eastAsia="Arial" w:hAnsi="Arial"/>
                <w:sz w:val="13"/>
                <w:szCs w:val="13"/>
                <w:color w:val="auto"/>
              </w:rPr>
              <w:t>692</w:t>
            </w:r>
          </w:p>
        </w:tc>
        <w:tc>
          <w:tcPr>
            <w:tcW w:w="220" w:type="dxa"/>
            <w:vAlign w:val="bottom"/>
          </w:tcPr>
          <w:p>
            <w:pPr>
              <w:spacing w:after="0" w:line="20" w:lineRule="exact"/>
              <w:rPr>
                <w:sz w:val="1"/>
                <w:szCs w:val="1"/>
                <w:color w:val="auto"/>
              </w:rPr>
            </w:pPr>
          </w:p>
        </w:tc>
        <w:tc>
          <w:tcPr>
            <w:tcW w:w="840" w:type="dxa"/>
            <w:vAlign w:val="bottom"/>
            <w:gridSpan w:val="2"/>
            <w:vMerge w:val="restart"/>
          </w:tcPr>
          <w:p>
            <w:pPr>
              <w:jc w:val="right"/>
              <w:ind w:right="98"/>
              <w:spacing w:after="0" w:line="129" w:lineRule="exact"/>
              <w:rPr>
                <w:sz w:val="20"/>
                <w:szCs w:val="20"/>
                <w:color w:val="auto"/>
              </w:rPr>
            </w:pPr>
            <w:r>
              <w:rPr>
                <w:rFonts w:ascii="Arial" w:cs="Arial" w:eastAsia="Arial" w:hAnsi="Arial"/>
                <w:sz w:val="13"/>
                <w:szCs w:val="13"/>
                <w:color w:val="auto"/>
              </w:rPr>
              <w:t>1,228</w:t>
            </w:r>
          </w:p>
        </w:tc>
        <w:tc>
          <w:tcPr>
            <w:tcW w:w="1420" w:type="dxa"/>
            <w:vAlign w:val="bottom"/>
            <w:gridSpan w:val="2"/>
            <w:vMerge w:val="restart"/>
          </w:tcPr>
          <w:p>
            <w:pPr>
              <w:ind w:left="100"/>
              <w:spacing w:after="0" w:line="129" w:lineRule="exact"/>
              <w:rPr>
                <w:sz w:val="20"/>
                <w:szCs w:val="20"/>
                <w:color w:val="auto"/>
              </w:rPr>
            </w:pPr>
            <w:r>
              <w:rPr>
                <w:rFonts w:ascii="Arial" w:cs="Arial" w:eastAsia="Arial" w:hAnsi="Arial"/>
                <w:sz w:val="13"/>
                <w:szCs w:val="13"/>
                <w:color w:val="auto"/>
              </w:rPr>
              <w:t>Cost of sales</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(646)</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vMerge w:val="restart"/>
          </w:tcPr>
          <w:p>
            <w:pPr>
              <w:jc w:val="right"/>
              <w:ind w:right="118"/>
              <w:spacing w:after="0" w:line="129" w:lineRule="exact"/>
              <w:rPr>
                <w:sz w:val="20"/>
                <w:szCs w:val="20"/>
                <w:color w:val="auto"/>
              </w:rPr>
            </w:pPr>
            <w:r>
              <w:rPr>
                <w:rFonts w:ascii="Arial" w:cs="Arial" w:eastAsia="Arial" w:hAnsi="Arial"/>
                <w:sz w:val="13"/>
                <w:szCs w:val="13"/>
                <w:color w:val="auto"/>
              </w:rPr>
              <w:t>374</w:t>
            </w: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Total</w:t>
            </w: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933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(5,891</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1,059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2"/>
              </w:rPr>
              <w:t>(2,216</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5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May 4, 2012, the company expects to reclassify approximately $1.5 million of gains from AOCL to earnings during the next 12 months.</w:t>
      </w:r>
    </w:p>
    <w:p>
      <w:pPr>
        <w:spacing w:after="0" w:line="225"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Gain (Loss) Recognized in Net Earnings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top w:val="single" w:sz="8" w:color="auto"/>
            </w:tcBorders>
          </w:tcPr>
          <w:p>
            <w:pPr>
              <w:jc w:val="center"/>
              <w:ind w:left="231"/>
              <w:spacing w:after="0" w:line="119" w:lineRule="exact"/>
              <w:rPr>
                <w:sz w:val="20"/>
                <w:szCs w:val="20"/>
                <w:color w:val="auto"/>
              </w:rPr>
            </w:pPr>
            <w:r>
              <w:rPr>
                <w:rFonts w:ascii="Arial" w:cs="Arial" w:eastAsia="Arial" w:hAnsi="Arial"/>
                <w:sz w:val="13"/>
                <w:szCs w:val="13"/>
                <w:b w:val="1"/>
                <w:bCs w:val="1"/>
                <w:color w:val="auto"/>
              </w:rPr>
              <w:t>May 4,</w:t>
            </w: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4"/>
              <w:spacing w:after="0" w:line="119" w:lineRule="exact"/>
              <w:rPr>
                <w:sz w:val="20"/>
                <w:szCs w:val="20"/>
                <w:color w:val="auto"/>
              </w:rPr>
            </w:pPr>
            <w:r>
              <w:rPr>
                <w:rFonts w:ascii="Arial" w:cs="Arial" w:eastAsia="Arial" w:hAnsi="Arial"/>
                <w:sz w:val="13"/>
                <w:szCs w:val="13"/>
                <w:b w:val="1"/>
                <w:bCs w:val="1"/>
                <w:color w:val="auto"/>
              </w:rPr>
              <w:t>April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May 4,</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4"/>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Recognized in Net Earnings</w:t>
            </w:r>
          </w:p>
        </w:tc>
        <w:tc>
          <w:tcPr>
            <w:tcW w:w="126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4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income, net</w:t>
            </w:r>
          </w:p>
        </w:tc>
        <w:tc>
          <w:tcPr>
            <w:tcW w:w="1260" w:type="dxa"/>
            <w:vAlign w:val="bottom"/>
            <w:gridSpan w:val="3"/>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rPr>
              <w:t>13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5" w:gutter="0" w:footer="0" w:header="0"/>
        </w:sectPr>
      </w:pPr>
    </w:p>
    <w:bookmarkStart w:id="9" w:name="page10"/>
    <w:bookmarkEnd w:id="9"/>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right="6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short-term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Assets and liabilities measured at fair value on a recurring basis, as of May 4, 2012, April 29, 2011, and October 31, 2011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May 4, 2012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82,572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82,572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2,077</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84,649</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3,928</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14"/>
                <w:szCs w:val="14"/>
                <w:b w:val="1"/>
                <w:bCs w:val="1"/>
                <w:color w:val="auto"/>
              </w:rPr>
              <w:t>April 29, 2011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106,862</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106,862</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7,954</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compensation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4,654</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14"/>
                <w:szCs w:val="14"/>
                <w:b w:val="1"/>
                <w:bCs w:val="1"/>
                <w:color w:val="auto"/>
              </w:rPr>
              <w:t>October 31, 2011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80,886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80,886</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3,150</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compensation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4,297</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73"/>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pacing w:after="0" w:line="18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Beginning in June 2004, various plaintiffs filed class action lawsuits in state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courts throughout the country against the company and other defendants alleging that the horsepower labels on the products the plaintiffs purchased</w:t>
      </w:r>
    </w:p>
    <w:p>
      <w:pPr>
        <w:sectPr>
          <w:pgSz w:w="11900" w:h="16921" w:orient="portrait"/>
          <w:cols w:equalWidth="0" w:num="1">
            <w:col w:w="11460"/>
          </w:cols>
          <w:pgMar w:left="240" w:top="121" w:right="199" w:bottom="0" w:gutter="0" w:footer="0" w:header="0"/>
        </w:sectPr>
      </w:pPr>
    </w:p>
    <w:bookmarkStart w:id="10" w:name="page11"/>
    <w:bookmarkEnd w:id="10"/>
    <w:p>
      <w:pPr>
        <w:spacing w:after="0" w:line="6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were inaccurate. The plaintiffs (i) asserted statutory and common law claims, and (ii) sought an injunction, unspecified compensatory and punitive damages, treble damages, and attorneys’ fees. In December 2008, all lawsuits were transferred to the United States District Court for the Eastern District of Wisconsin (the “Court”) for coordinated or consolidated pretrial proceedings.</w:t>
      </w:r>
    </w:p>
    <w:p>
      <w:pPr>
        <w:spacing w:after="0" w:line="181"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The company and certain other defendants entered into a settlement agreement with plaintiffs in February 2010, the Court approved the company’s settlement and certified the settlement class in August 2010, and the company’s settlement agreement became final in February 2011. The settlement class consists of all persons in the United States who, beginning January 1, 1994 and through April 12, 2010, purchased a lawnmower containing a two-stroke or four-stroke gas combustible engine up to 30 horsepower that was manufactured or sold by the company and other defendants, and the company’s settlement agreement provides for, among other things, (i) a monetary settlement, (ii) an additional warranty period for certain engines that are subject to the litigation, and (iii) injunctive relief relating to power rating labeling practices. The expected costs of the company’s performance of its settlement obligations are consistent with accruals established in prior periods and, as such, management does not currently expect that the settlement will have a material adverse effect on the company’s consolidated operating results or financial condition.</w:t>
      </w:r>
    </w:p>
    <w:p>
      <w:pPr>
        <w:spacing w:after="0" w:line="179"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188"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In the event the company is unable to favorably resolve this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irrigation systems, agricultural micro-irrigation systems, landscaping equipment and lighting, underground utility equipment, concrete and hardscape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7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results for the second quarter of fiscal 2012 were positive with a net sales growth rate of 9.5 percent and a net earnings growth rate of 14.2 percent, each as compared to the second quarter of fiscal 2011. Year-to-date net earnings increased 14.5 percent in fiscal 2012 compared to the same period in the prior fiscal year on a year-to-date net sales growth rate of 9.9 percent. Sales for most professional segment businesses increased due to strong demand for domestic golf equipment as customers replaced aging equipment, favorable early spring weather that accelerated shipments and demand for landscape contractor equipment, the successful introduction of new products, higher demand resulting from improved domestic economic conditions in our markets, and price increases on some products. Worldwide sales for our micro-irrigation products also increased due to continued acceptance of drip irrigation solutions for agricultural markets. Additionally, for the first six months of fiscal 2012, $7.5 million of incremental net sales from acquisitions completed during the past twelve months also contributed to the sales growth for our professional segment. During the second quarter of fiscal 2012, we completed the acquisitions of two professional product lines that increase our product offering and presence in the rental and light construction markets. Residential segment sales also were up primarily from favorable early spring weather conditions that drove strong demand for walk power mowers and riders, positive customer response to newly introduced products, and higher sales of Pope products in Australia due to more favorable weather conditions. However, shipments of snow thrower products and service parts were down, mainly for the year-to-date comparison, due to reduced demand resulting from the lack of snowfall during the 2011/2012 winter season. International net sales decreased slightly for the second quarter of fiscal 2012 compared to the second quarter of fiscal 2011 primarily from a slowdown in shipments of golf and grounds equipment in Europe. Our net earnings growth of 14.2 percent and 14.5 percent in the second quarter and year-to-date periods of fiscal 2012, respectively, compared to the same periods in fiscal 2011, resulted primarily from higher sales volumes and leveraging of our selling, general, and administrative (SG&amp;A) expense over higher sales volumes. Our gross margin rate increased 20 basis points in the second quarter of fiscal 2012 compared to the second quarter of fiscal 2011. However, for the year-to-date period of fiscal 2012, our gross margin rate decreased 20 basis points compared to the same period in the prior fiscal year. Additionally, our net earnings growth was hampered by an increase in our tax rate due to the expiration of the domestic research tax credit on December 31, 2011.</w:t>
      </w:r>
    </w:p>
    <w:p>
      <w:pPr>
        <w:spacing w:after="0" w:line="170" w:lineRule="exact"/>
        <w:rPr>
          <w:sz w:val="20"/>
          <w:szCs w:val="20"/>
          <w:color w:val="auto"/>
        </w:rPr>
      </w:pPr>
    </w:p>
    <w:p>
      <w:pPr>
        <w:ind w:right="80" w:firstLine="270"/>
        <w:spacing w:after="0" w:line="342" w:lineRule="auto"/>
        <w:rPr>
          <w:sz w:val="20"/>
          <w:szCs w:val="20"/>
          <w:color w:val="auto"/>
        </w:rPr>
      </w:pPr>
      <w:r>
        <w:rPr>
          <w:rFonts w:ascii="Arial" w:cs="Arial" w:eastAsia="Arial" w:hAnsi="Arial"/>
          <w:sz w:val="16"/>
          <w:szCs w:val="16"/>
          <w:color w:val="auto"/>
        </w:rPr>
        <w:t>We continued to focus on asset management and our financial condition remained strong. Our receivables decreased slightly, by 2.0 percent, as of the end of the second quarter of fiscal 2012 compared to the end of the second quarter of fiscal 2011 on a sales increase of nearly 10 percent. Our inventory levels</w:t>
      </w:r>
    </w:p>
    <w:p>
      <w:pPr>
        <w:sectPr>
          <w:pgSz w:w="11900" w:h="16908" w:orient="portrait"/>
          <w:cols w:equalWidth="0" w:num="1">
            <w:col w:w="11420"/>
          </w:cols>
          <w:pgMar w:left="240" w:top="125" w:right="239" w:bottom="0" w:gutter="0" w:footer="0" w:header="0"/>
        </w:sectPr>
      </w:pPr>
    </w:p>
    <w:bookmarkStart w:id="11" w:name="page12"/>
    <w:bookmarkEnd w:id="11"/>
    <w:p>
      <w:pPr>
        <w:ind w:right="280"/>
        <w:spacing w:after="0" w:line="342" w:lineRule="auto"/>
        <w:rPr>
          <w:sz w:val="20"/>
          <w:szCs w:val="20"/>
          <w:color w:val="auto"/>
        </w:rPr>
      </w:pPr>
      <w:r>
        <w:rPr>
          <w:rFonts w:ascii="Arial" w:cs="Arial" w:eastAsia="Arial" w:hAnsi="Arial"/>
          <w:sz w:val="16"/>
          <w:szCs w:val="16"/>
          <w:color w:val="auto"/>
        </w:rPr>
        <w:t>also declined by 3.5 percent as of the end of the second quarter of fiscal 2012 compared to the end of the second quarter of fiscal 2011. Our second quarter cash dividend increased by 10 percent from $0.20 to $0.22 per share compared to the quarterly cash dividend paid in the second quarter of fiscal 2011.</w:t>
      </w:r>
    </w:p>
    <w:p>
      <w:pPr>
        <w:spacing w:after="0" w:line="124"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Our multi-year initiative, “Destination 2014” will take us to our centennial in 2014 and into our second century. This four-year initiative is intended to focus our efforts on driving our legacy of excellence through building caring relationships and engaging in innovation. Through our Destination 2014 initiative financial goals, we will strive to achieve a minimum of $100 million in organic revenue growth each fiscal year and 12 percent operating earnings as a percentage of net sales by the end of fiscal 2014. We define organic revenue growth as the increase in net sales, less net sales from acquisitions that occurred in the prior twelve-month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Our first half of fiscal 2012 financial results were solid, and we are optimistic that our results for the full fiscal year of 2012 will end positively. Our continued focus is on generating customer demand and aggressively driving retail sales for our innovative products, while keeping production closely aligned with expected shipment volumes. We will continue to keep a cautionary eye on the global economic environment, particularly Europe, retail demand, field inventory levels, commodity prices, weather conditions, competitive actions, expenses, and other factors identified below under the heading “Forward-Looking Information,” which could cause our actual results to differ from our anticipated outlook.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earnings for the second quarter of fiscal 2012 were $68.8 million, or $2.26 per diluted share, compared to $60.3 million, or $1.88 per diluted share, for the second quarter of fiscal 2011, resulting in a net earnings per diluted share increase of 20.2 percent. Year-to-date net earnings in fiscal 2012 were $88.7 million, or $2.91 per diluted share, compared to $77.5 million, or $2.41 per diluted share, in the last fiscal year, resulting in a net earnings per diluted share increase of 20.7 percent. The primary factors contributing to our earnings improvements were higher sales volumes and the leveraging of fixed SG&amp;A costs over higher sales volumes, somewhat offset by a higher effective tax rate. In addition, second quarter and year-to-date fiscal 2012 net earnings per diluted share were benefited by approximately $0.11 per share and $0.16 per share, respectively, compared to the same periods in fiscal 2011, as a result of reduced shares outstanding from repurchases of our common stock.</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30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Three Months Ended</w:t>
            </w:r>
          </w:p>
        </w:tc>
        <w:tc>
          <w:tcPr>
            <w:tcW w:w="3180" w:type="dxa"/>
            <w:vAlign w:val="bottom"/>
            <w:gridSpan w:val="4"/>
          </w:tcPr>
          <w:p>
            <w:pPr>
              <w:jc w:val="right"/>
              <w:ind w:right="101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41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May 4, 2012</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April 29, 2011</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May 4, 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April 29, 2011</w:t>
            </w:r>
          </w:p>
        </w:tc>
        <w:tc>
          <w:tcPr>
            <w:tcW w:w="180" w:type="dxa"/>
            <w:vAlign w:val="bottom"/>
            <w:tcBorders>
              <w:bottom w:val="single" w:sz="8" w:color="CCEEFF"/>
            </w:tcBorders>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(66.0)</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(66.2)</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(65.7)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(65.5)</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SG&amp;A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(18.6)</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(19.0)</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(21.7)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(22.6)</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(4.8)</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(3.7)</w:t>
            </w:r>
          </w:p>
        </w:tc>
      </w:tr>
      <w:tr>
        <w:trPr>
          <w:trHeight w:val="223"/>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Worldwide consolidated net sales for the second quarter and year-to-date periods of fiscal 2012 were up 9.5 percent and 9.9 percent, respectively, from the same periods in the prior fiscal year. Worldwide professional segment net sales were up 9.0 percent and 9.3 percent for the second quarter and year-to-date periods of fiscal 2012, respectively, compared to the same periods in the prior fiscal year. Sales for most professional segment businesses increased due to strong demand for domestic golf equipment as customers replaced aging equipment, favorable early spring weather that accelerated shipments and demand for landscape contractor equipment, the successful introduction of new products, higher demand resulting from improved domestic economic conditions in our markets, and price increases on some products. However, shipments of golf and grounds equipment in Europe were down due to economic uncertainty in some European countries. Worldwide sales for our micro-irrigation products increased due to continued acceptance of drip irrigation solutions for agricultural markets. Additionally, for the first six months of fiscal 2012, $7.5 million of incremental net sales from acquisitions completed during the past twelve months also contributed to the sales growth for our professional segment. Residential segment net sales were up 10.6 percent and 11.0 percent for the second quarter and year-to-date periods of fiscal 2012, respectively, compared to the same periods in the prior fiscal year. Favorable early spring weather drove strong demand for walk power mowers and riders, and positive customer response to new products we introduced also increased net sales for our residential segment. Sales of Pope products in Australia were also up due to more favorable weather conditions in fiscal 2012 compared to fiscal 2011. However, shipments of snow thrower products and service parts were down, mainly for the year-to-date comparison, due to reduced demand resulting from the lack of snowfall during the 2011/2012 winter season. International net sales for the second quarter of fiscal 2012 were slightly down by 2.2 percent compared to the second quarter of fiscal 2011; however, for the year-to-date period of fiscal 2012, international net sales slightly increased by 1.8 percent from the same period in the prior fiscal year. A weaker U.S. dollar compared to other currencies in which we transact business accounted for approximately $2.3 million and $4.8 million of additional net sales for the second quarter and year-to-date periods of fiscal 2012, respectively. Field inventory levels were up as of the end of the second quarter of fiscal 2012 compared to the same period in the prior fiscal year due to increased orders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from strong preseason demand as a result of early spring weather conditions, and higher field inventory levels of snow throwers as a result of decreased demand due to the lack of snowfall during the 2011/2012 winter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ectPr>
          <w:pgSz w:w="11900" w:h="16838" w:orient="portrait"/>
          <w:cols w:equalWidth="0" w:num="1">
            <w:col w:w="11420"/>
          </w:cols>
          <w:pgMar w:left="240" w:top="125" w:right="239" w:bottom="50" w:gutter="0" w:footer="0" w:header="0"/>
        </w:sectPr>
      </w:pPr>
    </w:p>
    <w:bookmarkStart w:id="12" w:name="page13"/>
    <w:bookmarkEnd w:id="12"/>
    <w:p>
      <w:pPr>
        <w:ind w:right="20"/>
        <w:spacing w:after="0" w:line="273" w:lineRule="auto"/>
        <w:rPr>
          <w:sz w:val="20"/>
          <w:szCs w:val="20"/>
          <w:color w:val="auto"/>
        </w:rPr>
      </w:pPr>
      <w:r>
        <w:rPr>
          <w:rFonts w:ascii="Arial" w:cs="Arial" w:eastAsia="Arial" w:hAnsi="Arial"/>
          <w:sz w:val="17"/>
          <w:szCs w:val="17"/>
          <w:color w:val="auto"/>
        </w:rPr>
        <w:t>As a percentage of net sales, gross profit for the second quarter of fiscal 2012 increased 20 basis points to 34.0 percent compared to 33.8 percent in the second quarter of fiscal 2011. This improvement was due mainly to manufacturing efficiencies from increased production and demand for our products, price increases on some products, somewhat offset by higher commodity costs. Gross profit as a percent of net sales for the year-to-date period of fiscal 2012 decreased 20 basis points to 34.3 percent compared to 34.5 percent for the year-to-date period of fiscal 2011. This decline mainly was due to a lower proportionate share of product sales that carry higher average gross margins and higher commodity prices, somewhat offset by price increases on some products and manufacturing efficiencies from increased production and demand for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SG&amp;A expense increased $8.7 million, or 7.3 percent, for the second quarter of fiscal 2012 compared to the second quarter of fiscal 2011 and increased $11.9 million, or 5.2 percent, for the year-to-date period of fiscal 2012 compared to the year-to-date period of fiscal 2011. As a percentage of net sales, SG&amp;A expense decreased 40 basis points and 90 basis points for the second quarter and year-to-date periods of fiscal 2012, respectively, compared to the same periods in the prior fiscal year. Those decreases were primarily attributable to the leveraging of SG&amp;A costs over higher sales volumes.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Interest expense for the second quarter of fiscal 2012 decreased slightly, by 0.5 percent, compared to the second quarter of fiscal 2011. For the year-to-date period of fiscal 2012, interest expense increased 3.5 percent compared to the same period in the prior fiscal year as a result of higher average debt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Other income, net for the second quarter of fiscal 2012 increased $0.7 million compared to the second quarter of fiscal 2011 due primarily to an increase in income from our equity investment. Other income, net for the year-to-date period of fiscal 2012 decreased slightly by $0.1 million compared to the same period in the prior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effective tax rate for the second quarter of fiscal 2012 was 34.1 percent compared to 33.4 percent for the second quarter of fiscal 2011. The effective tax rate for the year-to-date periods of fiscal 2012 and 2011 was 34.0 percent and 32.6 percent, respectively. The increases in the effective tax rates were primarily the result of the expiration of the Federal Research and Development Tax Credit on December 31, 2011, whereas our tax rate in the first quarter of fiscal 2011 was benefited by the reinstatement and retroactive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May 4,</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400" w:type="dxa"/>
            <w:vAlign w:val="bottom"/>
          </w:tcPr>
          <w:p>
            <w:pPr>
              <w:spacing w:after="0"/>
              <w:rPr>
                <w:sz w:val="10"/>
                <w:szCs w:val="10"/>
                <w:color w:val="auto"/>
              </w:rPr>
            </w:pPr>
          </w:p>
        </w:tc>
        <w:tc>
          <w:tcPr>
            <w:tcW w:w="13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8"/>
              </w:rPr>
              <w:t>$ Change</w:t>
            </w:r>
          </w:p>
        </w:tc>
        <w:tc>
          <w:tcPr>
            <w:tcW w:w="15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vMerge w:val="continue"/>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455,945</w:t>
            </w:r>
          </w:p>
        </w:tc>
        <w:tc>
          <w:tcPr>
            <w:tcW w:w="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418,284</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37,661</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231,897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209,632</w:t>
            </w:r>
          </w:p>
        </w:tc>
        <w:tc>
          <w:tcPr>
            <w:tcW w:w="4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22,265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3,643</w:t>
            </w:r>
          </w:p>
        </w:tc>
        <w:tc>
          <w:tcPr>
            <w:tcW w:w="1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3,685</w:t>
            </w:r>
          </w:p>
        </w:tc>
        <w:tc>
          <w:tcPr>
            <w:tcW w:w="400" w:type="dxa"/>
            <w:vAlign w:val="bottom"/>
            <w:tcBorders>
              <w:lef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691,485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631,601</w:t>
            </w:r>
          </w:p>
        </w:tc>
        <w:tc>
          <w:tcPr>
            <w:tcW w:w="2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59,884</w:t>
            </w:r>
          </w:p>
        </w:tc>
        <w:tc>
          <w:tcPr>
            <w:tcW w:w="260" w:type="dxa"/>
            <w:vAlign w:val="bottom"/>
          </w:tcPr>
          <w:p>
            <w:pPr>
              <w:spacing w:after="0"/>
              <w:rPr>
                <w:sz w:val="18"/>
                <w:szCs w:val="18"/>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80" w:type="dxa"/>
            <w:vAlign w:val="bottom"/>
            <w:shd w:val="clear" w:color="auto" w:fill="CCEEFF"/>
          </w:tcPr>
          <w:p>
            <w:pPr>
              <w:spacing w:after="0"/>
              <w:rPr>
                <w:sz w:val="22"/>
                <w:szCs w:val="22"/>
                <w:color w:val="auto"/>
              </w:rPr>
            </w:pPr>
          </w:p>
        </w:tc>
        <w:tc>
          <w:tcPr>
            <w:tcW w:w="300" w:type="dxa"/>
            <w:vAlign w:val="bottom"/>
            <w:tcBorders>
              <w:lef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197,516</w:t>
            </w:r>
          </w:p>
        </w:tc>
        <w:tc>
          <w:tcPr>
            <w:tcW w:w="1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201,896</w:t>
            </w:r>
          </w:p>
        </w:tc>
        <w:tc>
          <w:tcPr>
            <w:tcW w:w="400" w:type="dxa"/>
            <w:vAlign w:val="bottom"/>
            <w:tcBorders>
              <w:lef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May 4,</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April 29,</w:t>
            </w:r>
          </w:p>
        </w:tc>
        <w:tc>
          <w:tcPr>
            <w:tcW w:w="400" w:type="dxa"/>
            <w:vAlign w:val="bottom"/>
          </w:tcPr>
          <w:p>
            <w:pPr>
              <w:spacing w:after="0"/>
              <w:rPr>
                <w:sz w:val="10"/>
                <w:szCs w:val="10"/>
                <w:color w:val="auto"/>
              </w:rPr>
            </w:pPr>
          </w:p>
        </w:tc>
        <w:tc>
          <w:tcPr>
            <w:tcW w:w="13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8"/>
              </w:rPr>
              <w:t>$ Change</w:t>
            </w:r>
          </w:p>
        </w:tc>
        <w:tc>
          <w:tcPr>
            <w:tcW w:w="15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ind w:right="23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37"/>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vMerge w:val="continue"/>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676,564</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63,215</w:t>
            </w:r>
          </w:p>
        </w:tc>
        <w:tc>
          <w:tcPr>
            <w:tcW w:w="260" w:type="dxa"/>
            <w:vAlign w:val="bottom"/>
            <w:tcBorders>
              <w:right w:val="single" w:sz="8" w:color="CCEEFF"/>
            </w:tcBorders>
            <w:shd w:val="clear" w:color="auto" w:fill="CCEEFF"/>
          </w:tcPr>
          <w:p>
            <w:pPr>
              <w:spacing w:after="0"/>
              <w:rPr>
                <w:sz w:val="18"/>
                <w:szCs w:val="18"/>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332,925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36,580</w:t>
            </w:r>
          </w:p>
        </w:tc>
        <w:tc>
          <w:tcPr>
            <w:tcW w:w="26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right w:val="single" w:sz="8" w:color="CCEEFF"/>
            </w:tcBorders>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1,014,813</w:t>
            </w:r>
          </w:p>
        </w:tc>
        <w:tc>
          <w:tcPr>
            <w:tcW w:w="2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100,507</w:t>
            </w:r>
          </w:p>
        </w:tc>
        <w:tc>
          <w:tcPr>
            <w:tcW w:w="26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gridSpan w:val="2"/>
          </w:tcPr>
          <w:p>
            <w:pPr>
              <w:spacing w:after="0"/>
              <w:rPr>
                <w:sz w:val="8"/>
                <w:szCs w:val="8"/>
                <w:color w:val="auto"/>
              </w:rPr>
            </w:pPr>
          </w:p>
        </w:tc>
        <w:tc>
          <w:tcPr>
            <w:tcW w:w="58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80" w:type="dxa"/>
            <w:vAlign w:val="bottom"/>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346,670</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340,647</w:t>
            </w:r>
          </w:p>
        </w:tc>
        <w:tc>
          <w:tcPr>
            <w:tcW w:w="26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left w:val="single" w:sz="8" w:color="CCEEFF"/>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260" w:type="dxa"/>
            <w:vAlign w:val="bottom"/>
            <w:tcBorders>
              <w:right w:val="single" w:sz="8" w:color="CCEEFF"/>
            </w:tcBorders>
            <w:shd w:val="clear" w:color="auto" w:fill="CCEEFF"/>
          </w:tcPr>
          <w:p>
            <w:pPr>
              <w:spacing w:after="0"/>
              <w:rPr>
                <w:sz w:val="20"/>
                <w:szCs w:val="20"/>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May 4,</w:t>
            </w:r>
          </w:p>
        </w:tc>
        <w:tc>
          <w:tcPr>
            <w:tcW w:w="260" w:type="dxa"/>
            <w:vAlign w:val="bottom"/>
          </w:tcPr>
          <w:p>
            <w:pPr>
              <w:spacing w:after="0"/>
              <w:rPr>
                <w:sz w:val="10"/>
                <w:szCs w:val="10"/>
                <w:color w:val="auto"/>
              </w:rPr>
            </w:pPr>
          </w:p>
        </w:tc>
        <w:tc>
          <w:tcPr>
            <w:tcW w:w="14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gridSpan w:val="2"/>
            <w:vMerge w:val="restart"/>
          </w:tcPr>
          <w:p>
            <w:pPr>
              <w:spacing w:after="0"/>
              <w:rPr>
                <w:sz w:val="10"/>
                <w:szCs w:val="10"/>
                <w:color w:val="auto"/>
              </w:rPr>
            </w:pPr>
          </w:p>
        </w:tc>
        <w:tc>
          <w:tcPr>
            <w:tcW w:w="14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gridSpan w:val="2"/>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28,518</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26,539</w:t>
            </w:r>
          </w:p>
        </w:tc>
        <w:tc>
          <w:tcPr>
            <w:tcW w:w="5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1,979</w:t>
            </w: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(22,827)</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(21,645)</w:t>
            </w:r>
          </w:p>
        </w:tc>
        <w:tc>
          <w:tcPr>
            <w:tcW w:w="5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446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90,500</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13,892</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May 4,</w:t>
            </w:r>
          </w:p>
        </w:tc>
        <w:tc>
          <w:tcPr>
            <w:tcW w:w="260" w:type="dxa"/>
            <w:vAlign w:val="bottom"/>
          </w:tcPr>
          <w:p>
            <w:pPr>
              <w:spacing w:after="0"/>
              <w:rPr>
                <w:sz w:val="10"/>
                <w:szCs w:val="10"/>
                <w:color w:val="auto"/>
              </w:rPr>
            </w:pPr>
          </w:p>
        </w:tc>
        <w:tc>
          <w:tcPr>
            <w:tcW w:w="14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420" w:type="dxa"/>
            <w:vAlign w:val="bottom"/>
          </w:tcPr>
          <w:p>
            <w:pPr>
              <w:spacing w:after="0"/>
              <w:rPr>
                <w:sz w:val="10"/>
                <w:szCs w:val="10"/>
                <w:color w:val="auto"/>
              </w:rPr>
            </w:pPr>
          </w:p>
        </w:tc>
        <w:tc>
          <w:tcPr>
            <w:tcW w:w="9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gridSpan w:val="2"/>
            <w:vMerge w:val="restart"/>
          </w:tcPr>
          <w:p>
            <w:pPr>
              <w:spacing w:after="0"/>
              <w:rPr>
                <w:sz w:val="10"/>
                <w:szCs w:val="10"/>
                <w:color w:val="auto"/>
              </w:rPr>
            </w:pPr>
          </w:p>
        </w:tc>
        <w:tc>
          <w:tcPr>
            <w:tcW w:w="14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gridSpan w:val="2"/>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41,126</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37,907</w:t>
            </w: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3,219</w:t>
            </w: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(47,440)</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(46,479)</w:t>
            </w:r>
          </w:p>
        </w:tc>
        <w:tc>
          <w:tcPr>
            <w:tcW w:w="4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446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134,478</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114,953</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second quarter and year-to-date periods of fiscal 2012 increased 9.0 percent and 9.3</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compared to the same periods in the prior fiscal year. Sales for most professional segment businesses increased due to strong demand for domestic golf equipment as customers replaced aging equipment, favorable early spring weather that accelerated shipments and demand for landscape contractor equipment, the successful introduction of new products, higher demand resulting from improved domestic economic conditions in our markets, and price increases on some products. However, shipments of golf and grounds equipment in Europe were down due to economic uncertainty in some European countries. Worldwide sales for our micro-irrigation products increased due to continued acceptance of drip irrigation solutions for agricultural markets. Additionally, for the first six months of fiscal 2012, $7.5 million of incremental net sales from acquisitions completed during the past twelve months also contributed to the sales growth for our professional segment.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second quarter and year-to-date periods of fiscal 2012 increased 15.3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14.0 percent, respectively, compared to the same periods in the last fiscal year. Expressed as a percentage of net sales, professional segment operating margin increased to 21.6 percent compared to 20.5 percent in the second quarter of fiscal 2011, and fiscal 2012 year-to-date professional segment operating margin also increased to 19.0 percent compared to 18.3 percent compared to the same period in the last fiscal year. These profit improvements were attributable to higher sales volumes, an increase in gross margins primarily from manufacturing efficiencies from increased production and demand, and lower SG&amp;A expenses as a percentage of net sales due to the leveraging of fixed SG&amp;A costs over higher sales volumes.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for the residential segment in the second quarter and year-to-date periods of fiscal 2012 increased 10.6 percent and 11.0</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respectively, compared to the same periods in the prior fiscal year. Favorable early spring weather drove strong demand for walk power mowers and riders, as well as positive customer response to new products we introduced also contributed to the net sales increase for our residential segment. Sales of Pope products in Australia also were up due to more favorable weather conditions in fiscal 2012 compared to fiscal 2011. However, shipments of snow thrower products and service parts were down, mainly for the year-to-date comparison, due to decreased demand resulting from the lack of snowfall during the 2011/2012 winter season. As a result of the aforementioned lack of snowfall during the 2011/2012 winter season, coupled with higher snow thrower field inventory levels, anticipated lower demand is expected to result in an adverse effect on our shipments of snow thrower products for the second half of fiscal 2012.</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in the second quarter and year-to-date periods of fiscal 2012 increased 7.5 percent and 8.5</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compared to the same periods in the prior fiscal year due to higher sales volumes. However, expressed as a percentage of net sales, residential segment operating margin decreased to 12.3 percent in the second quarter of fiscal 2012 compared to 12.7 percent in the second quarter of fiscal 2011, and fiscal 2012 year-to-date residential segment operating margin also decreased to 11.1 percent compared to 11.4 percent compared to the same period in the last fiscal year. These decreases in operating margins were primarily attributable to lower gross margins due to higher commodity prices and a lower proportionate share of product sales that carry higher average gross margins, somewhat offset by lower SG&amp;A expenses as a percentage of net sales due to the leveraging of fixed SG&amp;A costs over higher sales volumes.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color w:val="auto"/>
        </w:rPr>
        <w:t>. 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The other segment net sales for the second quarter of fiscal 2012 decreased slightly, by 1.1 percent, compared to the second quarter of fiscal 2011. For the year-to-date period of fiscal 2012, the other segment net sales increased $0.7 million, or 13.4 percent, compared to the same period in the prior fiscal year due to favorable early spring weather that drove strong demand for products at our company-owned Midwestern distribution company.</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increased for the second quarter and year-to-date periods of fiscal 2012 by $1.2 million, or 5.5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$1.0 million, or 2.1 percent, respectively, compared to the same periods in the prior fiscal year. These loss increases were due primarily to an increase in self-insured health insurance expense and higher currency exchange rate losses, somewhat offset by an increase in income from our equity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fiscal 2012, we have placed and intend to continue to place additional emphasis on asset utilization and limiting inventory build up, with a focus on minimizing the amount of working capital in the supply chain, adjusting production plans, and maintaining or improving order replenishment and service levels to end users.</w:t>
      </w:r>
    </w:p>
    <w:p>
      <w:pPr>
        <w:sectPr>
          <w:pgSz w:w="11900" w:h="16838" w:orient="portrait"/>
          <w:cols w:equalWidth="0" w:num="1">
            <w:col w:w="11420"/>
          </w:cols>
          <w:pgMar w:left="240" w:top="333" w:right="239" w:bottom="0" w:gutter="0" w:footer="0" w:header="0"/>
        </w:sectPr>
      </w:pPr>
    </w:p>
    <w:bookmarkStart w:id="14" w:name="page15"/>
    <w:bookmarkEnd w:id="14"/>
    <w:p>
      <w:pPr>
        <w:ind w:right="40" w:firstLine="270"/>
        <w:spacing w:after="0" w:line="287" w:lineRule="auto"/>
        <w:rPr>
          <w:sz w:val="20"/>
          <w:szCs w:val="20"/>
          <w:color w:val="auto"/>
        </w:rPr>
      </w:pPr>
      <w:r>
        <w:rPr>
          <w:rFonts w:ascii="Arial" w:cs="Arial" w:eastAsia="Arial" w:hAnsi="Arial"/>
          <w:sz w:val="16"/>
          <w:szCs w:val="16"/>
          <w:color w:val="auto"/>
        </w:rPr>
        <w:t>Receivables as of the end of the second quarter of fiscal 2012 decreased by 2.0 percent compared to the end of the second quarter of fiscal 2011 due mainly to strong cash collections the last week of our quarter primarily due to the change in timing of our second quarter end date in fiscal 2012, which was five days later then the end of the second quarter in fiscal 2011. Our average days sales outstanding for receivables improved to 34.5 days based on sales for the twelve months ended May 4, 2012, compared to 36.3 days for the twelve months ended April 29, 2011. Inventory levels as of the end of the second quarter of fiscal 2012 also decreased by 3.5 percent compared to the end of the second quarter of fiscal 2011. Last fiscal year we prebuilt inventory, mainly residential turf products, in anticipation of then expected higher demand for our products that did not occur as planned, whereas this fiscal year we experienced strong preseason demand as a result of favorable early spring weather conditions. In addition, accounts payable decreased as of the end of our second quarter of fiscal 2012 by $6.2 million, or 3.1 percent, driven by lower levels of inventory. Our average net working capital as a percentage of net sales for the twelve months ended May 4, 2012 increased to 14.9 percent compared to 13.6 percent for the twelve months ended April 29, 2011. This increase was due mainly to higher average inventory levels for the twelve-month period ended May 4, 2012 as compared to the twelve-month period ended April 29, 2011. We define average net working capital as accounts receivable plus inventory less trade payables as a percentage of net sales for a twelve month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our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Board of Directors approved a cash dividend of $0.22 per share for the second quarter of fiscal 2012 paid on April 16, 2012, which was an increase of</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10 percent over our cash dividend of $0.20 per share for the second quarter of fiscal 2011. Our Board of Directors also declared a two-for-one split of our common stock, which will be effected in the form of a 100 percent stock dividend, and will be distributed June 29, 2012 to shareholders of record as of June 15, 2012.</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We historically use more operating cash in the first half of the fiscal year than the second half of our fiscal year due to the seasonality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Cash provided by operating activities for the first six months of fiscal 2012 increased $71.6 million compared to the first six months of fiscal 2011, mainly as a result of lower inventory levels and a higher increase in accounts payable and accrued liabilities for the first half of fiscal 2012 as compared to the first half of fiscal 2011, as well as higher net earnings. Cash used for investing activities was down by $7.4 million compared to the first six months of fiscal 2011, due mainly to lower levels of cash used for purchases of property, plant and equipment and cash utilized for acquisitions in the first half of fiscal 2012 compared to the first half of fiscal 2011. Cash used for financing activities for the first six months of fiscal 2012 was up by $4.0 million due to higher amounts of funds used to repurchase our common stock during the first half of fiscal 2012 compared to the first half of fiscal 2011.</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u w:val="single" w:color="auto"/>
          <w:color w:val="auto"/>
        </w:rPr>
        <w:t>Credit Lines and Other Capital Resources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businesses are seasonal, with accounts receivable balances historically increasing between January and</w:t>
      </w:r>
      <w:r>
        <w:rPr>
          <w:rFonts w:ascii="Arial" w:cs="Arial" w:eastAsia="Arial" w:hAnsi="Arial"/>
          <w:sz w:val="18"/>
          <w:szCs w:val="18"/>
          <w:i w:val="1"/>
          <w:iCs w:val="1"/>
          <w:color w:val="auto"/>
        </w:rPr>
        <w:t xml:space="preserve"> </w:t>
      </w:r>
      <w:r>
        <w:rPr>
          <w:rFonts w:ascii="Arial" w:cs="Arial" w:eastAsia="Arial" w:hAnsi="Arial"/>
          <w:sz w:val="18"/>
          <w:szCs w:val="18"/>
          <w:color w:val="auto"/>
        </w:rPr>
        <w:t>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revolving credit facility that expires in July 2015.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determined based on a LIBOR rate (or other rates quoted by the Administrative Agent, Bank of America, N.A.) plus a basis point spread defined in the credit agreement. In addition, our non-U.S. operations maintain unsecured short-term lines of credit in the aggregate amount of approximately $6.3 million. These facilities bear interest at various rates depending on the rates in their respective countries of operation. As of May 4, 2012, we had no outstanding short-term debt under our credit facilities and an aggregate of $9.4 million of outstanding letters of credit. As of May 4, 2012, we had an aggregate of $146.8 million of unutilized availability under our credit agreements.</w:t>
      </w:r>
    </w:p>
    <w:p>
      <w:pPr>
        <w:spacing w:after="0" w:line="188" w:lineRule="exact"/>
        <w:rPr>
          <w:sz w:val="20"/>
          <w:szCs w:val="20"/>
          <w:color w:val="auto"/>
        </w:rPr>
      </w:pPr>
    </w:p>
    <w:p>
      <w:pPr>
        <w:ind w:firstLine="270"/>
        <w:spacing w:after="0" w:line="267" w:lineRule="auto"/>
        <w:rPr>
          <w:sz w:val="20"/>
          <w:szCs w:val="20"/>
          <w:color w:val="auto"/>
        </w:rPr>
      </w:pPr>
      <w:r>
        <w:rPr>
          <w:rFonts w:ascii="Arial" w:cs="Arial" w:eastAsia="Arial" w:hAnsi="Arial"/>
          <w:sz w:val="17"/>
          <w:szCs w:val="17"/>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 ratio from the previous quarter compliance certificate is less than or equal to 2.75; however, we are limited to $50 million per fiscal year if our debt to EBITDA ratio from the previous quarter compliance certificate is greater than 2.75. As of May 4, 2012, we were not limited to payments of cash dividends and stock repurchases as our debt to EBITDA ratio was below 2.75. We were also in compliance with all covenants related to our credit agreement for our revolving credit facility as of May 4, 2012, and we expect to be in compliance with all covenants during the remainder of fiscal 2012.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second quarter of fiscal 2012 by Moody’s Investors Service at Baa3. On April 30, 2012, Standard and Poor’s Ratings Group raised our credit and senior unsecured debt rating from BBB- to BBB.</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ectPr>
          <w:pgSz w:w="11900" w:h="16838" w:orient="portrait"/>
          <w:cols w:equalWidth="0" w:num="1">
            <w:col w:w="11420"/>
          </w:cols>
          <w:pgMar w:left="240" w:top="341" w:right="239" w:bottom="0" w:gutter="0" w:footer="0" w:header="0"/>
        </w:sectPr>
      </w:pPr>
    </w:p>
    <w:bookmarkStart w:id="15" w:name="page16"/>
    <w:bookmarkEnd w:id="15"/>
    <w:p>
      <w:pPr>
        <w:ind w:right="20"/>
        <w:spacing w:after="0" w:line="272" w:lineRule="auto"/>
        <w:rPr>
          <w:sz w:val="20"/>
          <w:szCs w:val="20"/>
          <w:color w:val="auto"/>
        </w:rPr>
      </w:pPr>
      <w:r>
        <w:rPr>
          <w:rFonts w:ascii="Arial" w:cs="Arial" w:eastAsia="Arial" w:hAnsi="Arial"/>
          <w:sz w:val="17"/>
          <w:szCs w:val="17"/>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$12.9 million of receivables from us during the first six months of fiscal 2012. As of May 4, 2012, $8.0 million of receivables financed by the third party financing company, excluding Red Iron, were outstanding, and also includes outstanding receivables that were financed by third party sources before the establishment of Red Iron. See our most recently filed Annual Report on Form 10-K for further details regarding our customer financing arrangements and contractual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subject to the effects of inflation, deflation, and changing prices. In the first six months of fiscal 2012, average prices paid for commodities and components we purchase were higher compared to the average prices paid for commodities and components in the first six months of fiscal 2011, which hampered our gross margin rate in the first half of fiscal 2012 compared to the first half of fiscal 2011. We will continue to closely follow the commodities and components that affect our product lines, and we anticipate average prices paid for commodities and components to be higher for the remainder of fiscal 2012 as compared to fiscal 2011.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2011 for a discussion of our critical accounting policies.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40" w:firstLine="270"/>
        <w:spacing w:after="0" w:line="253"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 — Presentation of Comprehensive Income</w:t>
      </w:r>
      <w:r>
        <w:rPr>
          <w:rFonts w:ascii="Arial" w:cs="Arial" w:eastAsia="Arial" w:hAnsi="Arial"/>
          <w:sz w:val="18"/>
          <w:szCs w:val="18"/>
          <w:color w:val="auto"/>
        </w:rPr>
        <w:t>. ASU No. 2011-05 guidance amended the presentation of comprehensive income to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The guidance eliminates the option to present the components of other comprehensive income as part of the statement of changes in stockholders’ equity. The amended guidance is effective for fiscal years, and interim periods within those years, beginning after December 15, 2011, and is to be applied retrospectively. We will adopt this guidance at the beginning of our fiscal 2013 first quarter, as required. The adoption of this guidance is not expected to have a material impact on our consolidated financial statements.</w:t>
      </w:r>
    </w:p>
    <w:p>
      <w:pPr>
        <w:spacing w:after="0" w:line="197"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ASU No. 2011-11 requires entities to disclose gross and net information about both instruments and transactions eligible for offset in the statement of financial position and those subject to an agreement similar to a master netting arrangement. This would include derivatives and other financial securities arrangements. We will adopt this guidance in our first quarter of fiscal year 2014, as required. The adoption of this guidance is not expected to have a material impact on our consolidated financial statements.</w:t>
      </w:r>
    </w:p>
    <w:p>
      <w:pPr>
        <w:spacing w:after="0" w:line="154"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 xml:space="preserve">In December 2011, the FASB issued ASU No. 2011-12, </w:t>
      </w:r>
      <w:r>
        <w:rPr>
          <w:rFonts w:ascii="Arial" w:cs="Arial" w:eastAsia="Arial" w:hAnsi="Arial"/>
          <w:sz w:val="17"/>
          <w:szCs w:val="17"/>
          <w:i w:val="1"/>
          <w:iCs w:val="1"/>
          <w:color w:val="auto"/>
        </w:rPr>
        <w:t>Deferral of the Effective Date for Amendments to the Presentation of Reclassifications of Items</w:t>
      </w:r>
      <w:r>
        <w:rPr>
          <w:rFonts w:ascii="Arial" w:cs="Arial" w:eastAsia="Arial" w:hAnsi="Arial"/>
          <w:sz w:val="17"/>
          <w:szCs w:val="17"/>
          <w:color w:val="auto"/>
        </w:rPr>
        <w:t xml:space="preserve"> </w:t>
      </w:r>
      <w:r>
        <w:rPr>
          <w:rFonts w:ascii="Arial" w:cs="Arial" w:eastAsia="Arial" w:hAnsi="Arial"/>
          <w:sz w:val="17"/>
          <w:szCs w:val="17"/>
          <w:i w:val="1"/>
          <w:iCs w:val="1"/>
          <w:color w:val="auto"/>
        </w:rPr>
        <w:t>Out of Accumulated Other Comprehensive Income in Accounting Standards Update No. 2011-05</w:t>
      </w:r>
      <w:r>
        <w:rPr>
          <w:rFonts w:ascii="Arial" w:cs="Arial" w:eastAsia="Arial" w:hAnsi="Arial"/>
          <w:sz w:val="17"/>
          <w:szCs w:val="17"/>
          <w:color w:val="auto"/>
        </w:rPr>
        <w:t>. ASU No. 2011-12 defers the changes in ASU No. 2011-05</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requirement to present separate line items on the income statement for reclassification adjustments of items out of AOCI into net income. The effective dates for ASU No. 2011-12 are consistent with the effective dates for ASU No. 2011-05 and, similar to our expectations for the adoption of ASU No. 2011-05, we do not expect that the adoption of this guidance will have a material impact on our consolidated financial statements.</w:t>
      </w:r>
    </w:p>
    <w:p>
      <w:pPr>
        <w:spacing w:after="0" w:line="173"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the second quarter of fiscal 2012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and by using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hanging="252"/>
        <w:spacing w:after="0" w:line="297"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state debt and sovereign debt defaults by certain European countries; slow down or reductions in levels of golf course development, renovation, and improvement; golf course closures; reduced levels of home ownership, construction, and sales; home foreclosures; negative consumer confidence; reduced consumer spending levels; prolonged high unemployment rates; higher commodity and component costs and fuel prices; inflationary or deflationary pressures; reduced credit</w:t>
      </w:r>
    </w:p>
    <w:p>
      <w:pPr>
        <w:sectPr>
          <w:pgSz w:w="11900" w:h="16838" w:orient="portrait"/>
          <w:cols w:equalWidth="0" w:num="1">
            <w:col w:w="11400"/>
          </w:cols>
          <w:pgMar w:left="240" w:top="341" w:right="259" w:bottom="0" w:gutter="0" w:footer="0" w:header="0"/>
        </w:sectPr>
      </w:pPr>
    </w:p>
    <w:bookmarkStart w:id="16" w:name="page17"/>
    <w:bookmarkEnd w:id="16"/>
    <w:p>
      <w:pPr>
        <w:ind w:left="260" w:right="360"/>
        <w:spacing w:after="0" w:line="277" w:lineRule="auto"/>
        <w:rPr>
          <w:sz w:val="20"/>
          <w:szCs w:val="20"/>
          <w:color w:val="auto"/>
        </w:rPr>
      </w:pPr>
      <w:r>
        <w:rPr>
          <w:rFonts w:ascii="Arial" w:cs="Arial" w:eastAsia="Arial" w:hAnsi="Arial"/>
          <w:sz w:val="18"/>
          <w:szCs w:val="18"/>
          <w:color w:val="auto"/>
        </w:rPr>
        <w:t>availability or unfavorable credit terms for our distributors, dealers, and end-user customers; higher short-term, mortgage, and other interest rates; and general economic and political conditions and expectations.</w:t>
      </w:r>
    </w:p>
    <w:p>
      <w:pPr>
        <w:spacing w:after="0" w:line="170" w:lineRule="exact"/>
        <w:rPr>
          <w:sz w:val="20"/>
          <w:szCs w:val="20"/>
          <w:color w:val="auto"/>
        </w:rPr>
      </w:pPr>
    </w:p>
    <w:p>
      <w:pPr>
        <w:ind w:left="260" w:right="240" w:hanging="252"/>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 and operating results, or affect the timing of demand for some of our products and may adversely affect net sales and operating results in subsequent periods.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260" w:right="220" w:hanging="252"/>
        <w:spacing w:after="0" w:line="312"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the cost, or disruption in the availability, of raw materials, components, and parts containing various commodities that we purchase, such as steel, aluminum, fuel, resins, linerboard, copper, lead, rubber, engines, transmissions, transaxles, hydraulics, electric motors, and other commodities and components, and increases in our other costs of doing business, such as transportation costs, may adversely affect our profit margins and business.</w:t>
      </w:r>
    </w:p>
    <w:p>
      <w:pPr>
        <w:spacing w:after="0" w:line="146" w:lineRule="exact"/>
        <w:rPr>
          <w:rFonts w:ascii="Arial" w:cs="Arial" w:eastAsia="Arial" w:hAnsi="Arial"/>
          <w:sz w:val="16"/>
          <w:szCs w:val="16"/>
          <w:color w:val="auto"/>
        </w:rPr>
      </w:pPr>
    </w:p>
    <w:p>
      <w:pPr>
        <w:ind w:left="260" w:right="160" w:hanging="252"/>
        <w:spacing w:after="0" w:line="279"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availability of credit to professional segment customers on acceptable terms to finance new product purchases; and the amount of government revenues, budget, and spending levels for grounds maintenance equipment; and other factors.</w:t>
      </w:r>
    </w:p>
    <w:p>
      <w:pPr>
        <w:spacing w:after="0" w:line="171" w:lineRule="exact"/>
        <w:rPr>
          <w:rFonts w:ascii="Arial" w:cs="Arial" w:eastAsia="Arial" w:hAnsi="Arial"/>
          <w:sz w:val="17"/>
          <w:szCs w:val="17"/>
          <w:color w:val="auto"/>
        </w:rPr>
      </w:pPr>
    </w:p>
    <w:p>
      <w:pPr>
        <w:ind w:left="260" w:right="200" w:hanging="252"/>
        <w:spacing w:after="0" w:line="308"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spacing w:after="0" w:line="146" w:lineRule="exact"/>
        <w:rPr>
          <w:rFonts w:ascii="Arial" w:cs="Arial" w:eastAsia="Arial" w:hAnsi="Arial"/>
          <w:sz w:val="17"/>
          <w:szCs w:val="17"/>
          <w:color w:val="auto"/>
        </w:rPr>
      </w:pPr>
    </w:p>
    <w:p>
      <w:pPr>
        <w:ind w:left="260" w:right="160" w:hanging="252"/>
        <w:spacing w:after="0" w:line="271"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significant percentage of our consolidated net sales are generated outside of the United States, and we intend to continue to expand our international operations. For example, late in fiscal 2011, we completed the construction of our new manufacturing facility in Romania. Our international operations also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78"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225" w:lineRule="exact"/>
        <w:rPr>
          <w:rFonts w:ascii="Arial" w:cs="Arial" w:eastAsia="Arial" w:hAnsi="Arial"/>
          <w:sz w:val="18"/>
          <w:szCs w:val="18"/>
          <w:color w:val="auto"/>
        </w:rPr>
      </w:pPr>
    </w:p>
    <w:p>
      <w:pPr>
        <w:ind w:left="260" w:hanging="252"/>
        <w:spacing w:after="0" w:line="286"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that beginning in 2012, are applicable to diesel engines in a specified horsepower range that are used in some of our products. Although we have developed plans to achieve substantial compliance with Tier 4 requirements, these plans are subject to many variables including, among others, the inability of our suppliers to provide compliant engines on a timely basis or our inability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To the extent in which we are able to pass along costs we incurred related to research, development, engineering, and other costs to design Tier 4 compliant products in the form of prices increases to our customers and/or our competitors implement different strategies with respect to compliance with Tier 4 requirements, we may experience lower market demand for our products that may, ultimately, adversely affect our profit margins, net sales, and overall financial results. Additionally, if our customers’ buying patterns change to purchasing our products in advance of price increases on compliant products, we may experience abnormal fluctuation in sales and our financial results of any one period may not be representative of expected financial results in subsequent periods.</w:t>
      </w:r>
    </w:p>
    <w:p>
      <w:pPr>
        <w:spacing w:after="0" w:line="174" w:lineRule="exact"/>
        <w:rPr>
          <w:rFonts w:ascii="Arial" w:cs="Arial" w:eastAsia="Arial" w:hAnsi="Arial"/>
          <w:sz w:val="16"/>
          <w:szCs w:val="16"/>
          <w:color w:val="auto"/>
        </w:rPr>
      </w:pPr>
    </w:p>
    <w:p>
      <w:pPr>
        <w:ind w:left="260" w:right="180" w:hanging="252"/>
        <w:spacing w:after="0" w:line="286"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65" w:lineRule="exact"/>
        <w:rPr>
          <w:rFonts w:ascii="Arial" w:cs="Arial" w:eastAsia="Arial" w:hAnsi="Arial"/>
          <w:sz w:val="17"/>
          <w:szCs w:val="17"/>
          <w:color w:val="auto"/>
        </w:rPr>
      </w:pPr>
    </w:p>
    <w:p>
      <w:pPr>
        <w:ind w:left="260" w:right="42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70" w:lineRule="exact"/>
        <w:rPr>
          <w:rFonts w:ascii="Arial" w:cs="Arial" w:eastAsia="Arial" w:hAnsi="Arial"/>
          <w:sz w:val="18"/>
          <w:szCs w:val="18"/>
          <w:color w:val="auto"/>
        </w:rPr>
      </w:pPr>
    </w:p>
    <w:p>
      <w:pPr>
        <w:ind w:left="260" w:right="160" w:hanging="252"/>
        <w:spacing w:after="0" w:line="274"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open and manage new facilities, including our new distribution facility near Des</w:t>
      </w:r>
    </w:p>
    <w:p>
      <w:pPr>
        <w:ind w:left="260" w:right="160"/>
        <w:spacing w:after="0" w:line="277" w:lineRule="auto"/>
        <w:rPr>
          <w:rFonts w:ascii="Arial" w:cs="Arial" w:eastAsia="Arial" w:hAnsi="Arial"/>
          <w:sz w:val="17"/>
          <w:szCs w:val="17"/>
          <w:color w:val="auto"/>
        </w:rPr>
      </w:pPr>
      <w:r>
        <w:rPr>
          <w:rFonts w:ascii="Arial" w:cs="Arial" w:eastAsia="Arial" w:hAnsi="Arial"/>
          <w:sz w:val="17"/>
          <w:szCs w:val="17"/>
          <w:color w:val="auto"/>
        </w:rPr>
        <w:t>Moines, Iowa, and/or move production between manufacturing facilities could adversely affect our business and operating results. In late fiscal 2011, we completed the construction of our new manufacturing facility in Romania for micro-irrigation products. If this facility does not produce the anticipated manufacturing or operational efficiencies, or if the micro-irrigation products to be produced at this facility are not accepted into the new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geographic markets at expected levels, we may not recover the costs of the new facility and our operating results may be adversely affected.</w:t>
      </w:r>
    </w:p>
    <w:p>
      <w:pPr>
        <w:spacing w:after="0" w:line="237" w:lineRule="exact"/>
        <w:rPr>
          <w:sz w:val="20"/>
          <w:szCs w:val="20"/>
          <w:color w:val="auto"/>
        </w:rPr>
      </w:pPr>
    </w:p>
    <w:p>
      <w:pPr>
        <w:jc w:val="both"/>
        <w:ind w:left="260" w:right="120" w:hanging="252"/>
        <w:spacing w:after="0" w:line="264"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w:t>
      </w:r>
    </w:p>
    <w:p>
      <w:pPr>
        <w:spacing w:after="0" w:line="181" w:lineRule="exact"/>
        <w:rPr>
          <w:rFonts w:ascii="Arial" w:cs="Arial" w:eastAsia="Arial" w:hAnsi="Arial"/>
          <w:sz w:val="18"/>
          <w:szCs w:val="18"/>
          <w:color w:val="auto"/>
        </w:rPr>
      </w:pPr>
    </w:p>
    <w:p>
      <w:pPr>
        <w:ind w:left="260" w:right="180" w:hanging="252"/>
        <w:spacing w:after="0" w:line="342"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ectPr>
          <w:pgSz w:w="11900" w:h="16838" w:orient="portrait"/>
          <w:cols w:equalWidth="0" w:num="1">
            <w:col w:w="11420"/>
          </w:cols>
          <w:pgMar w:left="240" w:top="125" w:right="239" w:bottom="0" w:gutter="0" w:footer="0" w:header="0"/>
        </w:sectPr>
      </w:pPr>
    </w:p>
    <w:bookmarkStart w:id="17" w:name="page18"/>
    <w:bookmarkEnd w:id="17"/>
    <w:p>
      <w:pPr>
        <w:ind w:left="260" w:right="120" w:hanging="252"/>
        <w:spacing w:after="0" w:line="264"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81" w:lineRule="exact"/>
        <w:rPr>
          <w:rFonts w:ascii="Arial" w:cs="Arial" w:eastAsia="Arial" w:hAnsi="Arial"/>
          <w:sz w:val="18"/>
          <w:szCs w:val="18"/>
          <w:color w:val="auto"/>
        </w:rPr>
      </w:pPr>
    </w:p>
    <w:p>
      <w:pPr>
        <w:ind w:left="260" w:right="160" w:hanging="252"/>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spacing w:after="0" w:line="170" w:lineRule="exact"/>
        <w:rPr>
          <w:rFonts w:ascii="Arial" w:cs="Arial" w:eastAsia="Arial" w:hAnsi="Arial"/>
          <w:sz w:val="18"/>
          <w:szCs w:val="18"/>
          <w:color w:val="auto"/>
        </w:rPr>
      </w:pPr>
    </w:p>
    <w:p>
      <w:pPr>
        <w:ind w:left="260" w:right="460" w:hanging="252"/>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70" w:lineRule="exact"/>
        <w:rPr>
          <w:rFonts w:ascii="Arial" w:cs="Arial" w:eastAsia="Arial" w:hAnsi="Arial"/>
          <w:sz w:val="18"/>
          <w:szCs w:val="18"/>
          <w:color w:val="auto"/>
        </w:rPr>
      </w:pPr>
    </w:p>
    <w:p>
      <w:pPr>
        <w:ind w:left="260" w:right="200" w:hanging="252"/>
        <w:spacing w:after="0" w:line="259"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86" w:lineRule="exact"/>
        <w:rPr>
          <w:rFonts w:ascii="Arial" w:cs="Arial" w:eastAsia="Arial" w:hAnsi="Arial"/>
          <w:sz w:val="18"/>
          <w:szCs w:val="18"/>
          <w:color w:val="auto"/>
        </w:rPr>
      </w:pPr>
    </w:p>
    <w:p>
      <w:pPr>
        <w:ind w:left="260" w:right="40" w:hanging="252"/>
        <w:spacing w:after="0" w:line="279"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spacing w:after="0" w:line="171" w:lineRule="exact"/>
        <w:rPr>
          <w:rFonts w:ascii="Arial" w:cs="Arial" w:eastAsia="Arial" w:hAnsi="Arial"/>
          <w:sz w:val="17"/>
          <w:szCs w:val="17"/>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225" w:lineRule="exact"/>
        <w:rPr>
          <w:rFonts w:ascii="Arial" w:cs="Arial" w:eastAsia="Arial" w:hAnsi="Arial"/>
          <w:sz w:val="18"/>
          <w:szCs w:val="18"/>
          <w:color w:val="auto"/>
        </w:rPr>
      </w:pPr>
    </w:p>
    <w:p>
      <w:pPr>
        <w:ind w:left="260" w:right="100" w:hanging="252"/>
        <w:spacing w:after="0" w:line="290" w:lineRule="auto"/>
        <w:tabs>
          <w:tab w:leader="none" w:pos="22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operating earnings, and employee engagement goals of our multi-year employee initiative called “Destination 2014”; natural or man-made disasters or global pandemics that may result in shortages of raw materials and components, higher fuel and commodity costs, and an increase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exchange rate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the Romanian New Lei against the U.S. dollar, as well as the Romanian New Lei against the Euro.</w:t>
      </w:r>
    </w:p>
    <w:p>
      <w:pPr>
        <w:spacing w:after="0" w:line="169"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ectPr>
          <w:pgSz w:w="11900" w:h="16838" w:orient="portrait"/>
          <w:cols w:equalWidth="0" w:num="1">
            <w:col w:w="11420"/>
          </w:cols>
          <w:pgMar w:left="240" w:top="125" w:right="239" w:bottom="42" w:gutter="0" w:footer="0" w:header="0"/>
        </w:sectPr>
      </w:pPr>
    </w:p>
    <w:bookmarkStart w:id="18" w:name="page19"/>
    <w:bookmarkEnd w:id="18"/>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2012 and 2013.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May 4, 2012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0.9700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5,051.5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60,995.9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1,578.2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1.6188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5,827.5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13.1153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25,390.2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Lei</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4.4281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22,206.0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Buy British pound/Sell Euro</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0.8121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9,078.8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Our market risk on interest rates relates primarily to LIBOR-based short-term debt from commercial banks, as well as the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fair value of long-term debt resulting from a potential decrease in interest rates. However, we do not have cash flow or earnings exposure due to market risks on long-term debt. We generally do not use interest rate swaps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mitigate the impact of fluctuations in interest rates. See our most recently filed Annual Report on Form 10-K (Item 7A Quantitative and Qualitative Disclosures about Market Risk). There has been no material change in this information.</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fiscal quarter ended May 4, 2012 that has materially affected, or is reasonably likely to materially affect, our internal control over financial reporting.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ectPr>
          <w:pgSz w:w="11900" w:h="16838" w:orient="portrait"/>
          <w:cols w:equalWidth="0" w:num="1">
            <w:col w:w="11420"/>
          </w:cols>
          <w:pgMar w:left="240" w:top="125" w:right="239" w:bottom="231"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31"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2012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Paid per</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2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Share</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Purchased (1,2,3)</w:t>
            </w:r>
          </w:p>
        </w:tc>
        <w:tc>
          <w:tcPr>
            <w:tcW w:w="32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(or Unit)</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 (1)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2012 through March 2, 2012</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67.00</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25,702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 2012 through March 30, 2012</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137,304</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69.91</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137,304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2012 through May 4, 2012</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564,204</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70.75</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563,700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1,216,695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727,210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70.46</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726,706</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260" w:hanging="328"/>
        <w:spacing w:after="0" w:line="286" w:lineRule="auto"/>
        <w:tabs>
          <w:tab w:leader="none" w:pos="667"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December 1, 2010, the company’s Board of Directors authorized the repurchase of 3,000,000 shares of the company’s common stock in open-market or in privately negotiated transactions. This program has no expiration date but may be terminated by the company’s Board of Directors at any time. The company repurchased an aggregate of 726,706 shares during the period indicated above under this program.</w:t>
      </w:r>
    </w:p>
    <w:p>
      <w:pPr>
        <w:spacing w:after="0" w:line="165" w:lineRule="exact"/>
        <w:rPr>
          <w:rFonts w:ascii="Arial" w:cs="Arial" w:eastAsia="Arial" w:hAnsi="Arial"/>
          <w:sz w:val="17"/>
          <w:szCs w:val="17"/>
          <w:color w:val="auto"/>
        </w:rPr>
      </w:pPr>
    </w:p>
    <w:p>
      <w:pPr>
        <w:jc w:val="both"/>
        <w:ind w:left="660" w:right="38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five shares of the company’s common stock surrendered by employees to satisfy minimum tax withholding obligations upon vesting of restricted stock granted under the company’s equity and incentive plan. These five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499 units (shares) of the company’s common stock purchased in open-market transactions at an average price of $71.13 per share on behalf of a rabbi trust formed to pay benefit obligations of the company to participants in deferred compensation plans. These 499 shares were not repurchased under the company’s repurchase program described in footnote 1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June 6, 2012, we (and/or one or more of our wholly owned subsidiaries), TCFIF (and/or one or more of its wholly owned subsidiaries) and Red Iron entered into amendments to certain of the agreements pertaining to our Red Iron joint venture, including: (i) a First Amendment to Agreement to Form Joint Venture between us and TCFIF; (ii) a Second Amendment to Limited Liability Company Agreement of Red Iron between Red Iron Holding Corporation, a Delaware corporation and our wholly-owned subsidiary, and TCFIF Joint Venture I, LLC, a Minnesota limited liability company and wholly owned subsidiary of TCFIF; (iii) a First Amendment to Credit and Security Agreement between TCFIF, as lender, and Red Iron, as borrower; and (iv) a Second Amendment to Second Amended and Restated Repurchase Agreement (Two Step) between us and Red Iron.</w:t>
      </w:r>
    </w:p>
    <w:p>
      <w:pPr>
        <w:spacing w:after="0" w:line="178"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The purpose of these amendments is, among other things, to: (i) extend the initial term of Red Iron from October 31, 2014 to October 31, 2017, subject to unlimited automatic two-year extensions thereafter; (ii) provide for an additional incentive payment by TCFIF to us; (iii) remove the restriction that TCFIF and its affiliates may not enter into any joint venture or similar jointly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owned business relationship for the purpose of operating a wholesale finance business in the United States or Canada to support the financing of certain lawn and garden products, or otherwise providing financing, working capital or similar loan facilities to dealers or distributors of any manufacturer of certain lawn and garden products in the United States or Canada; and (iv) require that TCFIF and its affiliates will not, during the term of Red Iron, provide financing to any entity owned in part by TCFIF or its affiliates for the purpose of operating a wholesale finance business in the United States or Canada to support the financing of certain lawn and garden products at a non-default interest rate that is lower than the rate provided by TCFIF to Red Iron.</w:t>
      </w:r>
    </w:p>
    <w:p>
      <w:pPr>
        <w:spacing w:after="0" w:line="158"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The foregoing description is a summary of the material terms of the amendments, does not purport to be complete and is qualified in its entirety by reference to the complete text of the amendments, copies of which are filed as Exhibits 2.1, 2.2, 2.3 and 10.1 to this Quarterly Report on Form 10-Q and are incorporated herein by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040" w:type="dxa"/>
            <w:vAlign w:val="bottom"/>
          </w:tcPr>
          <w:p>
            <w:pPr>
              <w:ind w:left="362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(a)  Exhibits</w:t>
            </w:r>
          </w:p>
        </w:tc>
        <w:tc>
          <w:tcPr>
            <w:tcW w:w="10040" w:type="dxa"/>
            <w:vAlign w:val="bottom"/>
          </w:tcPr>
          <w:p>
            <w:pPr>
              <w:spacing w:after="0"/>
              <w:rPr>
                <w:sz w:val="24"/>
                <w:szCs w:val="24"/>
                <w:color w:val="auto"/>
              </w:rPr>
            </w:pPr>
          </w:p>
        </w:tc>
      </w:tr>
      <w:tr>
        <w:trPr>
          <w:trHeight w:val="418"/>
        </w:trPr>
        <w:tc>
          <w:tcPr>
            <w:tcW w:w="1340" w:type="dxa"/>
            <w:vAlign w:val="bottom"/>
          </w:tcPr>
          <w:p>
            <w:pPr>
              <w:ind w:left="380"/>
              <w:spacing w:after="0"/>
              <w:rPr>
                <w:sz w:val="20"/>
                <w:szCs w:val="20"/>
                <w:color w:val="auto"/>
              </w:rPr>
            </w:pPr>
            <w:r>
              <w:rPr>
                <w:rFonts w:ascii="Arial" w:cs="Arial" w:eastAsia="Arial" w:hAnsi="Arial"/>
                <w:sz w:val="18"/>
                <w:szCs w:val="18"/>
                <w:color w:val="auto"/>
              </w:rPr>
              <w:t>2.1 (1)</w:t>
            </w:r>
          </w:p>
        </w:tc>
        <w:tc>
          <w:tcPr>
            <w:tcW w:w="10040" w:type="dxa"/>
            <w:vAlign w:val="bottom"/>
          </w:tcPr>
          <w:p>
            <w:pPr>
              <w:ind w:left="340"/>
              <w:spacing w:after="0"/>
              <w:rPr>
                <w:sz w:val="20"/>
                <w:szCs w:val="20"/>
                <w:color w:val="auto"/>
              </w:rPr>
            </w:pPr>
            <w:r>
              <w:rPr>
                <w:rFonts w:ascii="Arial" w:cs="Arial" w:eastAsia="Arial" w:hAnsi="Arial"/>
                <w:sz w:val="18"/>
                <w:szCs w:val="18"/>
                <w:color w:val="auto"/>
                <w:w w:val="92"/>
              </w:rPr>
              <w:t>First Amendment to Agreement to Form Joint Venture, dated June 6, 2012, by and between The Toro Company and TCF Inventory</w:t>
            </w:r>
          </w:p>
        </w:tc>
      </w:tr>
      <w:tr>
        <w:trPr>
          <w:trHeight w:val="230"/>
        </w:trPr>
        <w:tc>
          <w:tcPr>
            <w:tcW w:w="134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Finance, Inc. (filed herewith).</w:t>
            </w:r>
          </w:p>
        </w:tc>
      </w:tr>
      <w:tr>
        <w:trPr>
          <w:trHeight w:val="432"/>
        </w:trPr>
        <w:tc>
          <w:tcPr>
            <w:tcW w:w="1340" w:type="dxa"/>
            <w:vAlign w:val="bottom"/>
          </w:tcPr>
          <w:p>
            <w:pPr>
              <w:ind w:left="380"/>
              <w:spacing w:after="0"/>
              <w:rPr>
                <w:sz w:val="20"/>
                <w:szCs w:val="20"/>
                <w:color w:val="auto"/>
              </w:rPr>
            </w:pPr>
            <w:r>
              <w:rPr>
                <w:rFonts w:ascii="Arial" w:cs="Arial" w:eastAsia="Arial" w:hAnsi="Arial"/>
                <w:sz w:val="18"/>
                <w:szCs w:val="18"/>
                <w:color w:val="auto"/>
              </w:rPr>
              <w:t>2.2</w:t>
            </w: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Second Amendment to Limited Liability Company Agreement of Red Iron Acceptance, LLC, dated June 6, 2012, by and between Red</w:t>
            </w:r>
          </w:p>
        </w:tc>
      </w:tr>
    </w:tbl>
    <w:p>
      <w:pPr>
        <w:sectPr>
          <w:pgSz w:w="11900" w:h="16838" w:orient="portrait"/>
          <w:cols w:equalWidth="0" w:num="1">
            <w:col w:w="11420"/>
          </w:cols>
          <w:pgMar w:left="240" w:top="125" w:right="239" w:bottom="0" w:gutter="0" w:footer="0" w:header="0"/>
        </w:sectPr>
      </w:pPr>
    </w:p>
    <w:bookmarkStart w:id="20" w:name="page21"/>
    <w:bookmarkEnd w:id="20"/>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Iron Holding Corporation and TCFIF Joint Venture I, LLC (filed herewith).</w:t>
            </w:r>
          </w:p>
        </w:tc>
      </w:tr>
      <w:tr>
        <w:trPr>
          <w:trHeight w:val="418"/>
        </w:trPr>
        <w:tc>
          <w:tcPr>
            <w:tcW w:w="1280" w:type="dxa"/>
            <w:vAlign w:val="bottom"/>
          </w:tcPr>
          <w:p>
            <w:pPr>
              <w:ind w:left="38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1"/>
              </w:rPr>
              <w:t>Second Amendment to Second Amended and Restated Repurchase Agreement (Two Step), dated June 6, 2012, by and between The</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Toro Company and Red Iron Acceptance, LLC (filed herewith).</w:t>
            </w:r>
          </w:p>
        </w:tc>
      </w:tr>
      <w:tr>
        <w:trPr>
          <w:trHeight w:val="418"/>
        </w:trPr>
        <w:tc>
          <w:tcPr>
            <w:tcW w:w="1480" w:type="dxa"/>
            <w:vAlign w:val="bottom"/>
            <w:gridSpan w:val="2"/>
          </w:tcPr>
          <w:p>
            <w:pPr>
              <w:ind w:left="380"/>
              <w:spacing w:after="0"/>
              <w:rPr>
                <w:sz w:val="20"/>
                <w:szCs w:val="20"/>
                <w:color w:val="auto"/>
              </w:rPr>
            </w:pPr>
            <w:r>
              <w:rPr>
                <w:rFonts w:ascii="Arial" w:cs="Arial" w:eastAsia="Arial" w:hAnsi="Arial"/>
                <w:sz w:val="18"/>
                <w:szCs w:val="18"/>
                <w:color w:val="auto"/>
              </w:rPr>
              <w:t>3.1 and 4.1</w:t>
            </w:r>
          </w:p>
        </w:tc>
        <w:tc>
          <w:tcPr>
            <w:tcW w:w="9980" w:type="dxa"/>
            <w:vAlign w:val="bottom"/>
          </w:tcPr>
          <w:p>
            <w:pPr>
              <w:ind w:left="200"/>
              <w:spacing w:after="0"/>
              <w:rPr>
                <w:sz w:val="20"/>
                <w:szCs w:val="20"/>
                <w:color w:val="auto"/>
              </w:rPr>
            </w:pPr>
            <w:r>
              <w:rPr>
                <w:rFonts w:ascii="Arial" w:cs="Arial" w:eastAsia="Arial" w:hAnsi="Arial"/>
                <w:sz w:val="18"/>
                <w:szCs w:val="18"/>
                <w:color w:val="auto"/>
                <w:w w:val="91"/>
              </w:rPr>
              <w:t>Restated Certificate of Incorporation of The Toro Company (incorporated by reference to Exhibit 3.1 to Registrant’s Current Report on</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480" w:type="dxa"/>
            <w:vAlign w:val="bottom"/>
            <w:gridSpan w:val="2"/>
          </w:tcPr>
          <w:p>
            <w:pPr>
              <w:ind w:left="380"/>
              <w:spacing w:after="0"/>
              <w:rPr>
                <w:sz w:val="20"/>
                <w:szCs w:val="20"/>
                <w:color w:val="auto"/>
              </w:rPr>
            </w:pPr>
            <w:r>
              <w:rPr>
                <w:rFonts w:ascii="Arial" w:cs="Arial" w:eastAsia="Arial" w:hAnsi="Arial"/>
                <w:sz w:val="18"/>
                <w:szCs w:val="18"/>
                <w:color w:val="auto"/>
              </w:rPr>
              <w:t>3.2 and 4.2</w:t>
            </w:r>
          </w:p>
        </w:tc>
        <w:tc>
          <w:tcPr>
            <w:tcW w:w="9980" w:type="dxa"/>
            <w:vAlign w:val="bottom"/>
          </w:tcPr>
          <w:p>
            <w:pPr>
              <w:ind w:left="200"/>
              <w:spacing w:after="0"/>
              <w:rPr>
                <w:sz w:val="20"/>
                <w:szCs w:val="20"/>
                <w:color w:val="auto"/>
              </w:rPr>
            </w:pPr>
            <w:r>
              <w:rPr>
                <w:rFonts w:ascii="Arial" w:cs="Arial" w:eastAsia="Arial" w:hAnsi="Arial"/>
                <w:sz w:val="18"/>
                <w:szCs w:val="18"/>
                <w:color w:val="auto"/>
                <w:w w:val="95"/>
              </w:rPr>
              <w:t>Amended and Restated Bylaws of The Toro Company (incorporated by reference to Exhibit 3.2 to Registrant’s Current Report on</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280" w:type="dxa"/>
            <w:vAlign w:val="bottom"/>
          </w:tcPr>
          <w:p>
            <w:pPr>
              <w:ind w:left="3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2"/>
              </w:rPr>
              <w:t>Specimen Form of Common Stock Certificate (incorporated by reference to Exhibit 4(c) to Registrant’s Quarterly Report on Form 10-</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Q for the fiscal quarter ended August 1, 2008, Commission File No. 1-8649).</w:t>
            </w:r>
          </w:p>
        </w:tc>
      </w:tr>
      <w:tr>
        <w:trPr>
          <w:trHeight w:val="418"/>
        </w:trPr>
        <w:tc>
          <w:tcPr>
            <w:tcW w:w="1280" w:type="dxa"/>
            <w:vAlign w:val="bottom"/>
          </w:tcPr>
          <w:p>
            <w:pPr>
              <w:ind w:left="3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4"/>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1"/>
              </w:rPr>
              <w:t>Company’s 7.80% Debentures due June 15, 2027 (incorporated by reference to Exhibit 4(a) to Registrant’s Current Report on Form 8-</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K dated June 24, 1997, Commission File No. 1-8649).</w:t>
            </w:r>
          </w:p>
        </w:tc>
      </w:tr>
      <w:tr>
        <w:trPr>
          <w:trHeight w:val="418"/>
        </w:trPr>
        <w:tc>
          <w:tcPr>
            <w:tcW w:w="1280" w:type="dxa"/>
            <w:vAlign w:val="bottom"/>
          </w:tcPr>
          <w:p>
            <w:pPr>
              <w:ind w:left="3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1"/>
              </w:rPr>
              <w:t>Indenture dated as of April 20, 2007, between Registrant and The Bank of New York Trust Company, N.A., as Trustee, relating to The</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Toro Company’s 6.625% Notes due May 1, 2037 (incorporated by reference to Exhibit 4.3 to Registrant’s Registration Statement on</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Form S-3 filed with the Securities and Exchange Commission on April 23, 2007, Registration No. 333-142282).</w:t>
            </w:r>
          </w:p>
        </w:tc>
      </w:tr>
      <w:tr>
        <w:trPr>
          <w:trHeight w:val="418"/>
        </w:trPr>
        <w:tc>
          <w:tcPr>
            <w:tcW w:w="1280" w:type="dxa"/>
            <w:vAlign w:val="bottom"/>
          </w:tcPr>
          <w:p>
            <w:pPr>
              <w:ind w:left="3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4"/>
              </w:rPr>
              <w:t>First Supplemental Indenture dated as of April 26, 2007, between Registrant and The Bank of New York Trust Company, N.A., as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5"/>
              </w:rPr>
              <w:t>Trustee, relating to The Toro Company’s 6.625% Notes due May 1, 2037 (incorporated by reference to Exhibit 4.1 to Registrant’s</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1280" w:type="dxa"/>
            <w:vAlign w:val="bottom"/>
          </w:tcPr>
          <w:p>
            <w:pPr>
              <w:ind w:left="3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1"/>
              </w:rPr>
              <w:t>Form of The Toro Company 6.625% Note due May 1, 2037 (incorporated by reference to Exhibit 4.2 to Registrant’s Current Report on</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Form 8-K dated April 23, 2007, Commission File No. 1-8649).</w:t>
            </w:r>
          </w:p>
        </w:tc>
      </w:tr>
      <w:tr>
        <w:trPr>
          <w:trHeight w:val="418"/>
        </w:trPr>
        <w:tc>
          <w:tcPr>
            <w:tcW w:w="1280" w:type="dxa"/>
            <w:vAlign w:val="bottom"/>
          </w:tcPr>
          <w:p>
            <w:pPr>
              <w:ind w:left="380"/>
              <w:spacing w:after="0"/>
              <w:rPr>
                <w:sz w:val="20"/>
                <w:szCs w:val="20"/>
                <w:color w:val="auto"/>
              </w:rPr>
            </w:pPr>
            <w:r>
              <w:rPr>
                <w:rFonts w:ascii="Arial" w:cs="Arial" w:eastAsia="Arial" w:hAnsi="Arial"/>
                <w:sz w:val="18"/>
                <w:szCs w:val="18"/>
                <w:color w:val="auto"/>
              </w:rPr>
              <w:t>10.1 (1)</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7"/>
              </w:rPr>
              <w:t>First Amendment to Credit and Security Agreement, dated June 6, 2012, by and between Red Iron Acceptance, LLC and TCF</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Inventory Finance, Inc. (filed herewith).</w:t>
            </w:r>
          </w:p>
        </w:tc>
      </w:tr>
      <w:tr>
        <w:trPr>
          <w:trHeight w:val="432"/>
        </w:trPr>
        <w:tc>
          <w:tcPr>
            <w:tcW w:w="1280" w:type="dxa"/>
            <w:vAlign w:val="bottom"/>
          </w:tcPr>
          <w:p>
            <w:pPr>
              <w:ind w:left="38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Certification of Chief Executive Officer Pursuant to Rule 13a-14(a) (Section 302 of the Sarbanes-Oxley Act of 2002) (filed herewith).</w:t>
            </w:r>
          </w:p>
        </w:tc>
      </w:tr>
      <w:tr>
        <w:trPr>
          <w:trHeight w:val="432"/>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29</w:t>
            </w:r>
          </w:p>
        </w:tc>
      </w:tr>
      <w:tr>
        <w:trPr>
          <w:trHeight w:val="132"/>
        </w:trPr>
        <w:tc>
          <w:tcPr>
            <w:tcW w:w="1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980" w:type="dxa"/>
            <w:vAlign w:val="bottom"/>
            <w:tcBorders>
              <w:bottom w:val="single" w:sz="8" w:color="010101"/>
            </w:tcBorders>
          </w:tcPr>
          <w:p>
            <w:pPr>
              <w:spacing w:after="0"/>
              <w:rPr>
                <w:sz w:val="11"/>
                <w:szCs w:val="11"/>
                <w:color w:val="auto"/>
              </w:rPr>
            </w:pPr>
          </w:p>
        </w:tc>
      </w:tr>
      <w:tr>
        <w:trPr>
          <w:trHeight w:val="523"/>
        </w:trPr>
        <w:tc>
          <w:tcPr>
            <w:tcW w:w="14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8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ind w:left="4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980" w:type="dxa"/>
            <w:vAlign w:val="bottom"/>
          </w:tcPr>
          <w:p>
            <w:pPr>
              <w:ind w:left="220"/>
              <w:spacing w:after="0"/>
              <w:rPr>
                <w:sz w:val="20"/>
                <w:szCs w:val="20"/>
                <w:color w:val="auto"/>
              </w:rPr>
            </w:pPr>
            <w:r>
              <w:rPr>
                <w:rFonts w:ascii="Arial" w:cs="Arial" w:eastAsia="Arial" w:hAnsi="Arial"/>
                <w:sz w:val="18"/>
                <w:szCs w:val="18"/>
                <w:color w:val="auto"/>
                <w:w w:val="93"/>
              </w:rPr>
              <w:t>Certification of Chief Financial Officer Pursuant to Rule 13a-14(a) (Section 302 of the Sarbanes-Oxley Act of 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700" w:right="480" w:hanging="1300"/>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700" w:right="100" w:hanging="1300"/>
        <w:spacing w:after="0" w:line="255"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financial information from The Toro Company’s Quarterly Report on Form 10-Q for the quarterly period ended May 4, 2012, filed with the SEC on June 8, 2012, formatted in eXtensible Business Reporting Language (XBRL): (i) Condensed Consolidated Statements of Earnings for the three and six-month periods ended May 4, 2012 and April 29, 2011, (ii) Condensed Consolidated Balance Sheets as of May 4, 2012, April 29, 2011, and October 31, 2011, (iii) Condensed Consolidated Statement of Cash Flows for the three and six-month periods ended May 4, 2012 and April 29, 2011,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700" w:right="220" w:firstLine="10"/>
        <w:spacing w:after="0" w:line="264"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 The redacted material is being filed separately with the Securities and Exchange Commission.</w:t>
      </w:r>
    </w:p>
    <w:p>
      <w:pPr>
        <w:spacing w:after="0" w:line="181" w:lineRule="exact"/>
        <w:rPr>
          <w:sz w:val="20"/>
          <w:szCs w:val="20"/>
          <w:color w:val="auto"/>
        </w:rPr>
      </w:pPr>
    </w:p>
    <w:p>
      <w:pPr>
        <w:ind w:left="1700" w:right="80" w:firstLine="10"/>
        <w:spacing w:after="0" w:line="257" w:lineRule="auto"/>
        <w:tabs>
          <w:tab w:leader="none" w:pos="1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900" w:firstLine="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 w:leader="none" w:pos="6080" w:val="left"/>
        </w:tabs>
        <w:rPr>
          <w:sz w:val="20"/>
          <w:szCs w:val="20"/>
          <w:color w:val="auto"/>
        </w:rPr>
      </w:pPr>
      <w:r>
        <w:rPr>
          <w:rFonts w:ascii="Arial" w:cs="Arial" w:eastAsia="Arial" w:hAnsi="Arial"/>
          <w:sz w:val="18"/>
          <w:szCs w:val="18"/>
          <w:color w:val="auto"/>
        </w:rPr>
        <w:t>Date: June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ectPr>
          <w:pgSz w:w="11900" w:h="16887" w:orient="portrait"/>
          <w:cols w:equalWidth="0" w:num="1">
            <w:col w:w="11460"/>
          </w:cols>
          <w:pgMar w:left="240" w:top="125" w:right="199" w:bottom="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-121920</wp:posOffset>
            </wp:positionV>
            <wp:extent cx="3378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1058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FORM JOINT VENTURE</w:t>
      </w:r>
    </w:p>
    <w:p>
      <w:pPr>
        <w:spacing w:after="0" w:line="20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THIS FIRST AMENDMENT TO AGREEMENT TO FORM JOINT VENTURE</w:t>
      </w:r>
      <w:r>
        <w:rPr>
          <w:rFonts w:ascii="Arial" w:cs="Arial" w:eastAsia="Arial" w:hAnsi="Arial"/>
          <w:sz w:val="17"/>
          <w:szCs w:val="17"/>
          <w:color w:val="auto"/>
        </w:rPr>
        <w:t>, dated as of June 6, 2012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w:t>
      </w:r>
      <w:r>
        <w:rPr>
          <w:rFonts w:ascii="Arial" w:cs="Arial" w:eastAsia="Arial" w:hAnsi="Arial"/>
          <w:sz w:val="17"/>
          <w:szCs w:val="17"/>
          <w:b w:val="1"/>
          <w:bCs w:val="1"/>
          <w:color w:val="auto"/>
        </w:rPr>
        <w:t xml:space="preserve"> </w:t>
      </w:r>
      <w:r>
        <w:rPr>
          <w:rFonts w:ascii="Arial" w:cs="Arial" w:eastAsia="Arial" w:hAnsi="Arial"/>
          <w:sz w:val="17"/>
          <w:szCs w:val="17"/>
          <w:color w:val="auto"/>
        </w:rPr>
        <w:t>by and between THE TORO COMPANY, a Delaware corporation (“</w:t>
      </w:r>
      <w:r>
        <w:rPr>
          <w:rFonts w:ascii="Arial" w:cs="Arial" w:eastAsia="Arial" w:hAnsi="Arial"/>
          <w:sz w:val="17"/>
          <w:szCs w:val="17"/>
          <w:u w:val="single" w:color="auto"/>
          <w:color w:val="auto"/>
        </w:rPr>
        <w:t>Toro</w:t>
      </w:r>
      <w:r>
        <w:rPr>
          <w:rFonts w:ascii="Arial" w:cs="Arial" w:eastAsia="Arial" w:hAnsi="Arial"/>
          <w:sz w:val="17"/>
          <w:szCs w:val="17"/>
          <w:color w:val="auto"/>
        </w:rPr>
        <w:t>”), and TCF INVENTORY FINANCE, INC., a Minnesota corporation (“</w:t>
      </w:r>
      <w:r>
        <w:rPr>
          <w:rFonts w:ascii="Arial" w:cs="Arial" w:eastAsia="Arial" w:hAnsi="Arial"/>
          <w:sz w:val="17"/>
          <w:szCs w:val="17"/>
          <w:u w:val="single" w:color="auto"/>
          <w:color w:val="auto"/>
        </w:rPr>
        <w:t>TCFIF</w:t>
      </w:r>
      <w:r>
        <w:rPr>
          <w:rFonts w:ascii="Arial" w:cs="Arial" w:eastAsia="Arial" w:hAnsi="Arial"/>
          <w:sz w:val="17"/>
          <w:szCs w:val="17"/>
          <w:color w:val="auto"/>
        </w:rPr>
        <w:t>”). Capitalized terms used herein and not otherwise defined shall have the meanings ascribed thereto in the JV Agreement (as hereinafter defined).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380" w:hanging="724"/>
        <w:spacing w:after="0"/>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Toro and TCFIF are parties to that certain Agreement to Form Joint Venture, made and entered into as of August 12, 2009 (the “</w:t>
      </w:r>
      <w:r>
        <w:rPr>
          <w:rFonts w:ascii="Arial" w:cs="Arial" w:eastAsia="Arial" w:hAnsi="Arial"/>
          <w:sz w:val="17"/>
          <w:szCs w:val="17"/>
          <w:u w:val="single" w:color="auto"/>
          <w:color w:val="auto"/>
        </w:rPr>
        <w:t>JV</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hereto have agreed to amend the JV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Changes to Definitions</w:t>
      </w:r>
      <w:r>
        <w:rPr>
          <w:rFonts w:ascii="Arial" w:cs="Arial" w:eastAsia="Arial" w:hAnsi="Arial"/>
          <w:sz w:val="18"/>
          <w:szCs w:val="18"/>
          <w:color w:val="auto"/>
        </w:rPr>
        <w:t>.</w:t>
      </w:r>
    </w:p>
    <w:p>
      <w:pPr>
        <w:spacing w:after="0" w:line="225" w:lineRule="exact"/>
        <w:rPr>
          <w:sz w:val="20"/>
          <w:szCs w:val="20"/>
          <w:color w:val="auto"/>
        </w:rPr>
      </w:pPr>
    </w:p>
    <w:p>
      <w:pPr>
        <w:ind w:left="2660" w:hanging="707"/>
        <w:spacing w:after="0"/>
        <w:tabs>
          <w:tab w:leader="none" w:pos="2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defined term is added to Section 1.1 of the JV Agreement so that it appears in alphabetical order:</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Additional Exclusivity Incentive Payment</w:t>
      </w:r>
      <w:r>
        <w:rPr>
          <w:rFonts w:ascii="Arial" w:cs="Arial" w:eastAsia="Arial" w:hAnsi="Arial"/>
          <w:sz w:val="18"/>
          <w:szCs w:val="18"/>
          <w:i w:val="1"/>
          <w:iCs w:val="1"/>
          <w:color w:val="auto"/>
        </w:rPr>
        <w:t>” is defined in Section 2.15(b).”</w:t>
      </w:r>
    </w:p>
    <w:p>
      <w:pPr>
        <w:spacing w:after="0" w:line="225" w:lineRule="exact"/>
        <w:rPr>
          <w:sz w:val="20"/>
          <w:szCs w:val="20"/>
          <w:color w:val="auto"/>
        </w:rPr>
      </w:pPr>
    </w:p>
    <w:p>
      <w:pPr>
        <w:ind w:left="1300" w:right="260" w:firstLine="653"/>
        <w:spacing w:after="0" w:line="277" w:lineRule="auto"/>
        <w:tabs>
          <w:tab w:leader="none" w:pos="2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definitions of “Exclusivity Calculation” and “Exclusivity Incentive Payment” in Section 1.1 of the JV Agreement are revised to refer to Section 2.15(a) of the JV Agreement rather than Section 2.15.</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201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Obligation to Finance Red Iron Acquisition of Receivables; Most Favored Customer Pricing</w:t>
      </w:r>
      <w:r>
        <w:rPr>
          <w:rFonts w:ascii="Arial" w:cs="Arial" w:eastAsia="Arial" w:hAnsi="Arial"/>
          <w:sz w:val="18"/>
          <w:szCs w:val="18"/>
          <w:color w:val="auto"/>
        </w:rPr>
        <w:t>. Section 2.7(c) of the JV Agreement is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80" w:hanging="80"/>
        <w:spacing w:after="0" w:line="276" w:lineRule="auto"/>
        <w:rPr>
          <w:sz w:val="20"/>
          <w:szCs w:val="20"/>
          <w:color w:val="auto"/>
        </w:rPr>
      </w:pPr>
      <w:r>
        <w:rPr>
          <w:rFonts w:ascii="Arial" w:cs="Arial" w:eastAsia="Arial" w:hAnsi="Arial"/>
          <w:sz w:val="18"/>
          <w:szCs w:val="18"/>
          <w:i w:val="1"/>
          <w:iCs w:val="1"/>
          <w:color w:val="auto"/>
        </w:rPr>
        <w:t>“(c)</w:t>
      </w:r>
      <w:r>
        <w:rPr>
          <w:sz w:val="20"/>
          <w:szCs w:val="20"/>
          <w:color w:val="auto"/>
        </w:rPr>
        <w:t xml:space="preserve"> </w:t>
      </w:r>
      <w:r>
        <w:rPr>
          <w:rFonts w:ascii="Arial" w:cs="Arial" w:eastAsia="Arial" w:hAnsi="Arial"/>
          <w:sz w:val="17"/>
          <w:szCs w:val="17"/>
          <w:i w:val="1"/>
          <w:iCs w:val="1"/>
          <w:color w:val="auto"/>
        </w:rPr>
        <w:t>So that Toro and Toro Sub may make a fully informed decision as to whether to continue Red Iron beyond the initial term or any additional term, as applicable, contemplated by the LLC Agreement, upon the request of Toro and Toro Sub made not later than fifteen (15) months prior to the expiration of such term of Red Iron, TCFIF agrees to obtain, from TCF Bank no later than fourteen (14) months prior to the expiration of such term of Red Iron, a written notice indicating TCF Bank’s intent with respect to extension of the term of the Performance Assurance Agreement in conjunction with TCFIF’s willingness to extend the term of the Credit Agreement.”</w:t>
      </w:r>
    </w:p>
    <w:p>
      <w:pPr>
        <w:spacing w:after="0" w:line="173" w:lineRule="exact"/>
        <w:rPr>
          <w:sz w:val="20"/>
          <w:szCs w:val="20"/>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Exclusivity</w:t>
      </w:r>
      <w:r>
        <w:rPr>
          <w:rFonts w:ascii="Arial" w:cs="Arial" w:eastAsia="Arial" w:hAnsi="Arial"/>
          <w:sz w:val="18"/>
          <w:szCs w:val="18"/>
          <w:color w:val="auto"/>
        </w:rPr>
        <w:t>. Section 2.8(b) of the JV Agreement is amended and restated in its entirety as follows:</w:t>
      </w:r>
    </w:p>
    <w:p>
      <w:pPr>
        <w:spacing w:after="0" w:line="225" w:lineRule="exact"/>
        <w:rPr>
          <w:sz w:val="20"/>
          <w:szCs w:val="20"/>
          <w:color w:val="auto"/>
        </w:rPr>
      </w:pPr>
    </w:p>
    <w:p>
      <w:pPr>
        <w:ind w:left="1300" w:right="220"/>
        <w:spacing w:after="0" w:line="273" w:lineRule="auto"/>
        <w:rPr>
          <w:sz w:val="20"/>
          <w:szCs w:val="20"/>
          <w:color w:val="auto"/>
        </w:rPr>
      </w:pPr>
      <w:r>
        <w:rPr>
          <w:rFonts w:ascii="Arial" w:cs="Arial" w:eastAsia="Arial" w:hAnsi="Arial"/>
          <w:sz w:val="17"/>
          <w:szCs w:val="17"/>
          <w:i w:val="1"/>
          <w:iCs w:val="1"/>
          <w:color w:val="auto"/>
        </w:rPr>
        <w:t>“(b) TCFIF covenants and agrees with Toro that, during the term of Red Iron, TCFIF will not and will not permit any Affiliate of TCFIF (other than TCFIF with respect to Red Iron) to provide financing, directly or indirectly, to any joint venture, partnership or other legal entity owned in part by TCFIF or an Affiliate of TCFIF for the purpose of operating a wholesale finance business within the United States or Canada to support the financing of Lawn and Garden Products at a non-default interest rate lower than the “TCFIF Interest Rate” (as such term is defined in the Credit Agreement). TCFIF acknowledges and agrees that its agreement set forth in this Section 2.8(b) is a material inducement for Toro to enter into, and continue performing under, this Agreement.”</w:t>
      </w:r>
    </w:p>
    <w:p>
      <w:pPr>
        <w:spacing w:after="0" w:line="178" w:lineRule="exact"/>
        <w:rPr>
          <w:sz w:val="20"/>
          <w:szCs w:val="20"/>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Additional Exclusivity Incentive Payment</w:t>
      </w:r>
      <w:r>
        <w:rPr>
          <w:rFonts w:ascii="Arial" w:cs="Arial" w:eastAsia="Arial" w:hAnsi="Arial"/>
          <w:sz w:val="18"/>
          <w:szCs w:val="18"/>
          <w:color w:val="auto"/>
        </w:rPr>
        <w:t>.</w:t>
      </w:r>
    </w:p>
    <w:p>
      <w:pPr>
        <w:spacing w:after="0" w:line="225" w:lineRule="exact"/>
        <w:rPr>
          <w:sz w:val="20"/>
          <w:szCs w:val="20"/>
          <w:color w:val="auto"/>
        </w:rPr>
      </w:pPr>
    </w:p>
    <w:p>
      <w:pPr>
        <w:ind w:left="2660" w:hanging="707"/>
        <w:spacing w:after="0"/>
        <w:tabs>
          <w:tab w:leader="none" w:pos="2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new heading and introductory sentence is added to the beginning of Section 2.15 of the JV Agreement as follows:</w:t>
      </w:r>
    </w:p>
    <w:p>
      <w:pPr>
        <w:spacing w:after="0" w:line="237" w:lineRule="exact"/>
        <w:rPr>
          <w:sz w:val="20"/>
          <w:szCs w:val="20"/>
          <w:color w:val="auto"/>
        </w:rPr>
      </w:pPr>
    </w:p>
    <w:p>
      <w:pPr>
        <w:jc w:val="center"/>
        <w:ind w:left="1960"/>
        <w:spacing w:after="0"/>
        <w:tabs>
          <w:tab w:leader="none" w:pos="260" w:val="left"/>
        </w:tabs>
        <w:rPr>
          <w:sz w:val="20"/>
          <w:szCs w:val="20"/>
          <w:color w:val="auto"/>
        </w:rPr>
      </w:pPr>
      <w:r>
        <w:rPr>
          <w:rFonts w:ascii="Arial" w:cs="Arial" w:eastAsia="Arial" w:hAnsi="Arial"/>
          <w:sz w:val="18"/>
          <w:szCs w:val="18"/>
          <w:i w:val="1"/>
          <w:iCs w:val="1"/>
          <w:color w:val="auto"/>
        </w:rPr>
        <w:t>“2.15</w:t>
      </w:r>
      <w:r>
        <w:rPr>
          <w:sz w:val="20"/>
          <w:szCs w:val="20"/>
          <w:color w:val="auto"/>
        </w:rPr>
        <w:tab/>
      </w:r>
      <w:r>
        <w:rPr>
          <w:rFonts w:ascii="Arial" w:cs="Arial" w:eastAsia="Arial" w:hAnsi="Arial"/>
          <w:sz w:val="18"/>
          <w:szCs w:val="18"/>
          <w:i w:val="1"/>
          <w:iCs w:val="1"/>
          <w:u w:val="single" w:color="auto"/>
          <w:color w:val="auto"/>
        </w:rPr>
        <w:t>Exclusivity Incentive Payments</w:t>
      </w:r>
      <w:r>
        <w:rPr>
          <w:rFonts w:ascii="Arial" w:cs="Arial" w:eastAsia="Arial" w:hAnsi="Arial"/>
          <w:sz w:val="18"/>
          <w:szCs w:val="18"/>
          <w:i w:val="1"/>
          <w:iCs w:val="1"/>
          <w:color w:val="auto"/>
        </w:rPr>
        <w:t>. Exclusivity incentive payments shall consist of the following:”</w:t>
      </w:r>
    </w:p>
    <w:p>
      <w:pPr>
        <w:spacing w:after="0" w:line="225" w:lineRule="exact"/>
        <w:rPr>
          <w:sz w:val="20"/>
          <w:szCs w:val="20"/>
          <w:color w:val="auto"/>
        </w:rPr>
      </w:pPr>
    </w:p>
    <w:p>
      <w:pPr>
        <w:ind w:left="2660" w:hanging="707"/>
        <w:spacing w:after="0"/>
        <w:tabs>
          <w:tab w:leader="none" w:pos="2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language that previously appeared as Section 2.15 of the JV Agreement shall become Section 2.15(a) of the JV</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2680" w:hanging="727"/>
        <w:spacing w:after="0"/>
        <w:tabs>
          <w:tab w:leader="none" w:pos="2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is added as a new Section 2.15(b) of the JV Agreement:</w:t>
      </w:r>
    </w:p>
    <w:p>
      <w:pPr>
        <w:spacing w:after="0" w:line="221" w:lineRule="exact"/>
        <w:rPr>
          <w:sz w:val="20"/>
          <w:szCs w:val="20"/>
          <w:color w:val="auto"/>
        </w:rPr>
      </w:pPr>
    </w:p>
    <w:p>
      <w:pPr>
        <w:ind w:left="660" w:right="32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ectPr>
          <w:pgSz w:w="11900" w:h="16838" w:orient="portrait"/>
          <w:cols w:equalWidth="0" w:num="1">
            <w:col w:w="11420"/>
          </w:cols>
          <w:pgMar w:left="240" w:top="121" w:right="239" w:bottom="111"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23" w:name="page24"/>
    <w:bookmarkEnd w:id="23"/>
    <w:p>
      <w:pPr>
        <w:ind w:left="1960" w:right="340"/>
        <w:spacing w:after="0" w:line="277" w:lineRule="auto"/>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i w:val="1"/>
          <w:iCs w:val="1"/>
          <w:u w:val="single" w:color="auto"/>
          <w:color w:val="auto"/>
        </w:rPr>
        <w:t>Additional Exclusivity Incentive Payment</w:t>
      </w:r>
      <w:r>
        <w:rPr>
          <w:rFonts w:ascii="Arial" w:cs="Arial" w:eastAsia="Arial" w:hAnsi="Arial"/>
          <w:sz w:val="18"/>
          <w:szCs w:val="18"/>
          <w:i w:val="1"/>
          <w:iCs w:val="1"/>
          <w:color w:val="auto"/>
        </w:rPr>
        <w:t>. On June 6, 2012, TCFIF shall pay to Toro an Additional Exclusivity Incentive Payment (as defined herein). “Additional Exclusivity Incentive Payment” shall mean an amount equal to:</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The product, rounded to the nearest thousand, of XXXXXXXXX.</w:t>
      </w:r>
    </w:p>
    <w:p>
      <w:pPr>
        <w:spacing w:after="0" w:line="225" w:lineRule="exact"/>
        <w:rPr>
          <w:sz w:val="20"/>
          <w:szCs w:val="20"/>
          <w:color w:val="auto"/>
        </w:rPr>
      </w:pPr>
    </w:p>
    <w:p>
      <w:pPr>
        <w:ind w:left="1960"/>
        <w:spacing w:after="0" w:line="290" w:lineRule="auto"/>
        <w:rPr>
          <w:sz w:val="20"/>
          <w:szCs w:val="20"/>
          <w:color w:val="auto"/>
        </w:rPr>
      </w:pPr>
      <w:r>
        <w:rPr>
          <w:rFonts w:ascii="Arial" w:cs="Arial" w:eastAsia="Arial" w:hAnsi="Arial"/>
          <w:sz w:val="16"/>
          <w:szCs w:val="16"/>
          <w:i w:val="1"/>
          <w:iCs w:val="1"/>
          <w:color w:val="auto"/>
        </w:rPr>
        <w:t>Such Additional Exclusivity Incentive Payment will be payable in consideration of the continued exclusive relationships among TCFIF, Toro and Red Iron, as described in Section 2.8 hereof, from which TCFIF will continue to derive substantial benefit. If Red Iron shall be dissolved prior to October 31, 2017 pursuant to Section 10.01(a) of the LLC Agreement (with respect to Toro) or pursuant to TCFIF Sub’s election pursuant to Sections 10.01(c), (d), (e), (i), or (j) of the LLC Agreement, then Toro shall remit to TCFIF an amount equal to the product of (i) the Additional Exclusivity Incentive Payment multiplied by (ii) a fraction, the numerator of which shall be the number of days from the date of dissolution through October 31, 2017, and the denominator of which shall be the total number of days from June 6, 2012 through October 31, 2017. The parties agree that the Additional Exclusivity Incentive Payment is between TCFIF and Toro and shall not be charged as an expense to Red Iron.”</w:t>
      </w:r>
    </w:p>
    <w:p>
      <w:pPr>
        <w:spacing w:after="0" w:line="166" w:lineRule="exact"/>
        <w:rPr>
          <w:sz w:val="20"/>
          <w:szCs w:val="20"/>
          <w:color w:val="auto"/>
        </w:rPr>
      </w:pPr>
    </w:p>
    <w:p>
      <w:pPr>
        <w:ind w:firstLine="656"/>
        <w:spacing w:after="0" w:line="279" w:lineRule="auto"/>
        <w:tabs>
          <w:tab w:leader="none" w:pos="136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Affirmation of JV Agreement; Further References</w:t>
      </w:r>
      <w:r>
        <w:rPr>
          <w:rFonts w:ascii="Arial" w:cs="Arial" w:eastAsia="Arial" w:hAnsi="Arial"/>
          <w:sz w:val="17"/>
          <w:szCs w:val="17"/>
          <w:color w:val="auto"/>
        </w:rPr>
        <w:t>. The parties hereto each acknowledge and affirm that the JV Agreement, as hereby amended, is hereby ratified and confirmed in all respects, and all terms, conditions and provisions of the JV Agreement, except as amended by this Amendment, shall remain unmodified and in full force and effect. All references in any document or instrument to the JV Agreement (including references in the JV Agreement to the terms thereof) are hereby amended to refer to the JV Agreement as amended by this Amendment.</w:t>
      </w:r>
    </w:p>
    <w:p>
      <w:pPr>
        <w:spacing w:after="0" w:line="171" w:lineRule="exact"/>
        <w:rPr>
          <w:rFonts w:ascii="Arial" w:cs="Arial" w:eastAsia="Arial" w:hAnsi="Arial"/>
          <w:sz w:val="17"/>
          <w:szCs w:val="17"/>
          <w:color w:val="auto"/>
        </w:rPr>
      </w:pPr>
    </w:p>
    <w:p>
      <w:pPr>
        <w:ind w:firstLine="656"/>
        <w:spacing w:after="0" w:line="259" w:lineRule="auto"/>
        <w:tabs>
          <w:tab w:leader="none" w:pos="13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36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J. Larson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Vice President,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TCF INVENTORY FINANCE,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Rosario A. Perrelli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First Amendment to Agreement to Form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left="10580"/>
        <w:spacing w:after="0"/>
        <w:rPr>
          <w:sz w:val="20"/>
          <w:szCs w:val="20"/>
          <w:color w:val="auto"/>
        </w:rPr>
      </w:pPr>
      <w:r>
        <w:rPr>
          <w:rFonts w:ascii="Arial" w:cs="Arial" w:eastAsia="Arial" w:hAnsi="Arial"/>
          <w:sz w:val="16"/>
          <w:szCs w:val="16"/>
          <w:b w:val="1"/>
          <w:bCs w:val="1"/>
          <w:color w:val="auto"/>
        </w:rPr>
        <w:t>Exhibit 2.2</w:t>
      </w:r>
    </w:p>
    <w:p>
      <w:pPr>
        <w:spacing w:after="0" w:line="24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IRON ACCEPTANCE, LLC</w:t>
      </w:r>
    </w:p>
    <w:p>
      <w:pPr>
        <w:spacing w:after="0" w:line="20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THIS SECOND AMENDMENT TO LIMITED LIABILITY COMPANY AGREEMENT OF RED IRON ACCEPTANCE, LLC</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June 6, 2012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by and between RED IRON HOLDING CORPORATION, a Delaware corporation (“</w:t>
      </w:r>
      <w:r>
        <w:rPr>
          <w:rFonts w:ascii="Arial" w:cs="Arial" w:eastAsia="Arial" w:hAnsi="Arial"/>
          <w:sz w:val="18"/>
          <w:szCs w:val="18"/>
          <w:u w:val="single" w:color="auto"/>
          <w:color w:val="auto"/>
        </w:rPr>
        <w:t>Toro Sub</w:t>
      </w:r>
      <w:r>
        <w:rPr>
          <w:rFonts w:ascii="Arial" w:cs="Arial" w:eastAsia="Arial" w:hAnsi="Arial"/>
          <w:sz w:val="18"/>
          <w:szCs w:val="18"/>
          <w:color w:val="auto"/>
        </w:rPr>
        <w:t>”), and TCFIF JOINT VENTURE I, LLC, a Minnesota limited liability company (“</w:t>
      </w:r>
      <w:r>
        <w:rPr>
          <w:rFonts w:ascii="Arial" w:cs="Arial" w:eastAsia="Arial" w:hAnsi="Arial"/>
          <w:sz w:val="18"/>
          <w:szCs w:val="18"/>
          <w:u w:val="single" w:color="auto"/>
          <w:color w:val="auto"/>
        </w:rPr>
        <w:t>TCFIF Sub</w:t>
      </w:r>
      <w:r>
        <w:rPr>
          <w:rFonts w:ascii="Arial" w:cs="Arial" w:eastAsia="Arial" w:hAnsi="Arial"/>
          <w:sz w:val="18"/>
          <w:szCs w:val="18"/>
          <w:color w:val="auto"/>
        </w:rPr>
        <w:t>”). Capitalized terms used herein and not otherwise defined shall have the meanings ascribed thereto in the LLC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firstLine="656"/>
        <w:spacing w:after="0" w:line="264" w:lineRule="auto"/>
        <w:tabs>
          <w:tab w:leader="none" w:pos="13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Toro Sub and TCFIF Sub are parties to that certain Limited Liability Company Agreement of Red Iron Acceptance, LLC, dated as of August 12, 2009, as amended by the Amendment No. 1 to Limited Liability Company Agreement of Red Iron Acceptance, LLC, made as of May 31, 2011 (as so amended, the “</w:t>
      </w:r>
      <w:r>
        <w:rPr>
          <w:rFonts w:ascii="Arial" w:cs="Arial" w:eastAsia="Arial" w:hAnsi="Arial"/>
          <w:sz w:val="18"/>
          <w:szCs w:val="18"/>
          <w:u w:val="single" w:color="auto"/>
          <w:color w:val="auto"/>
        </w:rPr>
        <w:t>LLC 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parties hereto have agreed to amend the LLC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80" w:hanging="724"/>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Extension of Initial Term</w:t>
      </w:r>
      <w:r>
        <w:rPr>
          <w:rFonts w:ascii="Arial" w:cs="Arial" w:eastAsia="Arial" w:hAnsi="Arial"/>
          <w:sz w:val="17"/>
          <w:szCs w:val="17"/>
          <w:color w:val="auto"/>
        </w:rPr>
        <w:t>. Section 1.04 of the LLC Agreement is amended and restated in its entirety to read as follows:</w:t>
      </w:r>
    </w:p>
    <w:p>
      <w:pPr>
        <w:spacing w:after="0" w:line="237"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i w:val="1"/>
          <w:iCs w:val="1"/>
          <w:color w:val="auto"/>
        </w:rPr>
        <w:t xml:space="preserve">“1.04 </w:t>
      </w:r>
      <w:r>
        <w:rPr>
          <w:rFonts w:ascii="Arial" w:cs="Arial" w:eastAsia="Arial" w:hAnsi="Arial"/>
          <w:sz w:val="18"/>
          <w:szCs w:val="18"/>
          <w:i w:val="1"/>
          <w:iCs w:val="1"/>
          <w:u w:val="single" w:color="auto"/>
          <w:color w:val="auto"/>
        </w:rPr>
        <w:t>Term</w:t>
      </w:r>
      <w:r>
        <w:rPr>
          <w:rFonts w:ascii="Arial" w:cs="Arial" w:eastAsia="Arial" w:hAnsi="Arial"/>
          <w:sz w:val="18"/>
          <w:szCs w:val="18"/>
          <w:i w:val="1"/>
          <w:iCs w:val="1"/>
          <w:color w:val="auto"/>
        </w:rPr>
        <w:t>. Subject to the provisions of Article X below, the initial term of the Company shall commence of the date first written above (the “Formation Date”), shall continue until October 31, 2017 (the “Initial Term”), and thereafter shall be extended automatically for additional two-year terms (each, an “Additional Term”) unless at least one year prior to the expiration of the Initial Term or Additional Term (as applicable) either Member gives notice to the other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i w:val="1"/>
          <w:iCs w:val="1"/>
          <w:color w:val="auto"/>
        </w:rPr>
        <w:t>of its intention not to extend the term, in which event the Company shall dissolve and be wound-up in accordance with the provisions of said Article X.”</w:t>
      </w:r>
    </w:p>
    <w:p>
      <w:pPr>
        <w:spacing w:after="0" w:line="170" w:lineRule="exact"/>
        <w:rPr>
          <w:sz w:val="20"/>
          <w:szCs w:val="20"/>
          <w:color w:val="auto"/>
        </w:rPr>
      </w:pPr>
    </w:p>
    <w:p>
      <w:pPr>
        <w:ind w:left="2000" w:hanging="695"/>
        <w:spacing w:after="0"/>
        <w:tabs>
          <w:tab w:leader="none" w:pos="200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Change in Duties of the Management Committee</w:t>
      </w:r>
      <w:r>
        <w:rPr>
          <w:rFonts w:ascii="Arial" w:cs="Arial" w:eastAsia="Arial" w:hAnsi="Arial"/>
          <w:sz w:val="16"/>
          <w:szCs w:val="16"/>
          <w:color w:val="auto"/>
        </w:rPr>
        <w:t>. Section 6.02(f) of the LLC Agreement is amended and restated in its entirety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read as follows:</w:t>
      </w:r>
    </w:p>
    <w:p>
      <w:pPr>
        <w:spacing w:after="0" w:line="211"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i w:val="1"/>
          <w:iCs w:val="1"/>
          <w:color w:val="auto"/>
        </w:rPr>
        <w:t>“The Management Committee shall review and approve all budgets and business plans, including any amendments thereto from time to time as necessary or desirable, of the Company.”</w:t>
      </w:r>
    </w:p>
    <w:p>
      <w:pPr>
        <w:spacing w:after="0" w:line="170" w:lineRule="exact"/>
        <w:rPr>
          <w:sz w:val="20"/>
          <w:szCs w:val="20"/>
          <w:color w:val="auto"/>
        </w:rPr>
      </w:pPr>
    </w:p>
    <w:p>
      <w:pPr>
        <w:ind w:left="2000" w:hanging="695"/>
        <w:spacing w:after="0"/>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Changes to the Authority of the General Manager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6.03(i) of the LLC Agreement is amended and restated in its entirety to read as follows:</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8"/>
          <w:szCs w:val="18"/>
          <w:i w:val="1"/>
          <w:iCs w:val="1"/>
          <w:color w:val="auto"/>
        </w:rPr>
        <w:t>To prepare the Company’s annual budget;”</w:t>
      </w:r>
    </w:p>
    <w:p>
      <w:pPr>
        <w:spacing w:after="0" w:line="225" w:lineRule="exact"/>
        <w:rPr>
          <w:sz w:val="20"/>
          <w:szCs w:val="20"/>
          <w:color w:val="auto"/>
        </w:rPr>
      </w:pPr>
    </w:p>
    <w:p>
      <w:pPr>
        <w:ind w:left="2660" w:hanging="707"/>
        <w:spacing w:after="0"/>
        <w:tabs>
          <w:tab w:leader="none" w:pos="2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6.03(j) of the LLC Agreement is amended and restated in its entirety to read as follows:</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8"/>
          <w:szCs w:val="18"/>
          <w:i w:val="1"/>
          <w:iCs w:val="1"/>
          <w:color w:val="auto"/>
        </w:rPr>
        <w:t>[Reserved]; and”</w:t>
      </w:r>
    </w:p>
    <w:p>
      <w:pPr>
        <w:spacing w:after="0" w:line="225" w:lineRule="exact"/>
        <w:rPr>
          <w:sz w:val="20"/>
          <w:szCs w:val="20"/>
          <w:color w:val="auto"/>
        </w:rPr>
      </w:pPr>
    </w:p>
    <w:p>
      <w:pPr>
        <w:ind w:left="2000" w:hanging="695"/>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Change of Illinois Office</w:t>
      </w:r>
      <w:r>
        <w:rPr>
          <w:rFonts w:ascii="Arial" w:cs="Arial" w:eastAsia="Arial" w:hAnsi="Arial"/>
          <w:sz w:val="18"/>
          <w:szCs w:val="18"/>
          <w:color w:val="auto"/>
        </w:rPr>
        <w:t>.</w:t>
      </w:r>
    </w:p>
    <w:p>
      <w:pPr>
        <w:spacing w:after="0" w:line="225" w:lineRule="exact"/>
        <w:rPr>
          <w:sz w:val="20"/>
          <w:szCs w:val="20"/>
          <w:color w:val="auto"/>
        </w:rPr>
      </w:pPr>
    </w:p>
    <w:p>
      <w:pPr>
        <w:ind w:left="2660" w:hanging="707"/>
        <w:spacing w:after="0"/>
        <w:tabs>
          <w:tab w:leader="none" w:pos="2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last sentence of Section 1.02 of the LLC Agreement is amended and restated in its entirety to read as follows:</w:t>
      </w:r>
    </w:p>
    <w:p>
      <w:pPr>
        <w:spacing w:after="0" w:line="237" w:lineRule="exact"/>
        <w:rPr>
          <w:sz w:val="20"/>
          <w:szCs w:val="20"/>
          <w:color w:val="auto"/>
        </w:rPr>
      </w:pPr>
    </w:p>
    <w:p>
      <w:pPr>
        <w:ind w:left="1960" w:right="560"/>
        <w:spacing w:after="0" w:line="264" w:lineRule="auto"/>
        <w:rPr>
          <w:sz w:val="20"/>
          <w:szCs w:val="20"/>
          <w:color w:val="auto"/>
        </w:rPr>
      </w:pPr>
      <w:r>
        <w:rPr>
          <w:rFonts w:ascii="Arial" w:cs="Arial" w:eastAsia="Arial" w:hAnsi="Arial"/>
          <w:sz w:val="18"/>
          <w:szCs w:val="18"/>
          <w:i w:val="1"/>
          <w:iCs w:val="1"/>
          <w:color w:val="auto"/>
        </w:rPr>
        <w:t>“The principal offices and place of business of the Company shall be in Schaumburg, Illinois with an operations office in Bloomington, Minnesota or, in either case, such other place or places as the Management Committee may from time to time direct.”</w:t>
      </w:r>
    </w:p>
    <w:p>
      <w:pPr>
        <w:spacing w:after="0" w:line="181" w:lineRule="exact"/>
        <w:rPr>
          <w:sz w:val="20"/>
          <w:szCs w:val="20"/>
          <w:color w:val="auto"/>
        </w:rPr>
      </w:pPr>
    </w:p>
    <w:p>
      <w:pPr>
        <w:ind w:left="2660" w:hanging="707"/>
        <w:spacing w:after="0"/>
        <w:tabs>
          <w:tab w:leader="none" w:pos="2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last sentence of the first paragraph of Section 8.02(a) of the LLC Agreement is amended and restated in its entirety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to read as follows: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6"/>
          <w:szCs w:val="16"/>
          <w:i w:val="1"/>
          <w:iCs w:val="1"/>
          <w:color w:val="auto"/>
        </w:rPr>
        <w:t>“All other ledgers, books of account and financial statements shall be maintained at the offices of TCFIF in Schaumburg, Illinois.”</w:t>
      </w:r>
    </w:p>
    <w:p>
      <w:pPr>
        <w:spacing w:after="0" w:line="248" w:lineRule="exact"/>
        <w:rPr>
          <w:sz w:val="20"/>
          <w:szCs w:val="20"/>
          <w:color w:val="auto"/>
        </w:rPr>
      </w:pPr>
    </w:p>
    <w:p>
      <w:pPr>
        <w:ind w:left="2000" w:hanging="695"/>
        <w:spacing w:after="0"/>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Extension of Dates Referred to in the Toro Sub Purchase Option</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25" w:name="page26"/>
    <w:bookmarkEnd w:id="25"/>
    <w:p>
      <w:pPr>
        <w:ind w:left="640" w:right="30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707"/>
        <w:spacing w:after="0"/>
        <w:tabs>
          <w:tab w:leader="none" w:pos="2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Sections 9.03(a)(i)(A) — (C) of the LLC Agreement are amended and restated in their entirety to read as follows:</w:t>
      </w:r>
    </w:p>
    <w:p>
      <w:pPr>
        <w:spacing w:after="0" w:line="237"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6"/>
          <w:szCs w:val="16"/>
          <w:i w:val="1"/>
          <w:iCs w:val="1"/>
          <w:color w:val="auto"/>
        </w:rPr>
        <w:t>if the Closing Date occurs at October 31, 2017, an amount equal to the greater of (y) XXXXXXXXX or (z) XXXXXXXXX;</w:t>
      </w:r>
    </w:p>
    <w:p>
      <w:pPr>
        <w:spacing w:after="0" w:line="248" w:lineRule="exact"/>
        <w:rPr>
          <w:sz w:val="20"/>
          <w:szCs w:val="20"/>
          <w:color w:val="auto"/>
        </w:rPr>
      </w:pPr>
    </w:p>
    <w:p>
      <w:pPr>
        <w:ind w:left="2660" w:hanging="727"/>
        <w:spacing w:after="0"/>
        <w:tabs>
          <w:tab w:leader="none" w:pos="2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if the Closing Date occurs at October 31, 2019, an amount equal to XXXXXXXXX; or</w:t>
      </w:r>
    </w:p>
    <w:p>
      <w:pPr>
        <w:spacing w:after="0" w:line="225" w:lineRule="exact"/>
        <w:rPr>
          <w:rFonts w:ascii="Arial" w:cs="Arial" w:eastAsia="Arial" w:hAnsi="Arial"/>
          <w:sz w:val="18"/>
          <w:szCs w:val="18"/>
          <w:i w:val="1"/>
          <w:iCs w:val="1"/>
          <w:color w:val="auto"/>
        </w:rPr>
      </w:pPr>
    </w:p>
    <w:p>
      <w:pPr>
        <w:ind w:left="2620" w:hanging="687"/>
        <w:spacing w:after="0"/>
        <w:tabs>
          <w:tab w:leader="none" w:pos="26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if the Closing Date occurs at October 31, 2021 or at any time thereafter, an amount equal to XXXXXXXXX.”</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paragraph following clause (C) of Section 9.03(a)(i) of the LLC Agreement shall remain without change.</w:t>
      </w:r>
    </w:p>
    <w:p>
      <w:pPr>
        <w:spacing w:after="0" w:line="225" w:lineRule="exact"/>
        <w:rPr>
          <w:sz w:val="20"/>
          <w:szCs w:val="20"/>
          <w:color w:val="auto"/>
        </w:rPr>
      </w:pPr>
    </w:p>
    <w:p>
      <w:pPr>
        <w:ind w:left="2640" w:hanging="707"/>
        <w:spacing w:after="0"/>
        <w:tabs>
          <w:tab w:leader="none" w:pos="2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9.03(b)(i)(i) of the LLC Agreement is amended and restated in its entirety to read as follows:</w:t>
      </w:r>
    </w:p>
    <w:p>
      <w:pPr>
        <w:spacing w:after="0" w:line="225" w:lineRule="exact"/>
        <w:rPr>
          <w:sz w:val="20"/>
          <w:szCs w:val="20"/>
          <w:color w:val="auto"/>
        </w:rPr>
      </w:pPr>
    </w:p>
    <w:p>
      <w:pPr>
        <w:ind w:left="1940"/>
        <w:spacing w:after="0"/>
        <w:tabs>
          <w:tab w:leader="none" w:pos="264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8"/>
          <w:szCs w:val="18"/>
          <w:i w:val="1"/>
          <w:iCs w:val="1"/>
          <w:color w:val="auto"/>
        </w:rPr>
        <w:t>during the 31-day period commencing on October 1, 2016, or”</w:t>
      </w:r>
    </w:p>
    <w:p>
      <w:pPr>
        <w:spacing w:after="0" w:line="225" w:lineRule="exact"/>
        <w:rPr>
          <w:sz w:val="20"/>
          <w:szCs w:val="20"/>
          <w:color w:val="auto"/>
        </w:rPr>
      </w:pPr>
    </w:p>
    <w:p>
      <w:pPr>
        <w:ind w:left="640" w:right="860" w:firstLine="645"/>
        <w:spacing w:after="0" w:line="277" w:lineRule="auto"/>
        <w:tabs>
          <w:tab w:leader="none" w:pos="200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The following is added to the end of the clause that appears in parentheses following the first sentence of Section 10.01(h) of the LLC Agreement:</w:t>
      </w:r>
    </w:p>
    <w:p>
      <w:pPr>
        <w:spacing w:after="0" w:line="170" w:lineRule="exact"/>
        <w:rPr>
          <w:sz w:val="20"/>
          <w:szCs w:val="20"/>
          <w:color w:val="auto"/>
        </w:rPr>
      </w:pPr>
    </w:p>
    <w:p>
      <w:pPr>
        <w:ind w:left="1280"/>
        <w:spacing w:after="0" w:line="257" w:lineRule="auto"/>
        <w:rPr>
          <w:sz w:val="20"/>
          <w:szCs w:val="20"/>
          <w:color w:val="auto"/>
        </w:rPr>
      </w:pPr>
      <w:r>
        <w:rPr>
          <w:rFonts w:ascii="Arial" w:cs="Arial" w:eastAsia="Arial" w:hAnsi="Arial"/>
          <w:sz w:val="18"/>
          <w:szCs w:val="18"/>
          <w:i w:val="1"/>
          <w:iCs w:val="1"/>
          <w:color w:val="auto"/>
        </w:rPr>
        <w:t>“and “pre-tax return on assets” shall mean a quotient, (i) the numerator of which is equal to the product of (x) the pre-tax income of the Company from the first day of the first calendar month covered by such calculation, divided by the number of calendar months included in the period covered by such calculation, multiplied by (y) 12, and (ii) the denominator of which is equal to (x) the sum of the monthly Average Net Receivables for each calendar month included in the period covered by such calculation, divided by (y) the number of calendar months included in the period covered by such calculation.”</w:t>
      </w:r>
    </w:p>
    <w:p>
      <w:pPr>
        <w:spacing w:after="0" w:line="188" w:lineRule="exact"/>
        <w:rPr>
          <w:sz w:val="20"/>
          <w:szCs w:val="20"/>
          <w:color w:val="auto"/>
        </w:rPr>
      </w:pPr>
    </w:p>
    <w:p>
      <w:pPr>
        <w:ind w:left="1980" w:hanging="695"/>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Time for Liquidation</w:t>
      </w:r>
      <w:r>
        <w:rPr>
          <w:rFonts w:ascii="Arial" w:cs="Arial" w:eastAsia="Arial" w:hAnsi="Arial"/>
          <w:sz w:val="18"/>
          <w:szCs w:val="18"/>
          <w:color w:val="auto"/>
        </w:rPr>
        <w:t>. Section 10.04 of the LLC Agreement is amended and restated in its entirety to read as follows:</w:t>
      </w:r>
    </w:p>
    <w:p>
      <w:pPr>
        <w:spacing w:after="0" w:line="225" w:lineRule="exact"/>
        <w:rPr>
          <w:sz w:val="20"/>
          <w:szCs w:val="20"/>
          <w:color w:val="auto"/>
        </w:rPr>
      </w:pPr>
    </w:p>
    <w:p>
      <w:pPr>
        <w:ind w:left="1280"/>
        <w:spacing w:after="0" w:line="255" w:lineRule="auto"/>
        <w:rPr>
          <w:sz w:val="20"/>
          <w:szCs w:val="20"/>
          <w:color w:val="auto"/>
        </w:rPr>
      </w:pPr>
      <w:r>
        <w:rPr>
          <w:rFonts w:ascii="Arial" w:cs="Arial" w:eastAsia="Arial" w:hAnsi="Arial"/>
          <w:sz w:val="18"/>
          <w:szCs w:val="18"/>
          <w:i w:val="1"/>
          <w:iCs w:val="1"/>
          <w:color w:val="auto"/>
        </w:rPr>
        <w:t xml:space="preserve">“10.04 </w:t>
      </w:r>
      <w:r>
        <w:rPr>
          <w:rFonts w:ascii="Arial" w:cs="Arial" w:eastAsia="Arial" w:hAnsi="Arial"/>
          <w:sz w:val="18"/>
          <w:szCs w:val="18"/>
          <w:i w:val="1"/>
          <w:iCs w:val="1"/>
          <w:u w:val="single" w:color="auto"/>
          <w:color w:val="auto"/>
        </w:rPr>
        <w:t>Time for Liquidation</w:t>
      </w:r>
      <w:r>
        <w:rPr>
          <w:rFonts w:ascii="Arial" w:cs="Arial" w:eastAsia="Arial" w:hAnsi="Arial"/>
          <w:sz w:val="18"/>
          <w:szCs w:val="18"/>
          <w:i w:val="1"/>
          <w:iCs w:val="1"/>
          <w:color w:val="auto"/>
        </w:rPr>
        <w:t>. The Members acknowledge that any liquidation of assets of the Company must be handled in such a manner as to minimize the impact of such liquidation on the business of Toro and its Affiliates and agree, subject to the provisions of the following sentence, if so requested by Toro Sub to continue the Business for a period of up to the later of one year following the Termination Date, or, if such date shall occur in the months of February through June, until June 30 of the year following the Termination Date during which time the Members acknowledge that (a) the Company will no longer be entitled to any exclusive rights to provide floor plan and open account financing to Toro dealers and distributors and (b) TCFIF shall no longer be bound to its obligations under Section 2.8(b) of the Joint Venture Agreement. Following the cessation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200"/>
        <w:spacing w:after="0" w:line="264" w:lineRule="auto"/>
        <w:rPr>
          <w:sz w:val="20"/>
          <w:szCs w:val="20"/>
          <w:color w:val="auto"/>
        </w:rPr>
      </w:pPr>
      <w:r>
        <w:rPr>
          <w:rFonts w:ascii="Arial" w:cs="Arial" w:eastAsia="Arial" w:hAnsi="Arial"/>
          <w:sz w:val="18"/>
          <w:szCs w:val="18"/>
          <w:i w:val="1"/>
          <w:iCs w:val="1"/>
          <w:color w:val="auto"/>
        </w:rPr>
        <w:t>Business as contemplated by the preceding sentence, a reasonable time period shall be allowed for the orderly liquidation of the assets of the Company and the discharge of liabilities to creditors so as to enable the Members to reasonably minimize the losses attendant upon such liquidation.”</w:t>
      </w:r>
    </w:p>
    <w:p>
      <w:pPr>
        <w:spacing w:after="0" w:line="181" w:lineRule="exact"/>
        <w:rPr>
          <w:sz w:val="20"/>
          <w:szCs w:val="20"/>
          <w:color w:val="auto"/>
        </w:rPr>
      </w:pPr>
    </w:p>
    <w:p>
      <w:pPr>
        <w:ind w:left="1980" w:hanging="695"/>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 of Schedule of Definitions</w:t>
      </w:r>
      <w:r>
        <w:rPr>
          <w:rFonts w:ascii="Arial" w:cs="Arial" w:eastAsia="Arial" w:hAnsi="Arial"/>
          <w:sz w:val="18"/>
          <w:szCs w:val="18"/>
          <w:color w:val="auto"/>
        </w:rPr>
        <w:t>.</w:t>
      </w:r>
    </w:p>
    <w:p>
      <w:pPr>
        <w:spacing w:after="0" w:line="225" w:lineRule="exact"/>
        <w:rPr>
          <w:sz w:val="20"/>
          <w:szCs w:val="20"/>
          <w:color w:val="auto"/>
        </w:rPr>
      </w:pPr>
    </w:p>
    <w:p>
      <w:pPr>
        <w:ind w:left="2460" w:right="100" w:hanging="527"/>
        <w:spacing w:after="0" w:line="277" w:lineRule="auto"/>
        <w:tabs>
          <w:tab w:leader="none" w:pos="24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defined terms and associated Section No. cross references shall be deleted from the Schedule of Definitions to the LLC Agreement:</w:t>
      </w:r>
    </w:p>
    <w:p>
      <w:pPr>
        <w:spacing w:after="0" w:line="170"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Adjustment Date</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Adjustment Period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Measurement Period Return</w:t>
      </w:r>
    </w:p>
    <w:p>
      <w:pPr>
        <w:spacing w:after="0" w:line="211" w:lineRule="exact"/>
        <w:rPr>
          <w:sz w:val="20"/>
          <w:szCs w:val="20"/>
          <w:color w:val="auto"/>
        </w:rPr>
      </w:pPr>
    </w:p>
    <w:p>
      <w:pPr>
        <w:ind w:left="2480" w:hanging="547"/>
        <w:spacing w:after="0"/>
        <w:tabs>
          <w:tab w:leader="none" w:pos="2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cross reference to the defined term, </w:t>
      </w:r>
      <w:r>
        <w:rPr>
          <w:rFonts w:ascii="Arial" w:cs="Arial" w:eastAsia="Arial" w:hAnsi="Arial"/>
          <w:sz w:val="18"/>
          <w:szCs w:val="18"/>
          <w:i w:val="1"/>
          <w:iCs w:val="1"/>
          <w:color w:val="auto"/>
        </w:rPr>
        <w:t>“pre-tax return on assets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is changed to Section No. 10.01(h).</w:t>
      </w:r>
    </w:p>
    <w:p>
      <w:pPr>
        <w:spacing w:after="0" w:line="225" w:lineRule="exact"/>
        <w:rPr>
          <w:rFonts w:ascii="Arial" w:cs="Arial" w:eastAsia="Arial" w:hAnsi="Arial"/>
          <w:sz w:val="18"/>
          <w:szCs w:val="18"/>
          <w:color w:val="auto"/>
        </w:rPr>
      </w:pPr>
    </w:p>
    <w:p>
      <w:pPr>
        <w:ind w:left="-20" w:right="40" w:firstLine="656"/>
        <w:spacing w:after="0" w:line="279" w:lineRule="auto"/>
        <w:tabs>
          <w:tab w:leader="none" w:pos="134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Affirmation of LLC Agreement; Further References</w:t>
      </w:r>
      <w:r>
        <w:rPr>
          <w:rFonts w:ascii="Arial" w:cs="Arial" w:eastAsia="Arial" w:hAnsi="Arial"/>
          <w:sz w:val="17"/>
          <w:szCs w:val="17"/>
          <w:color w:val="auto"/>
        </w:rPr>
        <w:t>. The parties hereto each acknowledge and affirm that the LLC Agreement, as hereby amended, is hereby ratified and confirmed in all respects, and all terms, conditions and provisions of the LLC Agreement, except as amended by this Amendment, shall remain unmodified and in full force and effect. All references in any document or instrument to the LLC Agreement (including references in the LLC Agreement to the terms thereof) are hereby amended to refer to the LLC Agreement as amended by this Amendment.</w:t>
      </w:r>
    </w:p>
    <w:p>
      <w:pPr>
        <w:spacing w:after="0" w:line="171" w:lineRule="exact"/>
        <w:rPr>
          <w:rFonts w:ascii="Arial" w:cs="Arial" w:eastAsia="Arial" w:hAnsi="Arial"/>
          <w:sz w:val="17"/>
          <w:szCs w:val="17"/>
          <w:color w:val="auto"/>
        </w:rPr>
      </w:pPr>
    </w:p>
    <w:p>
      <w:pPr>
        <w:ind w:left="-20" w:firstLine="656"/>
        <w:spacing w:after="0" w:line="259" w:lineRule="auto"/>
        <w:tabs>
          <w:tab w:leader="none" w:pos="134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jc w:val="both"/>
        <w:ind w:left="-20" w:firstLine="656"/>
        <w:spacing w:after="0" w:line="286" w:lineRule="auto"/>
        <w:tabs>
          <w:tab w:leader="none" w:pos="134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380"/>
          </w:cols>
          <w:pgMar w:left="260" w:top="121" w:right="259" w:bottom="0" w:gutter="0" w:footer="0" w:header="0"/>
        </w:sectPr>
      </w:pPr>
    </w:p>
    <w:bookmarkStart w:id="26" w:name="page27"/>
    <w:bookmarkEnd w:id="26"/>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6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RED IRON HOLDING CORPORATION</w:t>
      </w:r>
    </w:p>
    <w:p>
      <w:pPr>
        <w:spacing w:after="0" w:line="200" w:lineRule="exact"/>
        <w:rPr>
          <w:sz w:val="20"/>
          <w:szCs w:val="20"/>
          <w:color w:val="auto"/>
        </w:rPr>
      </w:pPr>
    </w:p>
    <w:p>
      <w:pPr>
        <w:spacing w:after="0" w:line="241" w:lineRule="exact"/>
        <w:rPr>
          <w:sz w:val="20"/>
          <w:szCs w:val="20"/>
          <w:color w:val="auto"/>
        </w:rPr>
      </w:pPr>
    </w:p>
    <w:p>
      <w:pPr>
        <w:ind w:left="5840"/>
        <w:spacing w:after="0"/>
        <w:tabs>
          <w:tab w:leader="none" w:pos="6300" w:val="left"/>
        </w:tabs>
        <w:rPr>
          <w:sz w:val="20"/>
          <w:szCs w:val="20"/>
          <w:color w:val="auto"/>
        </w:rPr>
      </w:pPr>
      <w:r>
        <w:rPr>
          <w:rFonts w:ascii="Arial" w:cs="Arial" w:eastAsia="Arial" w:hAnsi="Arial"/>
          <w:sz w:val="18"/>
          <w:szCs w:val="18"/>
          <w:color w:val="auto"/>
        </w:rPr>
        <w:t>By:</w:t>
        <w:tab/>
        <w:t>/s/ Thomas J. Larson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Its: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TCFIF JOINT VENTURE I, LLC</w:t>
      </w:r>
    </w:p>
    <w:p>
      <w:pPr>
        <w:spacing w:after="0" w:line="200" w:lineRule="exact"/>
        <w:rPr>
          <w:sz w:val="20"/>
          <w:szCs w:val="20"/>
          <w:color w:val="auto"/>
        </w:rPr>
      </w:pPr>
    </w:p>
    <w:p>
      <w:pPr>
        <w:spacing w:after="0" w:line="241" w:lineRule="exact"/>
        <w:rPr>
          <w:sz w:val="20"/>
          <w:szCs w:val="20"/>
          <w:color w:val="auto"/>
        </w:rPr>
      </w:pPr>
    </w:p>
    <w:p>
      <w:pPr>
        <w:ind w:left="5840"/>
        <w:spacing w:after="0"/>
        <w:tabs>
          <w:tab w:leader="none" w:pos="6300" w:val="left"/>
        </w:tabs>
        <w:rPr>
          <w:sz w:val="20"/>
          <w:szCs w:val="20"/>
          <w:color w:val="auto"/>
        </w:rPr>
      </w:pPr>
      <w:r>
        <w:rPr>
          <w:rFonts w:ascii="Arial" w:cs="Arial" w:eastAsia="Arial" w:hAnsi="Arial"/>
          <w:sz w:val="18"/>
          <w:szCs w:val="18"/>
          <w:color w:val="auto"/>
        </w:rPr>
        <w:t>By:</w:t>
        <w:tab/>
        <w:t>/s/ Rosario A. Perrelli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-130810</wp:posOffset>
            </wp:positionV>
            <wp:extent cx="32327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Its: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7" w:name="page28"/>
    <w:bookmarkEnd w:id="27"/>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Step)</w:t>
      </w:r>
    </w:p>
    <w:p>
      <w:pPr>
        <w:spacing w:after="0" w:line="20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THIS SECOND AMENDMENT TO SECOND AMENDED AND RESTATED REPURCHASE AGREEMENT (TWO STEP)</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June 6, 2012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by and between THE TORO COMPANY,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RED IRON ACCEPTANCE, LLC, a Delaware limited liability company (“</w:t>
      </w:r>
      <w:r>
        <w:rPr>
          <w:rFonts w:ascii="Arial" w:cs="Arial" w:eastAsia="Arial" w:hAnsi="Arial"/>
          <w:sz w:val="18"/>
          <w:szCs w:val="18"/>
          <w:u w:val="single" w:color="auto"/>
          <w:color w:val="auto"/>
        </w:rPr>
        <w:t>Red Iron</w:t>
      </w:r>
      <w:r>
        <w:rPr>
          <w:rFonts w:ascii="Arial" w:cs="Arial" w:eastAsia="Arial" w:hAnsi="Arial"/>
          <w:sz w:val="18"/>
          <w:szCs w:val="18"/>
          <w:color w:val="auto"/>
        </w:rPr>
        <w:t>”). Capitalized terms used herein and not otherwise defined shall have the meanings ascribed thereto in the Repurchase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40" w:firstLine="656"/>
        <w:spacing w:after="0" w:line="264" w:lineRule="auto"/>
        <w:tabs>
          <w:tab w:leader="none" w:pos="13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Seller and Red Iron are parties to that certain Second Amended and Restated Repurchase Agreement (Two Step), entered into as of October 29, 2010, as amended by the First Amendment to Second Amended and Restated Repurchase Agreement (Two Step), dated as of December 12, 2011 (as so amended, the “</w:t>
      </w:r>
      <w:r>
        <w:rPr>
          <w:rFonts w:ascii="Arial" w:cs="Arial" w:eastAsia="Arial" w:hAnsi="Arial"/>
          <w:sz w:val="18"/>
          <w:szCs w:val="18"/>
          <w:u w:val="single" w:color="auto"/>
          <w:color w:val="auto"/>
        </w:rPr>
        <w:t>Repurchase 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parties hereto have agreed to amend the Repurchase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80" w:hanging="724"/>
        <w:spacing w:after="0"/>
        <w:tabs>
          <w:tab w:leader="none" w:pos="13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first sentence of Section 8(a) (Initial Term) of the Repurchase Agreement is amended and restated in its entirety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i w:val="1"/>
          <w:iCs w:val="1"/>
          <w:color w:val="auto"/>
        </w:rPr>
        <w:t>“The initial term of this Agreement commenced on October 1, 2009 and, provided this Agreement is not terminated earlier as otherwise provided herein, shall continue until October 31, 2017 (the “Initial Term”), and thereafter shall be extended automatically for additional two-year terms (each, an “Additional Term”) unless at least one year prior to the expiration of the Initial Term or Additional Term (as applicable) either party gives notice to the other party of its intention not to extend the term, in which event the Agreement shall terminate at the end of the then current Initial Term or Additional Term.”</w:t>
      </w:r>
    </w:p>
    <w:p>
      <w:pPr>
        <w:spacing w:after="0" w:line="188" w:lineRule="exact"/>
        <w:rPr>
          <w:sz w:val="20"/>
          <w:szCs w:val="20"/>
          <w:color w:val="auto"/>
        </w:rPr>
      </w:pPr>
    </w:p>
    <w:p>
      <w:pPr>
        <w:ind w:firstLine="656"/>
        <w:spacing w:after="0" w:line="259" w:lineRule="auto"/>
        <w:tabs>
          <w:tab w:leader="none" w:pos="136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Affirmation of Repurchase Agreement; Further References</w:t>
      </w:r>
      <w:r>
        <w:rPr>
          <w:rFonts w:ascii="Arial" w:cs="Arial" w:eastAsia="Arial" w:hAnsi="Arial"/>
          <w:sz w:val="18"/>
          <w:szCs w:val="18"/>
          <w:color w:val="auto"/>
        </w:rPr>
        <w:t>. The parties hereto each acknowledge and affirm that the Repurchase Agreement, as hereby amended, is hereby ratified and confirmed in all respects, and all terms, conditions and provisions of the Repurchase Agreement, except as amended by this Amendment, shall remain unmodified and in full force and effect. All references in any document or instrument to the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(including references in the Repurchase Agreement to the terms thereof) are hereby amended to refer to the Repurchase Agreement as amended by this Amendment.</w:t>
      </w:r>
    </w:p>
    <w:p>
      <w:pPr>
        <w:spacing w:after="0" w:line="170" w:lineRule="exact"/>
        <w:rPr>
          <w:sz w:val="20"/>
          <w:szCs w:val="20"/>
          <w:color w:val="auto"/>
        </w:rPr>
      </w:pPr>
    </w:p>
    <w:p>
      <w:pPr>
        <w:ind w:right="120" w:firstLine="656"/>
        <w:spacing w:after="0" w:line="312" w:lineRule="auto"/>
        <w:tabs>
          <w:tab w:leader="none" w:pos="136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on and after the date hereof, contains all of the understandings and agreements of whatsoever kind and nature existing among the parties with respect to this Amendment, the subject matter hereof, and the rights, interests, understandings, agreements and obligations of the parties pertaining to the subject matter hereof with the effect that this Amendment shall control with respect to the specific subjects hereof.</w:t>
      </w:r>
    </w:p>
    <w:p>
      <w:pPr>
        <w:spacing w:after="0" w:line="146" w:lineRule="exact"/>
        <w:rPr>
          <w:rFonts w:ascii="Arial" w:cs="Arial" w:eastAsia="Arial" w:hAnsi="Arial"/>
          <w:sz w:val="16"/>
          <w:szCs w:val="16"/>
          <w:color w:val="auto"/>
        </w:rPr>
      </w:pPr>
    </w:p>
    <w:p>
      <w:pPr>
        <w:jc w:val="both"/>
        <w:ind w:right="20" w:firstLine="656"/>
        <w:spacing w:after="0" w:line="286" w:lineRule="auto"/>
        <w:tabs>
          <w:tab w:leader="none" w:pos="136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Thomas J. Larson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Vice President,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ACCEPTANCE,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Mark J. Wrend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J.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Manager</w:t>
      </w:r>
    </w:p>
    <w:p>
      <w:pPr>
        <w:sectPr>
          <w:pgSz w:w="11900" w:h="16888" w:orient="portrait"/>
          <w:cols w:equalWidth="0" w:num="1">
            <w:col w:w="11420"/>
          </w:cols>
          <w:pgMar w:left="240" w:top="121" w:right="239" w:bottom="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Second Amendment to Second Amended and Restated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9" w:name="page30"/>
    <w:bookmarkEnd w:id="2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AND SECURITY AGREEMENT</w:t>
      </w:r>
    </w:p>
    <w:p>
      <w:pPr>
        <w:spacing w:after="0" w:line="207"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THIS FIRST AMENDMENT TO CREDIT AND SECURITY AGREEMENT</w:t>
      </w:r>
      <w:r>
        <w:rPr>
          <w:rFonts w:ascii="Arial" w:cs="Arial" w:eastAsia="Arial" w:hAnsi="Arial"/>
          <w:sz w:val="17"/>
          <w:szCs w:val="17"/>
          <w:color w:val="auto"/>
        </w:rPr>
        <w:t>, dated as of June 6, 2012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by</w:t>
      </w:r>
      <w:r>
        <w:rPr>
          <w:rFonts w:ascii="Arial" w:cs="Arial" w:eastAsia="Arial" w:hAnsi="Arial"/>
          <w:sz w:val="17"/>
          <w:szCs w:val="17"/>
          <w:b w:val="1"/>
          <w:bCs w:val="1"/>
          <w:color w:val="auto"/>
        </w:rPr>
        <w:t xml:space="preserve"> </w:t>
      </w:r>
      <w:r>
        <w:rPr>
          <w:rFonts w:ascii="Arial" w:cs="Arial" w:eastAsia="Arial" w:hAnsi="Arial"/>
          <w:sz w:val="17"/>
          <w:szCs w:val="17"/>
          <w:color w:val="auto"/>
        </w:rPr>
        <w:t>and between RED IRON ACCEPTANCE, LLC, a Delaware limited liability company (“</w:t>
      </w:r>
      <w:r>
        <w:rPr>
          <w:rFonts w:ascii="Arial" w:cs="Arial" w:eastAsia="Arial" w:hAnsi="Arial"/>
          <w:sz w:val="17"/>
          <w:szCs w:val="17"/>
          <w:u w:val="single" w:color="auto"/>
          <w:color w:val="auto"/>
        </w:rPr>
        <w:t>Borrower</w:t>
      </w:r>
      <w:r>
        <w:rPr>
          <w:rFonts w:ascii="Arial" w:cs="Arial" w:eastAsia="Arial" w:hAnsi="Arial"/>
          <w:sz w:val="17"/>
          <w:szCs w:val="17"/>
          <w:color w:val="auto"/>
        </w:rPr>
        <w:t>”), and TCF INVENTORY FINANCE, INC. (“</w:t>
      </w:r>
      <w:r>
        <w:rPr>
          <w:rFonts w:ascii="Arial" w:cs="Arial" w:eastAsia="Arial" w:hAnsi="Arial"/>
          <w:sz w:val="17"/>
          <w:szCs w:val="17"/>
          <w:u w:val="single" w:color="auto"/>
          <w:color w:val="auto"/>
        </w:rPr>
        <w:t>Lender</w:t>
      </w:r>
      <w:r>
        <w:rPr>
          <w:rFonts w:ascii="Arial" w:cs="Arial" w:eastAsia="Arial" w:hAnsi="Arial"/>
          <w:sz w:val="17"/>
          <w:szCs w:val="17"/>
          <w:color w:val="auto"/>
        </w:rPr>
        <w:t>”). Capitalized terms used herein and not otherwise defined shall have the meanings ascribed thereto in the Credit Agreement (as hereinafter defined).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380" w:hanging="724"/>
        <w:spacing w:after="0"/>
        <w:tabs>
          <w:tab w:leader="none" w:pos="1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Borrower and Lender are parties to that certain Credit and Security Agreement, dated as of August 12, 2009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360" w:hanging="704"/>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parties hereto have agreed to amend the Credit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80" w:hanging="724"/>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Extension of Maturity Date</w:t>
      </w:r>
      <w:r>
        <w:rPr>
          <w:rFonts w:ascii="Arial" w:cs="Arial" w:eastAsia="Arial" w:hAnsi="Arial"/>
          <w:sz w:val="16"/>
          <w:szCs w:val="16"/>
          <w:color w:val="auto"/>
        </w:rPr>
        <w:t>. The first sentence of Section 2.01(a) of the Credit Agreement is amended and restated in its entirety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read as follows:</w:t>
      </w:r>
    </w:p>
    <w:p>
      <w:pPr>
        <w:spacing w:after="0" w:line="211" w:lineRule="exact"/>
        <w:rPr>
          <w:sz w:val="20"/>
          <w:szCs w:val="20"/>
          <w:color w:val="auto"/>
        </w:rPr>
      </w:pPr>
    </w:p>
    <w:p>
      <w:pPr>
        <w:ind w:left="1960" w:right="40"/>
        <w:spacing w:after="0" w:line="276" w:lineRule="auto"/>
        <w:rPr>
          <w:sz w:val="20"/>
          <w:szCs w:val="20"/>
          <w:color w:val="auto"/>
        </w:rPr>
      </w:pPr>
      <w:r>
        <w:rPr>
          <w:rFonts w:ascii="Arial" w:cs="Arial" w:eastAsia="Arial" w:hAnsi="Arial"/>
          <w:sz w:val="17"/>
          <w:szCs w:val="17"/>
          <w:i w:val="1"/>
          <w:iCs w:val="1"/>
          <w:color w:val="auto"/>
        </w:rPr>
        <w:t xml:space="preserve">“(a) </w:t>
      </w:r>
      <w:r>
        <w:rPr>
          <w:rFonts w:ascii="Arial" w:cs="Arial" w:eastAsia="Arial" w:hAnsi="Arial"/>
          <w:sz w:val="17"/>
          <w:szCs w:val="17"/>
          <w:i w:val="1"/>
          <w:iCs w:val="1"/>
          <w:u w:val="single" w:color="auto"/>
          <w:color w:val="auto"/>
        </w:rPr>
        <w:t>Revolving Loan Availability</w:t>
      </w:r>
      <w:r>
        <w:rPr>
          <w:rFonts w:ascii="Arial" w:cs="Arial" w:eastAsia="Arial" w:hAnsi="Arial"/>
          <w:sz w:val="17"/>
          <w:szCs w:val="17"/>
          <w:i w:val="1"/>
          <w:iCs w:val="1"/>
          <w:color w:val="auto"/>
        </w:rPr>
        <w:t>. Subject to the terms and conditions of this Agreement, Lender agrees to advance to Borrower from time to time during the period beginning on the Closing Date and ending on October 31, 2017, or such earlier date on which the LLC Term shall end (such date or such earlier date, if applicable, the “</w:t>
      </w:r>
      <w:r>
        <w:rPr>
          <w:rFonts w:ascii="Arial" w:cs="Arial" w:eastAsia="Arial" w:hAnsi="Arial"/>
          <w:sz w:val="17"/>
          <w:szCs w:val="17"/>
          <w:i w:val="1"/>
          <w:iCs w:val="1"/>
          <w:u w:val="single" w:color="auto"/>
          <w:color w:val="auto"/>
        </w:rPr>
        <w:t>Revolving Loan Maturity Date</w:t>
      </w:r>
      <w:r>
        <w:rPr>
          <w:rFonts w:ascii="Arial" w:cs="Arial" w:eastAsia="Arial" w:hAnsi="Arial"/>
          <w:sz w:val="17"/>
          <w:szCs w:val="17"/>
          <w:i w:val="1"/>
          <w:iCs w:val="1"/>
          <w:color w:val="auto"/>
        </w:rPr>
        <w:t xml:space="preserve">”), such loans as Borrower may request under this </w:t>
      </w:r>
      <w:r>
        <w:rPr>
          <w:rFonts w:ascii="Arial" w:cs="Arial" w:eastAsia="Arial" w:hAnsi="Arial"/>
          <w:sz w:val="17"/>
          <w:szCs w:val="17"/>
          <w:i w:val="1"/>
          <w:iCs w:val="1"/>
          <w:u w:val="single" w:color="auto"/>
          <w:color w:val="auto"/>
        </w:rPr>
        <w:t>Section 2.01</w:t>
      </w:r>
      <w:r>
        <w:rPr>
          <w:rFonts w:ascii="Arial" w:cs="Arial" w:eastAsia="Arial" w:hAnsi="Arial"/>
          <w:sz w:val="17"/>
          <w:szCs w:val="17"/>
          <w:i w:val="1"/>
          <w:iCs w:val="1"/>
          <w:color w:val="auto"/>
        </w:rPr>
        <w:t xml:space="preserve"> (individually, a “</w:t>
      </w:r>
      <w:r>
        <w:rPr>
          <w:rFonts w:ascii="Arial" w:cs="Arial" w:eastAsia="Arial" w:hAnsi="Arial"/>
          <w:sz w:val="17"/>
          <w:szCs w:val="17"/>
          <w:i w:val="1"/>
          <w:iCs w:val="1"/>
          <w:u w:val="single" w:color="auto"/>
          <w:color w:val="auto"/>
        </w:rPr>
        <w:t>Revolving Loan</w:t>
      </w:r>
      <w:r>
        <w:rPr>
          <w:rFonts w:ascii="Arial" w:cs="Arial" w:eastAsia="Arial" w:hAnsi="Arial"/>
          <w:sz w:val="17"/>
          <w:szCs w:val="17"/>
          <w:i w:val="1"/>
          <w:iCs w:val="1"/>
          <w:color w:val="auto"/>
        </w:rPr>
        <w:t>”); provided, however, that the aggregate principal amount of all Revolving Loans outstanding at any time shall not exceed the Commitment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0" w:hanging="695"/>
        <w:spacing w:after="0"/>
        <w:tabs>
          <w:tab w:leader="none" w:pos="20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Most Favored Customer Pricing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80" w:hanging="805"/>
        <w:spacing w:after="0"/>
        <w:tabs>
          <w:tab w:leader="none" w:pos="2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following sentence is added to the end of Section 2.01(c) of the Credit Agreement:</w:t>
      </w:r>
    </w:p>
    <w:p>
      <w:pPr>
        <w:spacing w:after="0" w:line="225" w:lineRule="exact"/>
        <w:rPr>
          <w:sz w:val="20"/>
          <w:szCs w:val="20"/>
          <w:color w:val="auto"/>
        </w:rPr>
      </w:pPr>
    </w:p>
    <w:p>
      <w:pPr>
        <w:ind w:left="1880" w:right="520"/>
        <w:spacing w:after="0" w:line="286" w:lineRule="auto"/>
        <w:rPr>
          <w:sz w:val="20"/>
          <w:szCs w:val="20"/>
          <w:color w:val="auto"/>
        </w:rPr>
      </w:pPr>
      <w:r>
        <w:rPr>
          <w:rFonts w:ascii="Arial" w:cs="Arial" w:eastAsia="Arial" w:hAnsi="Arial"/>
          <w:sz w:val="17"/>
          <w:szCs w:val="17"/>
          <w:i w:val="1"/>
          <w:iCs w:val="1"/>
          <w:color w:val="auto"/>
        </w:rPr>
        <w:t>“If Lender desires to decrease the TCFIF Rate in order to comply with the requirements of Section 2.8(b) of the Joint Venture Agreement, such decrease shall be effective as of the date TCFIF or an Affiliate of TCFIF provides financing of the nature described in such Section 2.8(b) at a non-default interest rate lower than the TCFIF Rate then in effect.”</w:t>
      </w:r>
    </w:p>
    <w:p>
      <w:pPr>
        <w:spacing w:after="0" w:line="166" w:lineRule="exact"/>
        <w:rPr>
          <w:sz w:val="20"/>
          <w:szCs w:val="20"/>
          <w:color w:val="auto"/>
        </w:rPr>
      </w:pPr>
    </w:p>
    <w:p>
      <w:pPr>
        <w:ind w:left="2680" w:hanging="805"/>
        <w:spacing w:after="0"/>
        <w:tabs>
          <w:tab w:leader="none" w:pos="2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defined term “</w:t>
      </w:r>
      <w:r>
        <w:rPr>
          <w:rFonts w:ascii="Arial" w:cs="Arial" w:eastAsia="Arial" w:hAnsi="Arial"/>
          <w:sz w:val="16"/>
          <w:szCs w:val="16"/>
          <w:u w:val="single" w:color="auto"/>
          <w:color w:val="auto"/>
        </w:rPr>
        <w:t>TCFIF Rate</w:t>
      </w:r>
      <w:r>
        <w:rPr>
          <w:rFonts w:ascii="Arial" w:cs="Arial" w:eastAsia="Arial" w:hAnsi="Arial"/>
          <w:sz w:val="16"/>
          <w:szCs w:val="16"/>
          <w:color w:val="auto"/>
        </w:rPr>
        <w:t>” in Schedule 1.01 of the Credit Agreement is amended and restated in its entirety to read</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07" w:lineRule="exact"/>
        <w:rPr>
          <w:sz w:val="20"/>
          <w:szCs w:val="20"/>
          <w:color w:val="auto"/>
        </w:rPr>
      </w:pPr>
    </w:p>
    <w:p>
      <w:pPr>
        <w:ind w:left="660" w:right="32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TCFIF Rate</w:t>
      </w:r>
      <w:r>
        <w:rPr>
          <w:rFonts w:ascii="Arial" w:cs="Arial" w:eastAsia="Arial" w:hAnsi="Arial"/>
          <w:sz w:val="18"/>
          <w:szCs w:val="18"/>
          <w:i w:val="1"/>
          <w:iCs w:val="1"/>
          <w:color w:val="auto"/>
        </w:rPr>
        <w:t xml:space="preserve">” shall mean XXXXXXXXX, as such rate may be reduced pursuant to </w:t>
      </w:r>
      <w:r>
        <w:rPr>
          <w:rFonts w:ascii="Arial" w:cs="Arial" w:eastAsia="Arial" w:hAnsi="Arial"/>
          <w:sz w:val="18"/>
          <w:szCs w:val="18"/>
          <w:i w:val="1"/>
          <w:iCs w:val="1"/>
          <w:u w:val="single" w:color="auto"/>
          <w:color w:val="auto"/>
        </w:rPr>
        <w:t>Section 2.01(c)</w:t>
      </w:r>
      <w:r>
        <w:rPr>
          <w:rFonts w:ascii="Arial" w:cs="Arial" w:eastAsia="Arial" w:hAnsi="Arial"/>
          <w:sz w:val="18"/>
          <w:szCs w:val="18"/>
          <w:i w:val="1"/>
          <w:iCs w:val="1"/>
          <w:color w:val="auto"/>
        </w:rPr>
        <w:t>.”</w:t>
      </w:r>
    </w:p>
    <w:p>
      <w:pPr>
        <w:spacing w:after="0" w:line="225" w:lineRule="exact"/>
        <w:rPr>
          <w:sz w:val="20"/>
          <w:szCs w:val="20"/>
          <w:color w:val="auto"/>
        </w:rPr>
      </w:pPr>
    </w:p>
    <w:p>
      <w:pPr>
        <w:ind w:left="2000" w:hanging="695"/>
        <w:spacing w:after="0"/>
        <w:tabs>
          <w:tab w:leader="none" w:pos="20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Change of Illinois Office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Section 4.01(q) of the Credit Agreement is amended and restated in its entirety to read as follows:</w:t>
      </w:r>
    </w:p>
    <w:p>
      <w:pPr>
        <w:spacing w:after="0" w:line="225" w:lineRule="exact"/>
        <w:rPr>
          <w:sz w:val="20"/>
          <w:szCs w:val="20"/>
          <w:color w:val="auto"/>
        </w:rPr>
      </w:pPr>
    </w:p>
    <w:p>
      <w:pPr>
        <w:ind w:left="1960" w:right="20"/>
        <w:spacing w:after="0" w:line="264" w:lineRule="auto"/>
        <w:rPr>
          <w:sz w:val="20"/>
          <w:szCs w:val="20"/>
          <w:color w:val="auto"/>
        </w:rPr>
      </w:pPr>
      <w:r>
        <w:rPr>
          <w:rFonts w:ascii="Arial" w:cs="Arial" w:eastAsia="Arial" w:hAnsi="Arial"/>
          <w:sz w:val="18"/>
          <w:szCs w:val="18"/>
          <w:i w:val="1"/>
          <w:iCs w:val="1"/>
          <w:color w:val="auto"/>
        </w:rPr>
        <w:t xml:space="preserve">“(q) </w:t>
      </w:r>
      <w:r>
        <w:rPr>
          <w:rFonts w:ascii="Arial" w:cs="Arial" w:eastAsia="Arial" w:hAnsi="Arial"/>
          <w:sz w:val="18"/>
          <w:szCs w:val="18"/>
          <w:i w:val="1"/>
          <w:iCs w:val="1"/>
          <w:u w:val="single" w:color="auto"/>
          <w:color w:val="auto"/>
        </w:rPr>
        <w:t>Records Regarding Collateral</w:t>
      </w:r>
      <w:r>
        <w:rPr>
          <w:rFonts w:ascii="Arial" w:cs="Arial" w:eastAsia="Arial" w:hAnsi="Arial"/>
          <w:sz w:val="18"/>
          <w:szCs w:val="18"/>
          <w:i w:val="1"/>
          <w:iCs w:val="1"/>
          <w:color w:val="auto"/>
        </w:rPr>
        <w:t>. Borrower keeps and maintains its books and records regarding its accounts and chattel paper at its chief executive office in Schaumburg, Illinois or at its office in Bloomington, Minnesota. The only locations at which any Collateral is located are at its offices in Bloomington, Minnesota and Schaumburg, Illinois.”</w:t>
      </w:r>
    </w:p>
    <w:p>
      <w:pPr>
        <w:spacing w:after="0" w:line="181" w:lineRule="exact"/>
        <w:rPr>
          <w:sz w:val="20"/>
          <w:szCs w:val="20"/>
          <w:color w:val="auto"/>
        </w:rPr>
      </w:pPr>
    </w:p>
    <w:p>
      <w:pPr>
        <w:ind w:left="2660" w:hanging="707"/>
        <w:spacing w:after="0"/>
        <w:tabs>
          <w:tab w:leader="none" w:pos="2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5.01(f)(iv) of the Credit Agreement is amended and restated in its entirety to read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“(iv) maintain its chief executive office and principal place of business in Schaumburg, Illinois.”</w:t>
      </w:r>
    </w:p>
    <w:p>
      <w:pPr>
        <w:spacing w:after="0" w:line="225" w:lineRule="exact"/>
        <w:rPr>
          <w:sz w:val="20"/>
          <w:szCs w:val="20"/>
          <w:color w:val="auto"/>
        </w:rPr>
      </w:pPr>
    </w:p>
    <w:p>
      <w:pPr>
        <w:ind w:right="60" w:firstLine="656"/>
        <w:spacing w:after="0" w:line="259" w:lineRule="auto"/>
        <w:tabs>
          <w:tab w:leader="none" w:pos="136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Affirmation of Credit Agreement; Further References</w:t>
      </w:r>
      <w:r>
        <w:rPr>
          <w:rFonts w:ascii="Arial" w:cs="Arial" w:eastAsia="Arial" w:hAnsi="Arial"/>
          <w:sz w:val="18"/>
          <w:szCs w:val="18"/>
          <w:color w:val="auto"/>
        </w:rPr>
        <w:t>. The parties hereto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(including references</w:t>
      </w:r>
    </w:p>
    <w:p>
      <w:pPr>
        <w:sectPr>
          <w:pgSz w:w="11900" w:h="16838" w:orient="portrait"/>
          <w:cols w:equalWidth="0" w:num="1">
            <w:col w:w="11420"/>
          </w:cols>
          <w:pgMar w:left="240" w:top="121" w:right="239" w:bottom="111"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in the Credit Agreement to the terms thereof) are hereby amended to refer to the Credit Agreement as amended by this Amendment.</w:t>
      </w:r>
    </w:p>
    <w:p>
      <w:pPr>
        <w:spacing w:after="0" w:line="225" w:lineRule="exact"/>
        <w:rPr>
          <w:sz w:val="20"/>
          <w:szCs w:val="20"/>
          <w:color w:val="auto"/>
        </w:rPr>
      </w:pPr>
    </w:p>
    <w:p>
      <w:pPr>
        <w:jc w:val="both"/>
        <w:ind w:right="140" w:firstLine="656"/>
        <w:spacing w:after="0" w:line="259" w:lineRule="auto"/>
        <w:tabs>
          <w:tab w:leader="none" w:pos="13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hereto with respect to this Amendment, the subject matter hereof, and the rights, interests, understandings, agreements and obligations of the parties hereto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36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Amendment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RED IRON ACCEPTANCE, LLC</w:t>
      </w:r>
    </w:p>
    <w:p>
      <w:pPr>
        <w:spacing w:after="0" w:line="200" w:lineRule="exact"/>
        <w:rPr>
          <w:sz w:val="20"/>
          <w:szCs w:val="20"/>
          <w:color w:val="auto"/>
        </w:rPr>
      </w:pPr>
    </w:p>
    <w:p>
      <w:pPr>
        <w:spacing w:after="0" w:line="241" w:lineRule="exact"/>
        <w:rPr>
          <w:sz w:val="20"/>
          <w:szCs w:val="20"/>
          <w:color w:val="auto"/>
        </w:rPr>
      </w:pPr>
    </w:p>
    <w:p>
      <w:pPr>
        <w:ind w:left="5840"/>
        <w:spacing w:after="0"/>
        <w:tabs>
          <w:tab w:leader="none" w:pos="6340" w:val="left"/>
        </w:tabs>
        <w:rPr>
          <w:sz w:val="20"/>
          <w:szCs w:val="20"/>
          <w:color w:val="auto"/>
        </w:rPr>
      </w:pPr>
      <w:r>
        <w:rPr>
          <w:rFonts w:ascii="Arial" w:cs="Arial" w:eastAsia="Arial" w:hAnsi="Arial"/>
          <w:sz w:val="18"/>
          <w:szCs w:val="18"/>
          <w:color w:val="auto"/>
        </w:rPr>
        <w:t>By:</w:t>
        <w:tab/>
        <w:t>/s/ Mark J. Wrend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J.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TCF INVENTORY FINANCE, INC.</w:t>
      </w:r>
    </w:p>
    <w:p>
      <w:pPr>
        <w:spacing w:after="0" w:line="200" w:lineRule="exact"/>
        <w:rPr>
          <w:sz w:val="20"/>
          <w:szCs w:val="20"/>
          <w:color w:val="auto"/>
        </w:rPr>
      </w:pPr>
    </w:p>
    <w:p>
      <w:pPr>
        <w:spacing w:after="0" w:line="241" w:lineRule="exact"/>
        <w:rPr>
          <w:sz w:val="20"/>
          <w:szCs w:val="20"/>
          <w:color w:val="auto"/>
        </w:rPr>
      </w:pPr>
    </w:p>
    <w:p>
      <w:pPr>
        <w:ind w:left="5840"/>
        <w:spacing w:after="0"/>
        <w:tabs>
          <w:tab w:leader="none" w:pos="6340" w:val="left"/>
        </w:tabs>
        <w:rPr>
          <w:sz w:val="20"/>
          <w:szCs w:val="20"/>
          <w:color w:val="auto"/>
        </w:rPr>
      </w:pPr>
      <w:r>
        <w:rPr>
          <w:rFonts w:ascii="Arial" w:cs="Arial" w:eastAsia="Arial" w:hAnsi="Arial"/>
          <w:sz w:val="18"/>
          <w:szCs w:val="18"/>
          <w:color w:val="auto"/>
        </w:rPr>
        <w:t>By:</w:t>
        <w:tab/>
        <w:t>/s/ Rosario A. Perrelli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Its: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First Amendment to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May 4, 2012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2012</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32"/>
    </w:lvl>
  </w:abstractNum>
  <w:abstractNum w:abstractNumId="7">
    <w:nsid w:val="7C3DBD3D"/>
    <w:multiLevelType w:val="hybridMultilevel"/>
    <w:lvl w:ilvl="0">
      <w:lvlJc w:val="left"/>
      <w:lvlText w:val="%1"/>
      <w:numFmt w:val="decimal"/>
      <w:start w:val="10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upperLetter"/>
      <w:start w:val="1"/>
    </w:lvl>
  </w:abstractNum>
  <w:abstractNum w:abstractNumId="11">
    <w:nsid w:val="4516DDE9"/>
    <w:multiLevelType w:val="hybridMultilevel"/>
    <w:lvl w:ilvl="0">
      <w:lvlJc w:val="left"/>
      <w:lvlText w:val="%1."/>
      <w:numFmt w:val="decimal"/>
      <w:start w:val="1"/>
    </w:lvl>
    <w:lvl w:ilvl="1">
      <w:lvlJc w:val="left"/>
      <w:lvlText w:val="(%2)"/>
      <w:numFmt w:val="lowerLetter"/>
      <w:start w:val="1"/>
    </w:lvl>
  </w:abstractNum>
  <w:abstractNum w:abstractNumId="12">
    <w:nsid w:val="3006C83E"/>
    <w:multiLevelType w:val="hybridMultilevel"/>
    <w:lvl w:ilvl="0">
      <w:lvlJc w:val="left"/>
      <w:lvlText w:val="(%1)"/>
      <w:numFmt w:val="lowerRoman"/>
      <w:start w:val="1"/>
    </w:lvl>
  </w:abstractNum>
  <w:abstractNum w:abstractNumId="13">
    <w:nsid w:val="614FD4A1"/>
    <w:multiLevelType w:val="hybridMultilevel"/>
    <w:lvl w:ilvl="0">
      <w:lvlJc w:val="left"/>
      <w:lvlText w:val="%1"/>
      <w:numFmt w:val="lowerLetter"/>
      <w:start w:val="1"/>
    </w:lvl>
    <w:lvl w:ilvl="1">
      <w:lvlJc w:val="left"/>
      <w:lvlText w:val="(%2)"/>
      <w:numFmt w:val="lowerLetter"/>
      <w:start w:val="35"/>
    </w:lvl>
  </w:abstractNum>
  <w:abstractNum w:abstractNumId="14">
    <w:nsid w:val="419AC241"/>
    <w:multiLevelType w:val="hybridMultilevel"/>
    <w:lvl w:ilvl="0">
      <w:lvlJc w:val="left"/>
      <w:lvlText w:val="(%1)"/>
      <w:numFmt w:val="lowerLetter"/>
      <w:start w:val="2"/>
    </w:lvl>
    <w:lvl w:ilvl="1">
      <w:lvlJc w:val="left"/>
      <w:lvlText w:val="%2"/>
      <w:numFmt w:val="lowerLetter"/>
      <w:start w:val="1"/>
    </w:lvl>
  </w:abstractNum>
  <w:abstractNum w:abstractNumId="15">
    <w:nsid w:val="5577F8E1"/>
    <w:multiLevelType w:val="hybridMultilevel"/>
    <w:lvl w:ilvl="0">
      <w:lvlJc w:val="left"/>
      <w:lvlText w:val="(%1)"/>
      <w:numFmt w:val="lowerLetter"/>
      <w:start w:val="3"/>
    </w:lvl>
  </w:abstractNum>
  <w:abstractNum w:abstractNumId="16">
    <w:nsid w:val="440BADFC"/>
    <w:multiLevelType w:val="hybridMultilevel"/>
    <w:lvl w:ilvl="0">
      <w:lvlJc w:val="left"/>
      <w:lvlText w:val="(%1)"/>
      <w:numFmt w:val="lowerLetter"/>
      <w:start w:val="4"/>
    </w:lvl>
  </w:abstractNum>
  <w:abstractNum w:abstractNumId="17">
    <w:nsid w:val="5072367"/>
    <w:multiLevelType w:val="hybridMultilevel"/>
    <w:lvl w:ilvl="0">
      <w:lvlJc w:val="left"/>
      <w:lvlText w:val="(%1)"/>
      <w:numFmt w:val="lowerRoman"/>
      <w:start w:val="1"/>
    </w:lvl>
  </w:abstractNum>
  <w:abstractNum w:abstractNumId="18">
    <w:nsid w:val="3804823E"/>
    <w:multiLevelType w:val="hybridMultilevel"/>
    <w:lvl w:ilvl="0">
      <w:lvlJc w:val="left"/>
      <w:lvlText w:val="(%1)"/>
      <w:numFmt w:val="lowerRoman"/>
      <w:start w:val="2"/>
    </w:lvl>
  </w:abstractNum>
  <w:abstractNum w:abstractNumId="19">
    <w:nsid w:val="77465F01"/>
    <w:multiLevelType w:val="hybridMultilevel"/>
    <w:lvl w:ilvl="0">
      <w:lvlJc w:val="left"/>
      <w:lvlText w:val="%1."/>
      <w:numFmt w:val="decimal"/>
      <w:start w:val="2"/>
    </w:lvl>
  </w:abstractNum>
  <w:abstractNum w:abstractNumId="20">
    <w:nsid w:val="7724C67E"/>
    <w:multiLevelType w:val="hybridMultilevel"/>
    <w:lvl w:ilvl="0">
      <w:lvlJc w:val="left"/>
      <w:lvlText w:val="%1."/>
      <w:numFmt w:val="upperLetter"/>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2"/>
    </w:lvl>
  </w:abstractNum>
  <w:abstractNum w:abstractNumId="24">
    <w:nsid w:val="51EAD36B"/>
    <w:multiLevelType w:val="hybridMultilevel"/>
    <w:lvl w:ilvl="0">
      <w:lvlJc w:val="left"/>
      <w:lvlText w:val="(%1)"/>
      <w:numFmt w:val="lowerLetter"/>
      <w:start w:val="3"/>
    </w:lvl>
    <w:lvl w:ilvl="1">
      <w:lvlJc w:val="left"/>
      <w:lvlText w:val="(%2)"/>
      <w:numFmt w:val="lowerLetter"/>
      <w:start w:val="9"/>
    </w:lvl>
  </w:abstractNum>
  <w:abstractNum w:abstractNumId="25">
    <w:nsid w:val="2D517796"/>
    <w:multiLevelType w:val="hybridMultilevel"/>
    <w:lvl w:ilvl="0">
      <w:lvlJc w:val="left"/>
      <w:lvlText w:val="(%1)"/>
      <w:numFmt w:val="lowerRoman"/>
      <w:start w:val="2"/>
    </w:lvl>
  </w:abstractNum>
  <w:abstractNum w:abstractNumId="26">
    <w:nsid w:val="580BD78F"/>
    <w:multiLevelType w:val="hybridMultilevel"/>
    <w:lvl w:ilvl="0">
      <w:lvlJc w:val="left"/>
      <w:lvlText w:val="(%1)"/>
      <w:numFmt w:val="lowerLetter"/>
      <w:start w:val="4"/>
    </w:lvl>
  </w:abstractNum>
  <w:abstractNum w:abstractNumId="27">
    <w:nsid w:val="153EA438"/>
    <w:multiLevelType w:val="hybridMultilevel"/>
    <w:lvl w:ilvl="0">
      <w:lvlJc w:val="left"/>
      <w:lvlText w:val="(%1)"/>
      <w:numFmt w:val="lowerRoman"/>
      <w:start w:val="1"/>
    </w:lvl>
  </w:abstractNum>
  <w:abstractNum w:abstractNumId="28">
    <w:nsid w:val="3855585C"/>
    <w:multiLevelType w:val="hybridMultilevel"/>
    <w:lvl w:ilvl="0">
      <w:lvlJc w:val="left"/>
      <w:lvlText w:val="(%1)"/>
      <w:numFmt w:val="lowerRoman"/>
      <w:start w:val="2"/>
    </w:lvl>
  </w:abstractNum>
  <w:abstractNum w:abstractNumId="29">
    <w:nsid w:val="70A64E2A"/>
    <w:multiLevelType w:val="hybridMultilevel"/>
    <w:lvl w:ilvl="0">
      <w:lvlJc w:val="left"/>
      <w:lvlText w:val="(%1)"/>
      <w:numFmt w:val="lowerLetter"/>
      <w:start w:val="5"/>
    </w:lvl>
  </w:abstractNum>
  <w:abstractNum w:abstractNumId="30">
    <w:nsid w:val="6A2342EC"/>
    <w:multiLevelType w:val="hybridMultilevel"/>
    <w:lvl w:ilvl="0">
      <w:lvlJc w:val="left"/>
      <w:lvlText w:val="(%1)"/>
      <w:numFmt w:val="lowerRoman"/>
      <w:start w:val="1"/>
    </w:lvl>
  </w:abstractNum>
  <w:abstractNum w:abstractNumId="31">
    <w:nsid w:val="2A487CB0"/>
    <w:multiLevelType w:val="hybridMultilevel"/>
    <w:lvl w:ilvl="0">
      <w:lvlJc w:val="left"/>
      <w:lvlText w:val="(%1)"/>
      <w:numFmt w:val="upperLetter"/>
      <w:start w:val="2"/>
    </w:lvl>
  </w:abstractNum>
  <w:abstractNum w:abstractNumId="32">
    <w:nsid w:val="1D4ED43B"/>
    <w:multiLevelType w:val="hybridMultilevel"/>
    <w:lvl w:ilvl="0">
      <w:lvlJc w:val="left"/>
      <w:lvlText w:val="(%1)"/>
      <w:numFmt w:val="lowerRoman"/>
      <w:start w:val="2"/>
    </w:lvl>
  </w:abstractNum>
  <w:abstractNum w:abstractNumId="33">
    <w:nsid w:val="725A06FB"/>
    <w:multiLevelType w:val="hybridMultilevel"/>
    <w:lvl w:ilvl="0">
      <w:lvlJc w:val="left"/>
      <w:lvlText w:val="(%1)"/>
      <w:numFmt w:val="lowerLetter"/>
      <w:start w:val="6"/>
    </w:lvl>
  </w:abstractNum>
  <w:abstractNum w:abstractNumId="34">
    <w:nsid w:val="2CD89A32"/>
    <w:multiLevelType w:val="hybridMultilevel"/>
    <w:lvl w:ilvl="0">
      <w:lvlJc w:val="left"/>
      <w:lvlText w:val="(%1)"/>
      <w:numFmt w:val="lowerLetter"/>
      <w:start w:val="7"/>
    </w:lvl>
  </w:abstractNum>
  <w:abstractNum w:abstractNumId="35">
    <w:nsid w:val="57E4CCAF"/>
    <w:multiLevelType w:val="hybridMultilevel"/>
    <w:lvl w:ilvl="0">
      <w:lvlJc w:val="left"/>
      <w:lvlText w:val="(%1)"/>
      <w:numFmt w:val="lowerLetter"/>
      <w:start w:val="8"/>
    </w:lvl>
  </w:abstractNum>
  <w:abstractNum w:abstractNumId="36">
    <w:nsid w:val="7A6D8D3C"/>
    <w:multiLevelType w:val="hybridMultilevel"/>
    <w:lvl w:ilvl="0">
      <w:lvlJc w:val="left"/>
      <w:lvlText w:val="(%1)"/>
      <w:numFmt w:val="lowerRoman"/>
      <w:start w:val="1"/>
    </w:lvl>
  </w:abstractNum>
  <w:abstractNum w:abstractNumId="37">
    <w:nsid w:val="4B588F54"/>
    <w:multiLevelType w:val="hybridMultilevel"/>
    <w:lvl w:ilvl="0">
      <w:lvlJc w:val="left"/>
      <w:lvlText w:val="%1"/>
      <w:numFmt w:val="decimal"/>
      <w:start w:val="1"/>
    </w:lvl>
    <w:lvl w:ilvl="1">
      <w:lvlJc w:val="left"/>
      <w:lvlText w:val="(%2)"/>
      <w:numFmt w:val="lowerRoman"/>
      <w:start w:val="2"/>
    </w:lvl>
  </w:abstractNum>
  <w:abstractNum w:abstractNumId="38">
    <w:nsid w:val="542289EC"/>
    <w:multiLevelType w:val="hybridMultilevel"/>
    <w:lvl w:ilvl="0">
      <w:lvlJc w:val="left"/>
      <w:lvlText w:val="%1."/>
      <w:numFmt w:val="decimal"/>
      <w:start w:val="2"/>
    </w:lvl>
    <w:lvl w:ilvl="1">
      <w:lvlJc w:val="left"/>
      <w:lvlText w:val="%2"/>
      <w:numFmt w:val="lowerRoman"/>
      <w:start w:val="1"/>
    </w:lvl>
  </w:abstractNum>
  <w:abstractNum w:abstractNumId="39">
    <w:nsid w:val="6DE91B18"/>
    <w:multiLevelType w:val="hybridMultilevel"/>
    <w:lvl w:ilvl="0">
      <w:lvlJc w:val="left"/>
      <w:lvlText w:val="%1."/>
      <w:numFmt w:val="upperLetter"/>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decimal"/>
      <w:start w:val="3"/>
    </w:lvl>
  </w:abstractNum>
  <w:abstractNum w:abstractNumId="43">
    <w:nsid w:val="684A481A"/>
    <w:multiLevelType w:val="hybridMultilevel"/>
    <w:lvl w:ilvl="0">
      <w:lvlJc w:val="left"/>
      <w:lvlText w:val="%1."/>
      <w:numFmt w:val="upperLetter"/>
      <w:start w:val="1"/>
    </w:lvl>
  </w:abstractNum>
  <w:abstractNum w:abstractNumId="44">
    <w:nsid w:val="579478FE"/>
    <w:multiLevelType w:val="hybridMultilevel"/>
    <w:lvl w:ilvl="0">
      <w:lvlJc w:val="left"/>
      <w:lvlText w:val="%1."/>
      <w:numFmt w:val="decimal"/>
      <w:start w:val="1"/>
    </w:lvl>
    <w:lvl w:ilvl="1">
      <w:lvlJc w:val="left"/>
      <w:lvlText w:val="(%2)"/>
      <w:numFmt w:val="lowerLetter"/>
      <w:start w:val="1"/>
    </w:lvl>
  </w:abstractNum>
  <w:abstractNum w:abstractNumId="45">
    <w:nsid w:val="749ABB43"/>
    <w:multiLevelType w:val="hybridMultilevel"/>
    <w:lvl w:ilvl="0">
      <w:lvlJc w:val="left"/>
      <w:lvlText w:val="(%1)"/>
      <w:numFmt w:val="lowerLetter"/>
      <w:start w:val="2"/>
    </w:lvl>
    <w:lvl w:ilvl="1">
      <w:lvlJc w:val="left"/>
      <w:lvlText w:val="(%2)"/>
      <w:numFmt w:val="lowerLetter"/>
      <w:start w:val="9"/>
    </w:lvl>
  </w:abstractNum>
  <w:abstractNum w:abstractNumId="46">
    <w:nsid w:val="3DC240FB"/>
    <w:multiLevelType w:val="hybridMultilevel"/>
    <w:lvl w:ilvl="0">
      <w:lvlJc w:val="left"/>
      <w:lvlText w:val="(%1)"/>
      <w:numFmt w:val="lowerRoman"/>
      <w:start w:val="2"/>
    </w:lvl>
  </w:abstractNum>
  <w:abstractNum w:abstractNumId="47">
    <w:nsid w:val="1BA026FA"/>
    <w:multiLevelType w:val="hybridMultilevel"/>
    <w:lvl w:ilvl="0">
      <w:lvlJc w:val="left"/>
      <w:lvlText w:val="(%1)"/>
      <w:numFmt w:val="lowerLetter"/>
      <w:start w:val="3"/>
    </w:lvl>
    <w:lvl w:ilvl="1">
      <w:lvlJc w:val="left"/>
      <w:lvlText w:val="(%2)"/>
      <w:numFmt w:val="lowerLetter"/>
      <w:start w:val="9"/>
    </w:lvl>
  </w:abstractNum>
  <w:abstractNum w:abstractNumId="48">
    <w:nsid w:val="79A1DEAA"/>
    <w:multiLevelType w:val="hybridMultilevel"/>
    <w:lvl w:ilvl="0">
      <w:lvlJc w:val="left"/>
      <w:lvlText w:val="(%1)"/>
      <w:numFmt w:val="lowerRoman"/>
      <w:start w:val="2"/>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1."/>
      <w:numFmt w:val="decimal"/>
      <w:start w:val="3"/>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2019-12-09T09:14:39Z</dcterms:created>
  <dcterms:modified xsi:type="dcterms:W3CDTF">2019-12-09T09:14:39Z</dcterms:modified>
</cp:coreProperties>
</file>