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PETERSON RENEE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VP, Treasurer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09/22/2017</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jc w:val="right"/>
              <w:ind w:right="112"/>
              <w:spacing w:after="0"/>
              <w:rPr>
                <w:sz w:val="20"/>
                <w:szCs w:val="20"/>
                <w:color w:val="auto"/>
              </w:rPr>
            </w:pPr>
            <w:r>
              <w:rPr>
                <w:rFonts w:ascii="Arial" w:cs="Arial" w:eastAsia="Arial" w:hAnsi="Arial"/>
                <w:sz w:val="18"/>
                <w:szCs w:val="18"/>
                <w:color w:val="0000FF"/>
              </w:rPr>
              <w:t>277</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6"/>
              </w:rPr>
              <w:t>54,485.344</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09/28/2017</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jc w:val="right"/>
              <w:ind w:right="172"/>
              <w:spacing w:after="0"/>
              <w:rPr>
                <w:sz w:val="20"/>
                <w:szCs w:val="20"/>
                <w:color w:val="auto"/>
              </w:rPr>
            </w:pPr>
            <w:r>
              <w:rPr>
                <w:rFonts w:ascii="Arial" w:cs="Arial" w:eastAsia="Arial" w:hAnsi="Arial"/>
                <w:sz w:val="18"/>
                <w:szCs w:val="18"/>
                <w:color w:val="0000FF"/>
              </w:rPr>
              <w:t>13</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6"/>
              </w:rPr>
              <w:t>54,472.344</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570.967</w:t>
            </w:r>
            <w:r>
              <w:rPr>
                <w:rFonts w:ascii="Arial" w:cs="Arial" w:eastAsia="Arial" w:hAnsi="Arial"/>
                <w:sz w:val="22"/>
                <w:szCs w:val="22"/>
                <w:color w:val="008000"/>
                <w:w w:val="84"/>
                <w:vertAlign w:val="superscript"/>
              </w:rPr>
              <w:t>(1)</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65,862.067</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her last report: 4.487 net shares acquired under the dividend reinvestment feature of The Toro Company Investment, Savings &amp; ESOP (the "IS&amp;ESOP") less quarterly non-discretionary administrative fees; and 65.429 shares acquired through issuer annual investment fund contributions to the IS&amp;ESOP.</w:t>
      </w: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548.323 performance share units acquired by the reporting person since the date of her last report under the dividend reinvestment feature of The Toro Company Deferred Compensation Plan for Officers.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09/29/2017</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2019-12-23T21:09:06Z</dcterms:created>
  <dcterms:modified xsi:type="dcterms:W3CDTF">2019-12-23T21:09:06Z</dcterms:modified>
</cp:coreProperties>
</file>