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77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773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62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Rodier Richard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09/10/2019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Group VP, Construction Bus.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621"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621"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4"/>
                <w:szCs w:val="14"/>
                <w:color w:val="auto"/>
              </w:rPr>
            </w:pP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jc w:val="right"/>
              <w:ind w:right="178"/>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560"/>
              <w:spacing w:after="0"/>
              <w:rPr>
                <w:sz w:val="20"/>
                <w:szCs w:val="20"/>
                <w:color w:val="auto"/>
              </w:rPr>
            </w:pPr>
            <w:r>
              <w:rPr>
                <w:rFonts w:ascii="Arial" w:cs="Arial" w:eastAsia="Arial" w:hAnsi="Arial"/>
                <w:sz w:val="18"/>
                <w:szCs w:val="18"/>
                <w:color w:val="0000FF"/>
              </w:rPr>
              <w:t>09/10/2019</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ind w:left="200"/>
              <w:spacing w:after="0"/>
              <w:rPr>
                <w:sz w:val="20"/>
                <w:szCs w:val="20"/>
                <w:color w:val="auto"/>
              </w:rPr>
            </w:pPr>
            <w:r>
              <w:rPr>
                <w:rFonts w:ascii="Arial" w:cs="Arial" w:eastAsia="Arial" w:hAnsi="Arial"/>
                <w:sz w:val="14"/>
                <w:szCs w:val="14"/>
                <w:color w:val="0000FF"/>
              </w:rPr>
              <w:t>G</w:t>
            </w:r>
          </w:p>
        </w:tc>
        <w:tc>
          <w:tcPr>
            <w:tcW w:w="440" w:type="dxa"/>
            <w:vAlign w:val="bottom"/>
          </w:tcPr>
          <w:p>
            <w:pPr>
              <w:jc w:val="right"/>
              <w:ind w:right="98"/>
              <w:spacing w:after="0"/>
              <w:rPr>
                <w:sz w:val="20"/>
                <w:szCs w:val="20"/>
                <w:color w:val="auto"/>
              </w:rPr>
            </w:pPr>
            <w:r>
              <w:rPr>
                <w:rFonts w:ascii="Arial" w:cs="Arial" w:eastAsia="Arial" w:hAnsi="Arial"/>
                <w:sz w:val="14"/>
                <w:szCs w:val="14"/>
                <w:color w:val="0000FF"/>
              </w:rPr>
              <w:t>V</w:t>
            </w:r>
          </w:p>
        </w:tc>
        <w:tc>
          <w:tcPr>
            <w:tcW w:w="780" w:type="dxa"/>
            <w:vAlign w:val="bottom"/>
          </w:tcPr>
          <w:p>
            <w:pPr>
              <w:jc w:val="right"/>
              <w:ind w:right="149"/>
              <w:spacing w:after="0"/>
              <w:rPr>
                <w:sz w:val="20"/>
                <w:szCs w:val="20"/>
                <w:color w:val="auto"/>
              </w:rPr>
            </w:pPr>
            <w:r>
              <w:rPr>
                <w:rFonts w:ascii="Arial" w:cs="Arial" w:eastAsia="Arial" w:hAnsi="Arial"/>
                <w:sz w:val="18"/>
                <w:szCs w:val="18"/>
                <w:color w:val="0000FF"/>
              </w:rPr>
              <w:t>2,100</w:t>
            </w:r>
          </w:p>
        </w:tc>
        <w:tc>
          <w:tcPr>
            <w:tcW w:w="520" w:type="dxa"/>
            <w:vAlign w:val="bottom"/>
          </w:tcPr>
          <w:p>
            <w:pPr>
              <w:ind w:left="180"/>
              <w:spacing w:after="0"/>
              <w:rPr>
                <w:sz w:val="20"/>
                <w:szCs w:val="20"/>
                <w:color w:val="auto"/>
              </w:rPr>
            </w:pPr>
            <w:r>
              <w:rPr>
                <w:rFonts w:ascii="Arial" w:cs="Arial" w:eastAsia="Arial" w:hAnsi="Arial"/>
                <w:sz w:val="18"/>
                <w:szCs w:val="18"/>
                <w:color w:val="0000FF"/>
              </w:rPr>
              <w:t>D</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22,295</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560"/>
              <w:spacing w:after="0"/>
              <w:rPr>
                <w:sz w:val="20"/>
                <w:szCs w:val="20"/>
                <w:color w:val="auto"/>
              </w:rPr>
            </w:pPr>
            <w:r>
              <w:rPr>
                <w:rFonts w:ascii="Arial" w:cs="Arial" w:eastAsia="Arial" w:hAnsi="Arial"/>
                <w:sz w:val="18"/>
                <w:szCs w:val="18"/>
                <w:color w:val="0000FF"/>
              </w:rPr>
              <w:t>09/10/2019</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ind w:left="18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23"/>
                <w:szCs w:val="23"/>
                <w:color w:val="auto"/>
              </w:rPr>
            </w:pPr>
          </w:p>
        </w:tc>
        <w:tc>
          <w:tcPr>
            <w:tcW w:w="780" w:type="dxa"/>
            <w:vAlign w:val="bottom"/>
          </w:tcPr>
          <w:p>
            <w:pPr>
              <w:jc w:val="right"/>
              <w:ind w:right="149"/>
              <w:spacing w:after="0"/>
              <w:rPr>
                <w:sz w:val="20"/>
                <w:szCs w:val="20"/>
                <w:color w:val="auto"/>
              </w:rPr>
            </w:pPr>
            <w:r>
              <w:rPr>
                <w:rFonts w:ascii="Arial" w:cs="Arial" w:eastAsia="Arial" w:hAnsi="Arial"/>
                <w:sz w:val="18"/>
                <w:szCs w:val="18"/>
                <w:color w:val="0000FF"/>
              </w:rPr>
              <w:t>3,000</w:t>
            </w:r>
          </w:p>
        </w:tc>
        <w:tc>
          <w:tcPr>
            <w:tcW w:w="520" w:type="dxa"/>
            <w:vAlign w:val="bottom"/>
          </w:tcPr>
          <w:p>
            <w:pPr>
              <w:ind w:left="180"/>
              <w:spacing w:after="0"/>
              <w:rPr>
                <w:sz w:val="20"/>
                <w:szCs w:val="20"/>
                <w:color w:val="auto"/>
              </w:rPr>
            </w:pPr>
            <w:r>
              <w:rPr>
                <w:rFonts w:ascii="Arial" w:cs="Arial" w:eastAsia="Arial" w:hAnsi="Arial"/>
                <w:sz w:val="18"/>
                <w:szCs w:val="18"/>
                <w:color w:val="0000FF"/>
              </w:rPr>
              <w:t>A</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15.88</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25,295</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09/10/2019</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3,000</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72.826</w:t>
            </w:r>
            <w:r>
              <w:rPr>
                <w:rFonts w:ascii="Arial" w:cs="Arial" w:eastAsia="Arial" w:hAnsi="Arial"/>
                <w:sz w:val="22"/>
                <w:szCs w:val="22"/>
                <w:color w:val="008000"/>
                <w:w w:val="86"/>
                <w:vertAlign w:val="superscript"/>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22,295</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3"/>
              </w:rPr>
              <w:t>2,714.768</w:t>
            </w:r>
            <w:r>
              <w:rPr>
                <w:rFonts w:ascii="Arial" w:cs="Arial" w:eastAsia="Arial" w:hAnsi="Arial"/>
                <w:sz w:val="22"/>
                <w:szCs w:val="22"/>
                <w:color w:val="008000"/>
                <w:w w:val="83"/>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4,822.906</w:t>
            </w:r>
            <w:r>
              <w:rPr>
                <w:rFonts w:ascii="Arial" w:cs="Arial" w:eastAsia="Arial" w:hAnsi="Arial"/>
                <w:sz w:val="22"/>
                <w:szCs w:val="22"/>
                <w:color w:val="008000"/>
                <w:w w:val="83"/>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w w:val="99"/>
              </w:rPr>
              <w:t>Date</w:t>
            </w:r>
          </w:p>
        </w:tc>
        <w:tc>
          <w:tcPr>
            <w:tcW w:w="440" w:type="dxa"/>
            <w:vAlign w:val="bottom"/>
          </w:tcPr>
          <w:p>
            <w:pPr>
              <w:spacing w:after="0"/>
              <w:rPr>
                <w:sz w:val="11"/>
                <w:szCs w:val="11"/>
                <w:color w:val="auto"/>
              </w:rPr>
            </w:pP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15.88</w:t>
            </w:r>
          </w:p>
        </w:tc>
        <w:tc>
          <w:tcPr>
            <w:tcW w:w="1140" w:type="dxa"/>
            <w:vAlign w:val="bottom"/>
          </w:tcPr>
          <w:p>
            <w:pPr>
              <w:ind w:left="260"/>
              <w:spacing w:after="0"/>
              <w:rPr>
                <w:sz w:val="20"/>
                <w:szCs w:val="20"/>
                <w:color w:val="auto"/>
              </w:rPr>
            </w:pPr>
            <w:r>
              <w:rPr>
                <w:rFonts w:ascii="Arial" w:cs="Arial" w:eastAsia="Arial" w:hAnsi="Arial"/>
                <w:sz w:val="14"/>
                <w:szCs w:val="14"/>
                <w:color w:val="0000FF"/>
              </w:rPr>
              <w:t>09/10/2019</w:t>
            </w:r>
          </w:p>
        </w:tc>
        <w:tc>
          <w:tcPr>
            <w:tcW w:w="114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680" w:type="dxa"/>
            <w:vAlign w:val="bottom"/>
          </w:tcPr>
          <w:p>
            <w:pPr>
              <w:ind w:left="380"/>
              <w:spacing w:after="0"/>
              <w:rPr>
                <w:sz w:val="20"/>
                <w:szCs w:val="20"/>
                <w:color w:val="auto"/>
              </w:rPr>
            </w:pPr>
            <w:r>
              <w:rPr>
                <w:rFonts w:ascii="Arial" w:cs="Arial" w:eastAsia="Arial" w:hAnsi="Arial"/>
                <w:sz w:val="14"/>
                <w:szCs w:val="14"/>
                <w:color w:val="0000FF"/>
                <w:w w:val="79"/>
              </w:rPr>
              <w:t>3,000</w:t>
            </w:r>
          </w:p>
        </w:tc>
        <w:tc>
          <w:tcPr>
            <w:tcW w:w="420" w:type="dxa"/>
            <w:vAlign w:val="bottom"/>
          </w:tcPr>
          <w:p>
            <w:pPr>
              <w:spacing w:after="0"/>
              <w:rPr>
                <w:sz w:val="17"/>
                <w:szCs w:val="17"/>
                <w:color w:val="auto"/>
              </w:rPr>
            </w:pPr>
          </w:p>
        </w:tc>
        <w:tc>
          <w:tcPr>
            <w:tcW w:w="440" w:type="dxa"/>
            <w:vAlign w:val="bottom"/>
          </w:tcPr>
          <w:p>
            <w:pPr>
              <w:jc w:val="right"/>
              <w:ind w:right="238"/>
              <w:spacing w:after="0"/>
              <w:rPr>
                <w:sz w:val="20"/>
                <w:szCs w:val="20"/>
                <w:color w:val="auto"/>
              </w:rPr>
            </w:pPr>
            <w:r>
              <w:rPr>
                <w:rFonts w:ascii="Arial" w:cs="Arial" w:eastAsia="Arial" w:hAnsi="Arial"/>
                <w:sz w:val="11"/>
                <w:szCs w:val="11"/>
                <w:color w:val="008000"/>
                <w:w w:val="88"/>
              </w:rPr>
              <w:t>(4)</w:t>
            </w:r>
          </w:p>
        </w:tc>
        <w:tc>
          <w:tcPr>
            <w:tcW w:w="780" w:type="dxa"/>
            <w:vAlign w:val="bottom"/>
          </w:tcPr>
          <w:p>
            <w:pPr>
              <w:ind w:left="120"/>
              <w:spacing w:after="0"/>
              <w:rPr>
                <w:sz w:val="20"/>
                <w:szCs w:val="20"/>
                <w:color w:val="auto"/>
              </w:rPr>
            </w:pPr>
            <w:r>
              <w:rPr>
                <w:rFonts w:ascii="Arial" w:cs="Arial" w:eastAsia="Arial" w:hAnsi="Arial"/>
                <w:sz w:val="14"/>
                <w:szCs w:val="14"/>
                <w:color w:val="0000FF"/>
                <w:w w:val="91"/>
              </w:rPr>
              <w:t>12/08/2020</w:t>
            </w:r>
          </w:p>
        </w:tc>
        <w:tc>
          <w:tcPr>
            <w:tcW w:w="1320" w:type="dxa"/>
            <w:vAlign w:val="bottom"/>
            <w:gridSpan w:val="3"/>
          </w:tcPr>
          <w:p>
            <w:pPr>
              <w:ind w:left="10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3,000</w:t>
            </w: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tcPr>
          <w:p>
            <w:pPr>
              <w:ind w:left="260"/>
              <w:spacing w:after="0"/>
              <w:rPr>
                <w:sz w:val="20"/>
                <w:szCs w:val="20"/>
                <w:color w:val="auto"/>
              </w:rPr>
            </w:pPr>
            <w:r>
              <w:rPr>
                <w:rFonts w:ascii="Arial" w:cs="Arial" w:eastAsia="Arial" w:hAnsi="Arial"/>
                <w:sz w:val="14"/>
                <w:szCs w:val="14"/>
                <w:color w:val="0000FF"/>
              </w:rPr>
              <w:t>3,400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180"/>
              <w:spacing w:after="0" w:line="110"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$72.65 to $73.23,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17.637 net shares acquired by the reporting person since the date of his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31.364 performance share units acquired by the reporting person since the date of his last report under the dividend reinvestment feature of The Toro Company Deferred Compensation Plan for Officers.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8, 2010.</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09/12/2019</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6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082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2019-12-23T21:30:06Z</dcterms:created>
  <dcterms:modified xsi:type="dcterms:W3CDTF">2019-12-23T21:30:06Z</dcterms:modified>
</cp:coreProperties>
</file>