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02/22/2010</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20"/>
              <w:spacing w:after="0"/>
              <w:rPr>
                <w:sz w:val="20"/>
                <w:szCs w:val="20"/>
                <w:color w:val="auto"/>
              </w:rPr>
            </w:pPr>
            <w:r>
              <w:rPr>
                <w:rFonts w:ascii="Arial" w:cs="Arial" w:eastAsia="Arial" w:hAnsi="Arial"/>
                <w:sz w:val="18"/>
                <w:szCs w:val="18"/>
                <w:color w:val="0000FF"/>
              </w:rPr>
              <w:t>1,980</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2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40.19</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1,980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02/22/2010</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7"/>
              <w:spacing w:after="0"/>
              <w:rPr>
                <w:sz w:val="20"/>
                <w:szCs w:val="20"/>
                <w:color w:val="auto"/>
              </w:rPr>
            </w:pPr>
            <w:r>
              <w:rPr>
                <w:rFonts w:ascii="Arial" w:cs="Arial" w:eastAsia="Arial" w:hAnsi="Arial"/>
                <w:sz w:val="14"/>
                <w:szCs w:val="14"/>
                <w:color w:val="0000FF"/>
                <w:w w:val="85"/>
              </w:rPr>
              <w:t>S</w:t>
            </w:r>
          </w:p>
        </w:tc>
        <w:tc>
          <w:tcPr>
            <w:tcW w:w="720" w:type="dxa"/>
            <w:vAlign w:val="bottom"/>
          </w:tcPr>
          <w:p>
            <w:pPr>
              <w:ind w:left="220"/>
              <w:spacing w:after="0"/>
              <w:rPr>
                <w:sz w:val="20"/>
                <w:szCs w:val="20"/>
                <w:color w:val="auto"/>
              </w:rPr>
            </w:pPr>
            <w:r>
              <w:rPr>
                <w:rFonts w:ascii="Arial" w:cs="Arial" w:eastAsia="Arial" w:hAnsi="Arial"/>
                <w:sz w:val="18"/>
                <w:szCs w:val="18"/>
                <w:color w:val="0000FF"/>
              </w:rPr>
              <w:t>1,980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44.15</w:t>
            </w:r>
          </w:p>
        </w:tc>
        <w:tc>
          <w:tcPr>
            <w:tcW w:w="40" w:type="dxa"/>
            <w:vAlign w:val="bottom"/>
          </w:tcPr>
          <w:p>
            <w:pPr>
              <w:spacing w:after="0"/>
              <w:rPr>
                <w:sz w:val="23"/>
                <w:szCs w:val="23"/>
                <w:color w:val="auto"/>
              </w:rPr>
            </w:pPr>
          </w:p>
        </w:tc>
        <w:tc>
          <w:tcPr>
            <w:tcW w:w="740" w:type="dxa"/>
            <w:vAlign w:val="bottom"/>
          </w:tcPr>
          <w:p>
            <w:pPr>
              <w:jc w:val="center"/>
              <w:ind w:left="352"/>
              <w:spacing w:after="0"/>
              <w:rPr>
                <w:sz w:val="20"/>
                <w:szCs w:val="20"/>
                <w:color w:val="auto"/>
              </w:rPr>
            </w:pPr>
            <w:r>
              <w:rPr>
                <w:rFonts w:ascii="Arial" w:cs="Arial" w:eastAsia="Arial" w:hAnsi="Arial"/>
                <w:sz w:val="18"/>
                <w:szCs w:val="18"/>
                <w:color w:val="0000FF"/>
                <w:w w:val="79"/>
              </w:rPr>
              <w:t>0</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6,104.922</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483.991</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40.19</w:t>
            </w:r>
          </w:p>
        </w:tc>
        <w:tc>
          <w:tcPr>
            <w:tcW w:w="1140" w:type="dxa"/>
            <w:vAlign w:val="bottom"/>
          </w:tcPr>
          <w:p>
            <w:pPr>
              <w:ind w:left="260"/>
              <w:spacing w:after="0"/>
              <w:rPr>
                <w:sz w:val="20"/>
                <w:szCs w:val="20"/>
                <w:color w:val="auto"/>
              </w:rPr>
            </w:pPr>
            <w:r>
              <w:rPr>
                <w:rFonts w:ascii="Arial" w:cs="Arial" w:eastAsia="Arial" w:hAnsi="Arial"/>
                <w:sz w:val="14"/>
                <w:szCs w:val="14"/>
                <w:color w:val="0000FF"/>
              </w:rPr>
              <w:t>02/22/2010</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1,980</w:t>
            </w:r>
          </w:p>
        </w:tc>
        <w:tc>
          <w:tcPr>
            <w:tcW w:w="840" w:type="dxa"/>
            <w:vAlign w:val="bottom"/>
            <w:gridSpan w:val="2"/>
          </w:tcPr>
          <w:p>
            <w:pPr>
              <w:jc w:val="right"/>
              <w:ind w:right="77"/>
              <w:spacing w:after="0"/>
              <w:rPr>
                <w:sz w:val="20"/>
                <w:szCs w:val="20"/>
                <w:color w:val="auto"/>
              </w:rPr>
            </w:pPr>
            <w:r>
              <w:rPr>
                <w:rFonts w:ascii="Arial" w:cs="Arial" w:eastAsia="Arial" w:hAnsi="Arial"/>
                <w:sz w:val="14"/>
                <w:szCs w:val="14"/>
                <w:color w:val="0000FF"/>
                <w:w w:val="96"/>
              </w:rPr>
              <w:t>11/30/2007</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11/30/2010</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1,980</w:t>
            </w:r>
          </w:p>
        </w:tc>
        <w:tc>
          <w:tcPr>
            <w:tcW w:w="4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24.646 shares of common stock acquired by the reporting person under the dividend reinvestment feature of The Toro Company Investment, Savings &amp; ESOP (IS&amp;ESOP) since the date of his last report; also includes 115.885 shares of common stock acquired by the reporting person through individual contributions to the IS&amp;ESOP since the date of his last report.</w:t>
      </w: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1.991 shares of common stock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02/23/2010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2019-12-16T23:47:49Z</dcterms:created>
  <dcterms:modified xsi:type="dcterms:W3CDTF">2019-12-16T23:47:49Z</dcterms:modified>
</cp:coreProperties>
</file>