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jc w:val="center"/>
        <w:ind w:right="-7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-3804285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-2827020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-2020570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jc w:val="center"/>
        <w:ind w:right="6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86" w:lineRule="exact"/>
        <w:rPr>
          <w:sz w:val="20"/>
          <w:szCs w:val="20"/>
          <w:color w:val="auto"/>
        </w:rPr>
      </w:pPr>
    </w:p>
    <w:p>
      <w:pPr>
        <w:jc w:val="center"/>
        <w:ind w:right="62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8" w:lineRule="exact"/>
        <w:rPr>
          <w:sz w:val="20"/>
          <w:szCs w:val="20"/>
          <w:color w:val="auto"/>
        </w:rPr>
      </w:pPr>
    </w:p>
    <w:p>
      <w:pPr>
        <w:jc w:val="center"/>
        <w:ind w:right="620"/>
        <w:spacing w:after="0"/>
        <w:rPr>
          <w:sz w:val="20"/>
          <w:szCs w:val="20"/>
          <w:color w:val="auto"/>
        </w:rPr>
      </w:pPr>
      <w:r>
        <w:rPr>
          <w:rFonts w:ascii="Arial" w:cs="Arial" w:eastAsia="Arial" w:hAnsi="Arial"/>
          <w:sz w:val="22"/>
          <w:szCs w:val="22"/>
          <w:b w:val="1"/>
          <w:bCs w:val="1"/>
          <w:color w:val="auto"/>
        </w:rPr>
        <w:t>Shareholder Meeting to Be Held on March 12, 2013.</w:t>
      </w:r>
    </w:p>
    <w:p>
      <w:pPr>
        <w:sectPr>
          <w:pgSz w:w="11900" w:h="16838" w:orient="portrait"/>
          <w:cols w:equalWidth="0" w:num="1">
            <w:col w:w="10700"/>
          </w:cols>
          <w:pgMar w:left="920" w:top="247" w:right="27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664845</wp:posOffset>
            </wp:positionV>
            <wp:extent cx="80581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05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TORO COMPANY</w:t>
      </w:r>
    </w:p>
    <w:p>
      <w:pPr>
        <w:spacing w:after="0" w:line="223" w:lineRule="auto"/>
        <w:rPr>
          <w:sz w:val="20"/>
          <w:szCs w:val="20"/>
          <w:color w:val="auto"/>
        </w:rPr>
      </w:pPr>
      <w:r>
        <w:rPr>
          <w:rFonts w:ascii="Arial" w:cs="Arial" w:eastAsia="Arial" w:hAnsi="Arial"/>
          <w:sz w:val="14"/>
          <w:szCs w:val="14"/>
          <w:i w:val="1"/>
          <w:iCs w:val="1"/>
          <w:color w:val="auto"/>
        </w:rPr>
        <w:t>8111 LYNDALE AVENUE SOUTH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BLOOMINGTON, MN 55420-1196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249555</wp:posOffset>
            </wp:positionV>
            <wp:extent cx="60325" cy="926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926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74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-127635</wp:posOffset>
            </wp:positionV>
            <wp:extent cx="3567430" cy="143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7430" cy="1431925"/>
                    </a:xfrm>
                    <a:prstGeom prst="rect">
                      <a:avLst/>
                    </a:prstGeom>
                    <a:noFill/>
                  </pic:spPr>
                </pic:pic>
              </a:graphicData>
            </a:graphic>
          </wp:anchor>
        </w:drawing>
      </w:r>
    </w:p>
    <w:p>
      <w:pPr>
        <w:spacing w:after="0" w:line="138"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13"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January 15, 2013</w:t>
      </w:r>
    </w:p>
    <w:p>
      <w:pPr>
        <w:ind w:left="240"/>
        <w:spacing w:after="0"/>
        <w:tabs>
          <w:tab w:leader="none" w:pos="860" w:val="left"/>
          <w:tab w:leader="none" w:pos="25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12, 2013</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1:30 PM CDT</w:t>
      </w:r>
    </w:p>
    <w:p>
      <w:pPr>
        <w:ind w:left="240"/>
        <w:spacing w:after="0" w:line="235" w:lineRule="auto"/>
        <w:tabs>
          <w:tab w:leader="none" w:pos="12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Toro Company</w:t>
      </w:r>
    </w:p>
    <w:p>
      <w:pPr>
        <w:ind w:left="1260"/>
        <w:spacing w:after="0" w:line="235" w:lineRule="auto"/>
        <w:rPr>
          <w:sz w:val="20"/>
          <w:szCs w:val="20"/>
          <w:color w:val="auto"/>
        </w:rPr>
      </w:pPr>
      <w:r>
        <w:rPr>
          <w:rFonts w:ascii="Arial" w:cs="Arial" w:eastAsia="Arial" w:hAnsi="Arial"/>
          <w:sz w:val="18"/>
          <w:szCs w:val="18"/>
          <w:color w:val="auto"/>
        </w:rPr>
        <w:t>8111 Lyndale Avenue South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Bloomington, MN 55420</w:t>
      </w:r>
    </w:p>
    <w:p>
      <w:pPr>
        <w:spacing w:after="0" w:line="23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90" w:lineRule="exact"/>
        <w:rPr>
          <w:sz w:val="20"/>
          <w:szCs w:val="20"/>
          <w:color w:val="auto"/>
        </w:rPr>
      </w:pPr>
    </w:p>
    <w:p>
      <w:pPr>
        <w:ind w:right="800"/>
        <w:spacing w:after="0" w:line="299"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-276860</wp:posOffset>
            </wp:positionV>
            <wp:extent cx="355917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257175"/>
                    </a:xfrm>
                    <a:prstGeom prst="rect">
                      <a:avLst/>
                    </a:prstGeom>
                    <a:noFill/>
                  </pic:spPr>
                </pic:pic>
              </a:graphicData>
            </a:graphic>
          </wp:anchor>
        </w:drawing>
      </w:r>
    </w:p>
    <w:p>
      <w:pPr>
        <w:sectPr>
          <w:pgSz w:w="11900" w:h="16838" w:orient="portrait"/>
          <w:cols w:equalWidth="0" w:num="2">
            <w:col w:w="4520" w:space="720"/>
            <w:col w:w="5460"/>
          </w:cols>
          <w:pgMar w:left="920" w:top="247" w:right="279" w:bottom="1440" w:gutter="0" w:footer="0" w:header="0"/>
          <w:type w:val="continuous"/>
        </w:sectPr>
      </w:pPr>
    </w:p>
    <w:bookmarkStart w:id="2" w:name="page3"/>
    <w:bookmarkEnd w:id="2"/>
    <w:p>
      <w:pPr>
        <w:jc w:val="center"/>
        <w:ind w:right="4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-43815</wp:posOffset>
            </wp:positionV>
            <wp:extent cx="283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-43815</wp:posOffset>
            </wp:positionV>
            <wp:extent cx="300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73"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How to Access the Proxy Materials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066280" cy="2255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6280" cy="2255520"/>
                    </a:xfrm>
                    <a:prstGeom prst="rect">
                      <a:avLst/>
                    </a:prstGeom>
                    <a:noFill/>
                  </pic:spPr>
                </pic:pic>
              </a:graphicData>
            </a:graphic>
          </wp:anchor>
        </w:drawing>
      </w:r>
    </w:p>
    <w:p>
      <w:pPr>
        <w:ind w:left="240"/>
        <w:spacing w:after="0"/>
        <w:tabs>
          <w:tab w:leader="none" w:pos="342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6"/>
          <w:szCs w:val="16"/>
          <w:color w:val="auto"/>
        </w:rPr>
        <w:t>ANNUAL REPORT</w:t>
      </w:r>
    </w:p>
    <w:p>
      <w:pPr>
        <w:ind w:left="240"/>
        <w:spacing w:after="0" w:line="231" w:lineRule="auto"/>
        <w:rPr>
          <w:sz w:val="20"/>
          <w:szCs w:val="20"/>
          <w:color w:val="auto"/>
        </w:rPr>
      </w:pPr>
      <w:r>
        <w:rPr>
          <w:rFonts w:ascii="Arial" w:cs="Arial" w:eastAsia="Arial" w:hAnsi="Arial"/>
          <w:sz w:val="18"/>
          <w:szCs w:val="18"/>
          <w:b w:val="1"/>
          <w:bCs w:val="1"/>
          <w:color w:val="auto"/>
        </w:rPr>
        <w:t>How to View Online:</w:t>
      </w:r>
    </w:p>
    <w:p>
      <w:pPr>
        <w:ind w:left="24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303655"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13716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i w:val="1"/>
          <w:iCs w:val="1"/>
          <w:color w:val="auto"/>
        </w:rPr>
        <w:t>www.proxyvote.com.</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54"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5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1-800-579-1639</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440" w:type="dxa"/>
            <w:vAlign w:val="bottom"/>
          </w:tcPr>
          <w:p>
            <w:pPr>
              <w:ind w:left="100"/>
              <w:spacing w:after="0"/>
              <w:rPr>
                <w:sz w:val="20"/>
                <w:szCs w:val="20"/>
                <w:color w:val="auto"/>
              </w:rPr>
            </w:pPr>
            <w:r>
              <w:rPr>
                <w:rFonts w:ascii="Arial" w:cs="Arial" w:eastAsia="Arial" w:hAnsi="Arial"/>
                <w:sz w:val="18"/>
                <w:szCs w:val="18"/>
                <w:color w:val="auto"/>
                <w:w w:val="97"/>
              </w:rPr>
              <w:t>sendmaterial@proxyvote.com</w:t>
            </w:r>
          </w:p>
        </w:tc>
      </w:tr>
    </w:tbl>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(located on the following page) in the subject line.</w:t>
      </w:r>
    </w:p>
    <w:p>
      <w:pPr>
        <w:ind w:left="24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February 26, 2013 to facilitate timely delivery.</w:t>
      </w:r>
    </w:p>
    <w:p>
      <w:pPr>
        <w:spacing w:after="0" w:line="273" w:lineRule="exact"/>
        <w:rPr>
          <w:sz w:val="20"/>
          <w:szCs w:val="20"/>
          <w:color w:val="auto"/>
        </w:rPr>
      </w:pPr>
    </w:p>
    <w:p>
      <w:pPr>
        <w:jc w:val="center"/>
        <w:ind w:right="320"/>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6985</wp:posOffset>
            </wp:positionV>
            <wp:extent cx="283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6985</wp:posOffset>
            </wp:positionV>
            <wp:extent cx="300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7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49530</wp:posOffset>
            </wp:positionV>
            <wp:extent cx="7040880" cy="1054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0880" cy="1054735"/>
                    </a:xfrm>
                    <a:prstGeom prst="rect">
                      <a:avLst/>
                    </a:prstGeom>
                    <a:noFill/>
                  </pic:spPr>
                </pic:pic>
              </a:graphicData>
            </a:graphic>
          </wp:anchor>
        </w:drawing>
      </w:r>
    </w:p>
    <w:p>
      <w:pPr>
        <w:spacing w:after="0" w:line="20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Please check the meeting materials for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-225425</wp:posOffset>
            </wp:positionV>
            <wp:extent cx="60325" cy="88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32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03655"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40"/>
          </w:cols>
          <w:pgMar w:left="840" w:top="449" w:right="519" w:bottom="1440" w:gutter="0" w:footer="0" w:header="0"/>
        </w:sectPr>
      </w:pPr>
    </w:p>
    <w:bookmarkStart w:id="3" w:name="page4"/>
    <w:bookmarkEnd w:id="3"/>
    <w:p>
      <w:pPr>
        <w:ind w:left="38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654685</wp:posOffset>
            </wp:positionH>
            <wp:positionV relativeFrom="page">
              <wp:posOffset>183515</wp:posOffset>
            </wp:positionV>
            <wp:extent cx="25984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8420" cy="12890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2540</wp:posOffset>
            </wp:positionV>
            <wp:extent cx="29146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342900"/>
                    </a:xfrm>
                    <a:prstGeom prst="rect">
                      <a:avLst/>
                    </a:prstGeom>
                    <a:noFill/>
                  </pic:spPr>
                </pic:pic>
              </a:graphicData>
            </a:graphic>
          </wp:anchor>
        </w:drawing>
      </w:r>
    </w:p>
    <w:p>
      <w:pPr>
        <w:spacing w:after="0" w:line="4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The Board of Directors recommends</w:t>
      </w:r>
    </w:p>
    <w:p>
      <w:pPr>
        <w:ind w:left="7"/>
        <w:spacing w:after="0" w:line="226" w:lineRule="auto"/>
        <w:rPr>
          <w:sz w:val="20"/>
          <w:szCs w:val="20"/>
          <w:color w:val="auto"/>
        </w:rPr>
      </w:pPr>
      <w:r>
        <w:rPr>
          <w:rFonts w:ascii="Arial" w:cs="Arial" w:eastAsia="Arial" w:hAnsi="Arial"/>
          <w:sz w:val="14"/>
          <w:szCs w:val="14"/>
          <w:b w:val="1"/>
          <w:bCs w:val="1"/>
          <w:color w:val="auto"/>
        </w:rPr>
        <w:t>you vote FOR the following:</w:t>
      </w:r>
    </w:p>
    <w:p>
      <w:pPr>
        <w:spacing w:after="0" w:line="1" w:lineRule="exact"/>
        <w:rPr>
          <w:sz w:val="20"/>
          <w:szCs w:val="20"/>
          <w:color w:val="auto"/>
        </w:rPr>
      </w:pPr>
    </w:p>
    <w:p>
      <w:pPr>
        <w:ind w:left="307" w:hanging="307"/>
        <w:spacing w:after="0"/>
        <w:tabs>
          <w:tab w:leader="none" w:pos="307"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 w:lineRule="exact"/>
        <w:rPr>
          <w:rFonts w:ascii="Arial" w:cs="Arial" w:eastAsia="Arial" w:hAnsi="Arial"/>
          <w:sz w:val="14"/>
          <w:szCs w:val="14"/>
          <w:color w:val="auto"/>
        </w:rPr>
      </w:pPr>
    </w:p>
    <w:p>
      <w:pPr>
        <w:ind w:left="307"/>
        <w:spacing w:after="0" w:line="221" w:lineRule="auto"/>
        <w:rPr>
          <w:rFonts w:ascii="Arial" w:cs="Arial" w:eastAsia="Arial" w:hAnsi="Arial"/>
          <w:sz w:val="14"/>
          <w:szCs w:val="14"/>
          <w:color w:val="auto"/>
        </w:rPr>
      </w:pPr>
      <w:r>
        <w:rPr>
          <w:rFonts w:ascii="Arial" w:cs="Arial" w:eastAsia="Arial" w:hAnsi="Arial"/>
          <w:sz w:val="14"/>
          <w:szCs w:val="14"/>
          <w:b w:val="1"/>
          <w:bCs w:val="1"/>
          <w:color w:val="auto"/>
        </w:rPr>
        <w:t>Nominees</w:t>
      </w:r>
    </w:p>
    <w:p>
      <w:pPr>
        <w:ind w:left="527" w:hanging="227"/>
        <w:spacing w:after="0" w:line="221" w:lineRule="auto"/>
        <w:tabs>
          <w:tab w:leader="none" w:pos="527" w:val="left"/>
        </w:tabs>
        <w:numPr>
          <w:ilvl w:val="1"/>
          <w:numId w:val="6"/>
        </w:numPr>
        <w:rPr>
          <w:rFonts w:ascii="Arial" w:cs="Arial" w:eastAsia="Arial" w:hAnsi="Arial"/>
          <w:sz w:val="14"/>
          <w:szCs w:val="14"/>
          <w:color w:val="auto"/>
        </w:rPr>
      </w:pPr>
      <w:r>
        <w:rPr>
          <w:rFonts w:ascii="Arial" w:cs="Arial" w:eastAsia="Arial" w:hAnsi="Arial"/>
          <w:sz w:val="14"/>
          <w:szCs w:val="14"/>
          <w:color w:val="auto"/>
        </w:rPr>
        <w:t>Robert C. Buhrmaster</w:t>
      </w:r>
    </w:p>
    <w:p>
      <w:pPr>
        <w:ind w:left="527" w:hanging="227"/>
        <w:spacing w:after="0" w:line="221" w:lineRule="auto"/>
        <w:tabs>
          <w:tab w:leader="none" w:pos="527" w:val="left"/>
        </w:tabs>
        <w:numPr>
          <w:ilvl w:val="1"/>
          <w:numId w:val="6"/>
        </w:numPr>
        <w:rPr>
          <w:rFonts w:ascii="Arial" w:cs="Arial" w:eastAsia="Arial" w:hAnsi="Arial"/>
          <w:sz w:val="14"/>
          <w:szCs w:val="14"/>
          <w:color w:val="auto"/>
        </w:rPr>
      </w:pPr>
      <w:r>
        <w:rPr>
          <w:rFonts w:ascii="Arial" w:cs="Arial" w:eastAsia="Arial" w:hAnsi="Arial"/>
          <w:sz w:val="14"/>
          <w:szCs w:val="14"/>
          <w:color w:val="auto"/>
        </w:rPr>
        <w:t>James C. O’Rourke</w:t>
      </w:r>
    </w:p>
    <w:p>
      <w:pPr>
        <w:ind w:left="527" w:hanging="227"/>
        <w:spacing w:after="0"/>
        <w:tabs>
          <w:tab w:leader="none" w:pos="527" w:val="left"/>
        </w:tabs>
        <w:numPr>
          <w:ilvl w:val="1"/>
          <w:numId w:val="6"/>
        </w:numPr>
        <w:rPr>
          <w:rFonts w:ascii="Arial" w:cs="Arial" w:eastAsia="Arial" w:hAnsi="Arial"/>
          <w:sz w:val="14"/>
          <w:szCs w:val="14"/>
          <w:color w:val="auto"/>
        </w:rPr>
      </w:pPr>
      <w:r>
        <w:rPr>
          <w:rFonts w:ascii="Arial" w:cs="Arial" w:eastAsia="Arial" w:hAnsi="Arial"/>
          <w:sz w:val="14"/>
          <w:szCs w:val="14"/>
          <w:color w:val="auto"/>
        </w:rPr>
        <w:t>Christopher A. Twomey</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4" w:lineRule="exact"/>
        <w:rPr>
          <w:sz w:val="20"/>
          <w:szCs w:val="20"/>
          <w:color w:val="auto"/>
        </w:rPr>
      </w:pPr>
    </w:p>
    <w:p>
      <w:pPr>
        <w:ind w:left="327" w:right="759" w:hanging="327"/>
        <w:spacing w:after="0" w:line="231" w:lineRule="auto"/>
        <w:tabs>
          <w:tab w:leader="none" w:pos="296"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of an amendment to our Restated Certificate of Incorporation to increase the number of authorized shares of common stock from 100,000,000 to 175,000,000.</w:t>
      </w:r>
    </w:p>
    <w:p>
      <w:pPr>
        <w:spacing w:after="0" w:line="135" w:lineRule="exact"/>
        <w:rPr>
          <w:rFonts w:ascii="Arial" w:cs="Arial" w:eastAsia="Arial" w:hAnsi="Arial"/>
          <w:sz w:val="14"/>
          <w:szCs w:val="14"/>
          <w:color w:val="auto"/>
        </w:rPr>
      </w:pPr>
    </w:p>
    <w:p>
      <w:pPr>
        <w:ind w:left="307" w:hanging="307"/>
        <w:spacing w:after="0"/>
        <w:tabs>
          <w:tab w:leader="none" w:pos="307" w:val="left"/>
        </w:tabs>
        <w:numPr>
          <w:ilvl w:val="0"/>
          <w:numId w:val="7"/>
        </w:numPr>
        <w:rPr>
          <w:rFonts w:ascii="Arial" w:cs="Arial" w:eastAsia="Arial" w:hAnsi="Arial"/>
          <w:sz w:val="12"/>
          <w:szCs w:val="12"/>
          <w:color w:val="auto"/>
        </w:rPr>
      </w:pPr>
      <w:r>
        <w:rPr>
          <w:rFonts w:ascii="Arial" w:cs="Arial" w:eastAsia="Arial" w:hAnsi="Arial"/>
          <w:sz w:val="12"/>
          <w:szCs w:val="12"/>
          <w:color w:val="auto"/>
        </w:rPr>
        <w:t>Ratification of the selection of KPMG LLP as our independent registered public accounting firm for our fiscal year ending October 31, 2013.</w:t>
      </w:r>
    </w:p>
    <w:p>
      <w:pPr>
        <w:spacing w:after="0" w:line="159" w:lineRule="exact"/>
        <w:rPr>
          <w:rFonts w:ascii="Arial" w:cs="Arial" w:eastAsia="Arial" w:hAnsi="Arial"/>
          <w:sz w:val="12"/>
          <w:szCs w:val="12"/>
          <w:color w:val="auto"/>
        </w:rPr>
      </w:pPr>
    </w:p>
    <w:p>
      <w:pPr>
        <w:ind w:left="287" w:hanging="287"/>
        <w:spacing w:after="0"/>
        <w:tabs>
          <w:tab w:leader="none" w:pos="287"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on an advisory basis, of our executive compensation.</w:t>
      </w:r>
    </w:p>
    <w:p>
      <w:pPr>
        <w:spacing w:after="0" w:line="120" w:lineRule="exact"/>
        <w:rPr>
          <w:sz w:val="20"/>
          <w:szCs w:val="20"/>
          <w:color w:val="auto"/>
        </w:rPr>
      </w:pPr>
    </w:p>
    <w:p>
      <w:pPr>
        <w:ind w:left="7" w:right="1339"/>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246380</wp:posOffset>
            </wp:positionV>
            <wp:extent cx="60325" cy="883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3285"/>
                    </a:xfrm>
                    <a:prstGeom prst="rect">
                      <a:avLst/>
                    </a:prstGeom>
                    <a:noFill/>
                  </pic:spPr>
                </pic:pic>
              </a:graphicData>
            </a:graphic>
          </wp:anchor>
        </w:drawing>
      </w:r>
    </w:p>
    <w:p>
      <w:pPr>
        <w:sectPr>
          <w:pgSz w:w="11900" w:h="16838" w:orient="portrait"/>
          <w:cols w:equalWidth="0" w:num="1">
            <w:col w:w="9306"/>
          </w:cols>
          <w:pgMar w:left="1153" w:top="298"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183515</wp:posOffset>
            </wp:positionV>
            <wp:extent cx="29146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1564005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1598295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2395855</wp:posOffset>
            </wp:positionV>
            <wp:extent cx="60325" cy="883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0325" cy="883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2019-12-05T20:28:42Z</dcterms:created>
  <dcterms:modified xsi:type="dcterms:W3CDTF">2019-12-05T20:28:42Z</dcterms:modified>
</cp:coreProperties>
</file>