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Courier New" w:cs="Courier New" w:eastAsia="Courier New" w:hAnsi="Courier New"/>
          <w:sz w:val="22"/>
          <w:szCs w:val="22"/>
          <w:color w:val="auto"/>
        </w:rPr>
        <w:t>UNITED STATES</w:t>
      </w:r>
    </w:p>
    <w:p>
      <w:pPr>
        <w:jc w:val="center"/>
        <w:spacing w:after="0" w:line="234" w:lineRule="auto"/>
        <w:rPr>
          <w:sz w:val="20"/>
          <w:szCs w:val="20"/>
          <w:color w:val="auto"/>
        </w:rPr>
      </w:pPr>
      <w:r>
        <w:rPr>
          <w:rFonts w:ascii="Courier New" w:cs="Courier New" w:eastAsia="Courier New" w:hAnsi="Courier New"/>
          <w:sz w:val="22"/>
          <w:szCs w:val="22"/>
          <w:color w:val="auto"/>
        </w:rPr>
        <w:t>SECURITIES AND EXCHANGE COMMISSION</w:t>
      </w:r>
    </w:p>
    <w:p>
      <w:pPr>
        <w:jc w:val="center"/>
        <w:ind w:right="-19"/>
        <w:spacing w:after="0" w:line="235" w:lineRule="auto"/>
        <w:rPr>
          <w:sz w:val="20"/>
          <w:szCs w:val="20"/>
          <w:color w:val="auto"/>
        </w:rPr>
      </w:pPr>
      <w:r>
        <w:rPr>
          <w:rFonts w:ascii="Courier New" w:cs="Courier New" w:eastAsia="Courier New" w:hAnsi="Courier New"/>
          <w:sz w:val="22"/>
          <w:szCs w:val="22"/>
          <w:color w:val="auto"/>
        </w:rPr>
        <w:t>Washington, D.C. 20549</w:t>
      </w:r>
    </w:p>
    <w:p>
      <w:pPr>
        <w:spacing w:after="0" w:line="399" w:lineRule="exact"/>
        <w:rPr>
          <w:sz w:val="24"/>
          <w:szCs w:val="24"/>
          <w:color w:val="auto"/>
        </w:rPr>
      </w:pPr>
    </w:p>
    <w:p>
      <w:pPr>
        <w:jc w:val="center"/>
        <w:ind w:right="-19"/>
        <w:spacing w:after="0"/>
        <w:rPr>
          <w:sz w:val="20"/>
          <w:szCs w:val="20"/>
          <w:color w:val="auto"/>
        </w:rPr>
      </w:pPr>
      <w:r>
        <w:rPr>
          <w:rFonts w:ascii="Courier New" w:cs="Courier New" w:eastAsia="Courier New" w:hAnsi="Courier New"/>
          <w:sz w:val="22"/>
          <w:szCs w:val="22"/>
          <w:color w:val="auto"/>
        </w:rPr>
        <w:t>SCHEDULE 13G</w:t>
      </w:r>
    </w:p>
    <w:p>
      <w:pPr>
        <w:spacing w:after="0" w:line="237" w:lineRule="exact"/>
        <w:rPr>
          <w:sz w:val="24"/>
          <w:szCs w:val="24"/>
          <w:color w:val="auto"/>
        </w:rPr>
      </w:pPr>
    </w:p>
    <w:p>
      <w:pPr>
        <w:jc w:val="center"/>
        <w:ind w:right="-19"/>
        <w:spacing w:after="0"/>
        <w:rPr>
          <w:sz w:val="20"/>
          <w:szCs w:val="20"/>
          <w:color w:val="auto"/>
        </w:rPr>
      </w:pPr>
      <w:r>
        <w:rPr>
          <w:rFonts w:ascii="Courier New" w:cs="Courier New" w:eastAsia="Courier New" w:hAnsi="Courier New"/>
          <w:sz w:val="22"/>
          <w:szCs w:val="22"/>
          <w:color w:val="auto"/>
        </w:rPr>
        <w:t>Under the Securities Exchange Act of 1934</w:t>
      </w:r>
    </w:p>
    <w:p>
      <w:pPr>
        <w:spacing w:after="0" w:line="237" w:lineRule="exact"/>
        <w:rPr>
          <w:sz w:val="24"/>
          <w:szCs w:val="24"/>
          <w:color w:val="auto"/>
        </w:rPr>
      </w:pPr>
    </w:p>
    <w:p>
      <w:pPr>
        <w:jc w:val="center"/>
        <w:ind w:right="-19"/>
        <w:spacing w:after="0"/>
        <w:rPr>
          <w:sz w:val="20"/>
          <w:szCs w:val="20"/>
          <w:color w:val="auto"/>
        </w:rPr>
      </w:pPr>
      <w:r>
        <w:rPr>
          <w:rFonts w:ascii="Courier New" w:cs="Courier New" w:eastAsia="Courier New" w:hAnsi="Courier New"/>
          <w:sz w:val="22"/>
          <w:szCs w:val="22"/>
          <w:color w:val="auto"/>
        </w:rPr>
        <w:t>(Amendment No. 1)*</w:t>
      </w:r>
    </w:p>
    <w:p>
      <w:pPr>
        <w:spacing w:after="0" w:line="237" w:lineRule="exact"/>
        <w:rPr>
          <w:sz w:val="24"/>
          <w:szCs w:val="24"/>
          <w:color w:val="auto"/>
        </w:rPr>
      </w:pPr>
    </w:p>
    <w:p>
      <w:pPr>
        <w:jc w:val="center"/>
        <w:ind w:right="-19"/>
        <w:spacing w:after="0"/>
        <w:rPr>
          <w:sz w:val="20"/>
          <w:szCs w:val="20"/>
          <w:color w:val="auto"/>
        </w:rPr>
      </w:pPr>
      <w:r>
        <w:rPr>
          <w:rFonts w:ascii="Courier New" w:cs="Courier New" w:eastAsia="Courier New" w:hAnsi="Courier New"/>
          <w:sz w:val="22"/>
          <w:szCs w:val="22"/>
          <w:color w:val="auto"/>
        </w:rPr>
        <w:t>TORO CO</w:t>
      </w:r>
    </w:p>
    <w:p>
      <w:pPr>
        <w:spacing w:after="0" w:line="237" w:lineRule="exact"/>
        <w:rPr>
          <w:sz w:val="24"/>
          <w:szCs w:val="24"/>
          <w:color w:val="auto"/>
        </w:rPr>
      </w:pPr>
    </w:p>
    <w:p>
      <w:pPr>
        <w:ind w:left="5000"/>
        <w:spacing w:after="0"/>
        <w:rPr>
          <w:sz w:val="20"/>
          <w:szCs w:val="20"/>
          <w:color w:val="auto"/>
        </w:rPr>
      </w:pPr>
      <w:r>
        <w:rPr>
          <w:rFonts w:ascii="Courier New" w:cs="Courier New" w:eastAsia="Courier New" w:hAnsi="Courier New"/>
          <w:sz w:val="22"/>
          <w:szCs w:val="22"/>
          <w:color w:val="auto"/>
        </w:rPr>
        <w:t>(Name of Issuer)</w:t>
      </w:r>
    </w:p>
    <w:p>
      <w:pPr>
        <w:spacing w:after="0" w:line="156" w:lineRule="exact"/>
        <w:rPr>
          <w:sz w:val="24"/>
          <w:szCs w:val="24"/>
          <w:color w:val="auto"/>
        </w:rPr>
      </w:pPr>
    </w:p>
    <w:p>
      <w:pPr>
        <w:ind w:left="4940"/>
        <w:spacing w:after="0"/>
        <w:rPr>
          <w:sz w:val="20"/>
          <w:szCs w:val="20"/>
          <w:color w:val="auto"/>
        </w:rPr>
      </w:pPr>
      <w:r>
        <w:rPr>
          <w:rFonts w:ascii="Courier New" w:cs="Courier New" w:eastAsia="Courier New" w:hAnsi="Courier New"/>
          <w:sz w:val="22"/>
          <w:szCs w:val="22"/>
          <w:color w:val="auto"/>
        </w:rPr>
        <w:t>COMMON STOCK</w:t>
      </w:r>
    </w:p>
    <w:p>
      <w:pPr>
        <w:spacing w:after="0" w:line="237" w:lineRule="exact"/>
        <w:rPr>
          <w:sz w:val="24"/>
          <w:szCs w:val="24"/>
          <w:color w:val="auto"/>
        </w:rPr>
      </w:pPr>
    </w:p>
    <w:p>
      <w:pPr>
        <w:ind w:left="4100"/>
        <w:spacing w:after="0"/>
        <w:rPr>
          <w:sz w:val="20"/>
          <w:szCs w:val="20"/>
          <w:color w:val="auto"/>
        </w:rPr>
      </w:pPr>
      <w:r>
        <w:rPr>
          <w:rFonts w:ascii="Courier New" w:cs="Courier New" w:eastAsia="Courier New" w:hAnsi="Courier New"/>
          <w:sz w:val="22"/>
          <w:szCs w:val="22"/>
          <w:color w:val="auto"/>
        </w:rPr>
        <w:t>(Title of Class of Securities)</w:t>
      </w:r>
    </w:p>
    <w:p>
      <w:pPr>
        <w:spacing w:after="0" w:line="399" w:lineRule="exact"/>
        <w:rPr>
          <w:sz w:val="24"/>
          <w:szCs w:val="24"/>
          <w:color w:val="auto"/>
        </w:rPr>
      </w:pPr>
    </w:p>
    <w:p>
      <w:pPr>
        <w:jc w:val="center"/>
        <w:ind w:right="-19"/>
        <w:spacing w:after="0"/>
        <w:rPr>
          <w:sz w:val="20"/>
          <w:szCs w:val="20"/>
          <w:color w:val="auto"/>
        </w:rPr>
      </w:pPr>
      <w:r>
        <w:rPr>
          <w:rFonts w:ascii="Courier New" w:cs="Courier New" w:eastAsia="Courier New" w:hAnsi="Courier New"/>
          <w:sz w:val="22"/>
          <w:szCs w:val="22"/>
          <w:color w:val="auto"/>
        </w:rPr>
        <w:t>891092108</w:t>
      </w:r>
    </w:p>
    <w:p>
      <w:pPr>
        <w:spacing w:after="0" w:line="156" w:lineRule="exact"/>
        <w:rPr>
          <w:sz w:val="24"/>
          <w:szCs w:val="24"/>
          <w:color w:val="auto"/>
        </w:rPr>
      </w:pPr>
    </w:p>
    <w:p>
      <w:pPr>
        <w:jc w:val="center"/>
        <w:ind w:right="-19"/>
        <w:spacing w:after="0"/>
        <w:rPr>
          <w:sz w:val="20"/>
          <w:szCs w:val="20"/>
          <w:color w:val="auto"/>
        </w:rPr>
      </w:pPr>
      <w:r>
        <w:rPr>
          <w:rFonts w:ascii="Courier New" w:cs="Courier New" w:eastAsia="Courier New" w:hAnsi="Courier New"/>
          <w:sz w:val="22"/>
          <w:szCs w:val="22"/>
          <w:color w:val="auto"/>
        </w:rPr>
        <w:t>(CUSIP Number)</w:t>
      </w:r>
    </w:p>
    <w:p>
      <w:pPr>
        <w:spacing w:after="0" w:line="156" w:lineRule="exact"/>
        <w:rPr>
          <w:sz w:val="24"/>
          <w:szCs w:val="24"/>
          <w:color w:val="auto"/>
        </w:rPr>
      </w:pPr>
    </w:p>
    <w:p>
      <w:pPr>
        <w:jc w:val="center"/>
        <w:ind w:right="-19"/>
        <w:spacing w:after="0"/>
        <w:rPr>
          <w:sz w:val="20"/>
          <w:szCs w:val="20"/>
          <w:color w:val="auto"/>
        </w:rPr>
      </w:pPr>
      <w:r>
        <w:rPr>
          <w:rFonts w:ascii="Courier New" w:cs="Courier New" w:eastAsia="Courier New" w:hAnsi="Courier New"/>
          <w:sz w:val="22"/>
          <w:szCs w:val="22"/>
          <w:color w:val="auto"/>
        </w:rPr>
        <w:t>December 31, 2012</w:t>
      </w:r>
    </w:p>
    <w:p>
      <w:pPr>
        <w:spacing w:after="0" w:line="237" w:lineRule="exact"/>
        <w:rPr>
          <w:sz w:val="24"/>
          <w:szCs w:val="24"/>
          <w:color w:val="auto"/>
        </w:rPr>
      </w:pPr>
    </w:p>
    <w:p>
      <w:pPr>
        <w:jc w:val="center"/>
        <w:spacing w:after="0"/>
        <w:rPr>
          <w:sz w:val="20"/>
          <w:szCs w:val="20"/>
          <w:color w:val="auto"/>
        </w:rPr>
      </w:pPr>
      <w:r>
        <w:rPr>
          <w:rFonts w:ascii="Courier New" w:cs="Courier New" w:eastAsia="Courier New" w:hAnsi="Courier New"/>
          <w:sz w:val="22"/>
          <w:szCs w:val="22"/>
          <w:color w:val="auto"/>
        </w:rPr>
        <w:t>(Date of Event which Requires Filing of Statement)</w:t>
      </w:r>
    </w:p>
    <w:p>
      <w:pPr>
        <w:spacing w:after="0" w:line="161" w:lineRule="exact"/>
        <w:rPr>
          <w:sz w:val="24"/>
          <w:szCs w:val="24"/>
          <w:color w:val="auto"/>
        </w:rPr>
      </w:pPr>
    </w:p>
    <w:p>
      <w:pPr>
        <w:ind w:right="780"/>
        <w:spacing w:after="0" w:line="234" w:lineRule="auto"/>
        <w:rPr>
          <w:sz w:val="20"/>
          <w:szCs w:val="20"/>
          <w:color w:val="auto"/>
        </w:rPr>
      </w:pPr>
      <w:r>
        <w:rPr>
          <w:rFonts w:ascii="Courier New" w:cs="Courier New" w:eastAsia="Courier New" w:hAnsi="Courier New"/>
          <w:sz w:val="22"/>
          <w:szCs w:val="22"/>
          <w:color w:val="auto"/>
        </w:rPr>
        <w:t>Check the appropriate box to designate the Rule pursuant to which this Schedule is filed:</w:t>
      </w:r>
    </w:p>
    <w:p>
      <w:pPr>
        <w:spacing w:after="0" w:line="162" w:lineRule="exact"/>
        <w:rPr>
          <w:sz w:val="24"/>
          <w:szCs w:val="24"/>
          <w:color w:val="auto"/>
        </w:rPr>
      </w:pPr>
    </w:p>
    <w:p>
      <w:pPr>
        <w:jc w:val="both"/>
        <w:ind w:left="660" w:right="8820" w:hanging="652"/>
        <w:spacing w:after="0" w:line="411" w:lineRule="auto"/>
        <w:tabs>
          <w:tab w:leader="none" w:pos="530" w:val="left"/>
        </w:tabs>
        <w:numPr>
          <w:ilvl w:val="0"/>
          <w:numId w:val="1"/>
        </w:numPr>
        <w:rPr>
          <w:rFonts w:ascii="Courier New" w:cs="Courier New" w:eastAsia="Courier New" w:hAnsi="Courier New"/>
          <w:sz w:val="21"/>
          <w:szCs w:val="21"/>
          <w:color w:val="auto"/>
        </w:rPr>
      </w:pPr>
      <w:r>
        <w:rPr>
          <w:rFonts w:ascii="Courier New" w:cs="Courier New" w:eastAsia="Courier New" w:hAnsi="Courier New"/>
          <w:sz w:val="21"/>
          <w:szCs w:val="21"/>
          <w:color w:val="auto"/>
        </w:rPr>
        <w:t>Rule 13d - 1(b) Rule 13d - 1(c) Rule 13d - 1(d)</w:t>
      </w:r>
    </w:p>
    <w:p>
      <w:pPr>
        <w:spacing w:after="0" w:line="74" w:lineRule="exact"/>
        <w:rPr>
          <w:sz w:val="24"/>
          <w:szCs w:val="24"/>
          <w:color w:val="auto"/>
        </w:rPr>
      </w:pPr>
    </w:p>
    <w:p>
      <w:pPr>
        <w:ind w:right="140"/>
        <w:spacing w:after="0" w:line="234" w:lineRule="auto"/>
        <w:rPr>
          <w:sz w:val="20"/>
          <w:szCs w:val="20"/>
          <w:color w:val="auto"/>
        </w:rPr>
      </w:pPr>
      <w:r>
        <w:rPr>
          <w:rFonts w:ascii="Courier New" w:cs="Courier New" w:eastAsia="Courier New" w:hAnsi="Courier New"/>
          <w:sz w:val="22"/>
          <w:szCs w:val="22"/>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62" w:lineRule="exact"/>
        <w:rPr>
          <w:sz w:val="24"/>
          <w:szCs w:val="24"/>
          <w:color w:val="auto"/>
        </w:rPr>
      </w:pPr>
    </w:p>
    <w:p>
      <w:pPr>
        <w:spacing w:after="0" w:line="234" w:lineRule="auto"/>
        <w:rPr>
          <w:sz w:val="20"/>
          <w:szCs w:val="20"/>
          <w:color w:val="auto"/>
        </w:rPr>
      </w:pPr>
      <w:r>
        <w:rPr>
          <w:rFonts w:ascii="Courier New" w:cs="Courier New" w:eastAsia="Courier New" w:hAnsi="Courier New"/>
          <w:sz w:val="22"/>
          <w:szCs w:val="22"/>
          <w:color w:val="auto"/>
        </w:rPr>
        <w:t>The information required on the remainder of this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156" w:lineRule="exact"/>
        <w:rPr>
          <w:sz w:val="24"/>
          <w:szCs w:val="24"/>
          <w:color w:val="auto"/>
        </w:rPr>
      </w:pPr>
    </w:p>
    <w:p>
      <w:pPr>
        <w:jc w:val="center"/>
        <w:ind w:right="-19"/>
        <w:spacing w:after="0"/>
        <w:rPr>
          <w:sz w:val="20"/>
          <w:szCs w:val="20"/>
          <w:color w:val="auto"/>
        </w:rPr>
      </w:pPr>
      <w:r>
        <w:rPr>
          <w:rFonts w:ascii="Courier New" w:cs="Courier New" w:eastAsia="Courier New" w:hAnsi="Courier New"/>
          <w:sz w:val="22"/>
          <w:szCs w:val="22"/>
          <w:color w:val="auto"/>
        </w:rPr>
        <w:t>(Continued on following page(s)</w:t>
      </w:r>
    </w:p>
    <w:p>
      <w:pPr>
        <w:spacing w:after="0" w:line="234" w:lineRule="auto"/>
        <w:rPr>
          <w:sz w:val="20"/>
          <w:szCs w:val="20"/>
          <w:color w:val="auto"/>
        </w:rPr>
      </w:pPr>
      <w:r>
        <w:rPr>
          <w:rFonts w:ascii="Courier New" w:cs="Courier New" w:eastAsia="Courier New" w:hAnsi="Courier New"/>
          <w:sz w:val="22"/>
          <w:szCs w:val="22"/>
          <w:color w:val="auto"/>
        </w:rPr>
        <w:t>Page 1 of 5 Pages</w:t>
      </w:r>
    </w:p>
    <w:p>
      <w:pPr>
        <w:sectPr>
          <w:pgSz w:w="11900" w:h="16838" w:orient="portrait"/>
          <w:cols w:equalWidth="0" w:num="1">
            <w:col w:w="11420"/>
          </w:cols>
          <w:pgMar w:left="240" w:top="237" w:right="239" w:bottom="1440" w:gutter="0" w:footer="0" w:header="0"/>
        </w:sectPr>
      </w:pPr>
    </w:p>
    <w:bookmarkStart w:id="1" w:name="page2"/>
    <w:bookmarkEnd w:id="1"/>
    <w:p>
      <w:pPr>
        <w:spacing w:after="0"/>
        <w:rPr>
          <w:sz w:val="20"/>
          <w:szCs w:val="20"/>
          <w:color w:val="auto"/>
        </w:rPr>
      </w:pPr>
      <w:r>
        <w:rPr>
          <w:rFonts w:ascii="Courier New" w:cs="Courier New" w:eastAsia="Courier New" w:hAnsi="Courier New"/>
          <w:sz w:val="22"/>
          <w:szCs w:val="22"/>
          <w:color w:val="auto"/>
        </w:rPr>
        <w:t>CUSIP NO. 891092108 13G Page 2 of 5 Pages</w:t>
      </w:r>
    </w:p>
    <w:p>
      <w:pPr>
        <w:spacing w:after="0" w:line="61"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1 Name of Reporting Person</w:t>
      </w:r>
    </w:p>
    <w:p>
      <w:pPr>
        <w:ind w:left="460"/>
        <w:spacing w:after="0" w:line="234" w:lineRule="auto"/>
        <w:rPr>
          <w:sz w:val="20"/>
          <w:szCs w:val="20"/>
          <w:color w:val="auto"/>
        </w:rPr>
      </w:pPr>
      <w:r>
        <w:rPr>
          <w:rFonts w:ascii="Courier New" w:cs="Courier New" w:eastAsia="Courier New" w:hAnsi="Courier New"/>
          <w:sz w:val="22"/>
          <w:szCs w:val="22"/>
          <w:color w:val="auto"/>
        </w:rPr>
        <w:t>S.S. or I.R.S. Identification No. of Above Person</w:t>
      </w:r>
    </w:p>
    <w:p>
      <w:pPr>
        <w:spacing w:after="0" w:line="35" w:lineRule="exact"/>
        <w:rPr>
          <w:sz w:val="20"/>
          <w:szCs w:val="20"/>
          <w:color w:val="auto"/>
        </w:rPr>
      </w:pPr>
    </w:p>
    <w:p>
      <w:pPr>
        <w:ind w:left="460"/>
        <w:spacing w:after="0"/>
        <w:rPr>
          <w:sz w:val="20"/>
          <w:szCs w:val="20"/>
          <w:color w:val="auto"/>
        </w:rPr>
      </w:pPr>
      <w:r>
        <w:rPr>
          <w:rFonts w:ascii="Courier New" w:cs="Courier New" w:eastAsia="Courier New" w:hAnsi="Courier New"/>
          <w:sz w:val="22"/>
          <w:szCs w:val="22"/>
          <w:color w:val="auto"/>
        </w:rPr>
        <w:t>T. ROWE PRICE ASSOCIATES, INC.</w:t>
      </w:r>
    </w:p>
    <w:p>
      <w:pPr>
        <w:ind w:left="460"/>
        <w:spacing w:after="0" w:line="234" w:lineRule="auto"/>
        <w:rPr>
          <w:sz w:val="20"/>
          <w:szCs w:val="20"/>
          <w:color w:val="auto"/>
        </w:rPr>
      </w:pPr>
      <w:r>
        <w:rPr>
          <w:rFonts w:ascii="Courier New" w:cs="Courier New" w:eastAsia="Courier New" w:hAnsi="Courier New"/>
          <w:sz w:val="22"/>
          <w:szCs w:val="22"/>
          <w:color w:val="auto"/>
        </w:rPr>
        <w:t>52-0556948</w:t>
      </w:r>
    </w:p>
    <w:p>
      <w:pPr>
        <w:spacing w:after="0" w:line="103"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2 Check the Appropriate Box if a Member of a Group*</w:t>
      </w:r>
    </w:p>
    <w:p>
      <w:pPr>
        <w:spacing w:after="0" w:line="33" w:lineRule="exact"/>
        <w:rPr>
          <w:sz w:val="20"/>
          <w:szCs w:val="20"/>
          <w:color w:val="auto"/>
        </w:rPr>
      </w:pPr>
    </w:p>
    <w:p>
      <w:pPr>
        <w:ind w:left="7200"/>
        <w:spacing w:after="0"/>
        <w:rPr>
          <w:sz w:val="20"/>
          <w:szCs w:val="20"/>
          <w:color w:val="auto"/>
        </w:rPr>
      </w:pPr>
      <w:r>
        <w:rPr>
          <w:rFonts w:ascii="Courier New" w:cs="Courier New" w:eastAsia="Courier New" w:hAnsi="Courier New"/>
          <w:sz w:val="22"/>
          <w:szCs w:val="22"/>
          <w:color w:val="auto"/>
        </w:rPr>
        <w:t>(a) ____</w:t>
      </w:r>
    </w:p>
    <w:p>
      <w:pPr>
        <w:ind w:left="460"/>
        <w:spacing w:after="0" w:line="234" w:lineRule="auto"/>
        <w:rPr>
          <w:sz w:val="20"/>
          <w:szCs w:val="20"/>
          <w:color w:val="auto"/>
        </w:rPr>
      </w:pPr>
      <w:r>
        <w:rPr>
          <w:rFonts w:ascii="Courier New" w:cs="Courier New" w:eastAsia="Courier New" w:hAnsi="Courier New"/>
          <w:sz w:val="22"/>
          <w:szCs w:val="22"/>
          <w:color w:val="auto"/>
        </w:rPr>
        <w:t>NOT APPLICABLE (b) ____</w:t>
      </w:r>
    </w:p>
    <w:p>
      <w:pPr>
        <w:spacing w:after="0" w:line="103" w:lineRule="exact"/>
        <w:rPr>
          <w:sz w:val="20"/>
          <w:szCs w:val="20"/>
          <w:color w:val="auto"/>
        </w:rPr>
      </w:pPr>
    </w:p>
    <w:p>
      <w:pPr>
        <w:ind w:left="460" w:hanging="452"/>
        <w:spacing w:after="0"/>
        <w:tabs>
          <w:tab w:leader="none" w:pos="460" w:val="left"/>
        </w:tabs>
        <w:numPr>
          <w:ilvl w:val="0"/>
          <w:numId w:val="2"/>
        </w:numPr>
        <w:rPr>
          <w:rFonts w:ascii="Courier New" w:cs="Courier New" w:eastAsia="Courier New" w:hAnsi="Courier New"/>
          <w:sz w:val="22"/>
          <w:szCs w:val="22"/>
          <w:color w:val="auto"/>
        </w:rPr>
      </w:pPr>
      <w:r>
        <w:rPr>
          <w:rFonts w:ascii="Courier New" w:cs="Courier New" w:eastAsia="Courier New" w:hAnsi="Courier New"/>
          <w:sz w:val="22"/>
          <w:szCs w:val="22"/>
          <w:color w:val="auto"/>
        </w:rPr>
        <w:t>SEC Use Only</w:t>
      </w:r>
    </w:p>
    <w:p>
      <w:pPr>
        <w:spacing w:after="0" w:line="102" w:lineRule="exact"/>
        <w:rPr>
          <w:sz w:val="20"/>
          <w:szCs w:val="20"/>
          <w:color w:val="auto"/>
        </w:rPr>
      </w:pPr>
    </w:p>
    <w:p>
      <w:pPr>
        <w:ind w:left="460"/>
        <w:spacing w:after="0"/>
        <w:rPr>
          <w:sz w:val="20"/>
          <w:szCs w:val="20"/>
          <w:color w:val="auto"/>
        </w:rPr>
      </w:pPr>
      <w:r>
        <w:rPr>
          <w:rFonts w:ascii="Courier New" w:cs="Courier New" w:eastAsia="Courier New" w:hAnsi="Courier New"/>
          <w:sz w:val="22"/>
          <w:szCs w:val="22"/>
          <w:color w:val="auto"/>
        </w:rPr>
        <w:t>______________________________</w:t>
      </w:r>
    </w:p>
    <w:p>
      <w:pPr>
        <w:spacing w:after="0" w:line="102" w:lineRule="exact"/>
        <w:rPr>
          <w:sz w:val="20"/>
          <w:szCs w:val="20"/>
          <w:color w:val="auto"/>
        </w:rPr>
      </w:pPr>
    </w:p>
    <w:p>
      <w:pPr>
        <w:ind w:left="460" w:hanging="452"/>
        <w:spacing w:after="0"/>
        <w:tabs>
          <w:tab w:leader="none" w:pos="460" w:val="left"/>
        </w:tabs>
        <w:numPr>
          <w:ilvl w:val="0"/>
          <w:numId w:val="3"/>
        </w:numPr>
        <w:rPr>
          <w:rFonts w:ascii="Courier New" w:cs="Courier New" w:eastAsia="Courier New" w:hAnsi="Courier New"/>
          <w:sz w:val="22"/>
          <w:szCs w:val="22"/>
          <w:color w:val="auto"/>
        </w:rPr>
      </w:pPr>
      <w:r>
        <w:rPr>
          <w:rFonts w:ascii="Courier New" w:cs="Courier New" w:eastAsia="Courier New" w:hAnsi="Courier New"/>
          <w:sz w:val="22"/>
          <w:szCs w:val="22"/>
          <w:color w:val="auto"/>
        </w:rPr>
        <w:t>Citizenship or Place of Organization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2020"/>
        <w:spacing w:after="0"/>
        <w:rPr>
          <w:sz w:val="20"/>
          <w:szCs w:val="20"/>
          <w:color w:val="auto"/>
        </w:rPr>
      </w:pPr>
      <w:r>
        <w:rPr>
          <w:rFonts w:ascii="Courier New" w:cs="Courier New" w:eastAsia="Courier New" w:hAnsi="Courier New"/>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460" w:right="1979" w:hanging="452"/>
        <w:spacing w:after="0" w:line="333" w:lineRule="auto"/>
        <w:tabs>
          <w:tab w:leader="none" w:pos="452" w:val="left"/>
        </w:tabs>
        <w:numPr>
          <w:ilvl w:val="0"/>
          <w:numId w:val="4"/>
        </w:numPr>
        <w:rPr>
          <w:rFonts w:ascii="Courier New" w:cs="Courier New" w:eastAsia="Courier New" w:hAnsi="Courier New"/>
          <w:sz w:val="22"/>
          <w:szCs w:val="22"/>
          <w:color w:val="auto"/>
        </w:rPr>
      </w:pPr>
      <w:r>
        <w:rPr>
          <w:rFonts w:ascii="Courier New" w:cs="Courier New" w:eastAsia="Courier New" w:hAnsi="Courier New"/>
          <w:sz w:val="22"/>
          <w:szCs w:val="22"/>
          <w:color w:val="auto"/>
        </w:rPr>
        <w:t>Aggregate Amount Beneficially Owned by Each Reporting Person 1,844,340</w:t>
      </w:r>
    </w:p>
    <w:p>
      <w:pPr>
        <w:spacing w:after="0" w:line="11" w:lineRule="exact"/>
        <w:rPr>
          <w:sz w:val="20"/>
          <w:szCs w:val="20"/>
          <w:color w:val="auto"/>
        </w:rPr>
      </w:pPr>
    </w:p>
    <w:p>
      <w:pPr>
        <w:ind w:left="460" w:hanging="452"/>
        <w:spacing w:after="0"/>
        <w:tabs>
          <w:tab w:leader="none" w:pos="460" w:val="left"/>
        </w:tabs>
        <w:numPr>
          <w:ilvl w:val="0"/>
          <w:numId w:val="5"/>
        </w:numPr>
        <w:rPr>
          <w:rFonts w:ascii="Courier New" w:cs="Courier New" w:eastAsia="Courier New" w:hAnsi="Courier New"/>
          <w:sz w:val="21"/>
          <w:szCs w:val="21"/>
          <w:color w:val="auto"/>
        </w:rPr>
      </w:pPr>
      <w:r>
        <w:rPr>
          <w:rFonts w:ascii="Courier New" w:cs="Courier New" w:eastAsia="Courier New" w:hAnsi="Courier New"/>
          <w:sz w:val="21"/>
          <w:szCs w:val="21"/>
          <w:color w:val="auto"/>
        </w:rPr>
        <w:t>Check Box if the Aggregate Amount in Row (9) Excludes Certain Shares*</w:t>
      </w:r>
    </w:p>
    <w:p>
      <w:pPr>
        <w:spacing w:after="0" w:line="108" w:lineRule="exact"/>
        <w:rPr>
          <w:rFonts w:ascii="Courier New" w:cs="Courier New" w:eastAsia="Courier New" w:hAnsi="Courier New"/>
          <w:sz w:val="21"/>
          <w:szCs w:val="21"/>
          <w:color w:val="auto"/>
        </w:rPr>
      </w:pPr>
    </w:p>
    <w:p>
      <w:pPr>
        <w:ind w:left="460"/>
        <w:spacing w:after="0"/>
        <w:rPr>
          <w:rFonts w:ascii="Courier New" w:cs="Courier New" w:eastAsia="Courier New" w:hAnsi="Courier New"/>
          <w:sz w:val="21"/>
          <w:szCs w:val="21"/>
          <w:color w:val="auto"/>
        </w:rPr>
      </w:pPr>
      <w:r>
        <w:rPr>
          <w:rFonts w:ascii="Courier New" w:cs="Courier New" w:eastAsia="Courier New" w:hAnsi="Courier New"/>
          <w:sz w:val="22"/>
          <w:szCs w:val="22"/>
          <w:color w:val="auto"/>
        </w:rPr>
        <w:t>NOT APPLICABLE</w:t>
      </w:r>
    </w:p>
    <w:p>
      <w:pPr>
        <w:spacing w:after="0" w:line="101" w:lineRule="exact"/>
        <w:rPr>
          <w:rFonts w:ascii="Courier New" w:cs="Courier New" w:eastAsia="Courier New" w:hAnsi="Courier New"/>
          <w:sz w:val="21"/>
          <w:szCs w:val="21"/>
          <w:color w:val="auto"/>
        </w:rPr>
      </w:pPr>
    </w:p>
    <w:p>
      <w:pPr>
        <w:ind w:left="400" w:hanging="392"/>
        <w:spacing w:after="0"/>
        <w:tabs>
          <w:tab w:leader="none" w:pos="400" w:val="left"/>
        </w:tabs>
        <w:numPr>
          <w:ilvl w:val="0"/>
          <w:numId w:val="5"/>
        </w:numPr>
        <w:rPr>
          <w:rFonts w:ascii="Courier New" w:cs="Courier New" w:eastAsia="Courier New" w:hAnsi="Courier New"/>
          <w:sz w:val="22"/>
          <w:szCs w:val="22"/>
          <w:color w:val="auto"/>
        </w:rPr>
      </w:pPr>
      <w:r>
        <w:rPr>
          <w:rFonts w:ascii="Courier New" w:cs="Courier New" w:eastAsia="Courier New" w:hAnsi="Courier New"/>
          <w:sz w:val="22"/>
          <w:szCs w:val="22"/>
          <w:color w:val="auto"/>
        </w:rPr>
        <w:t>Percent of Class Represented by Amount in Row 9</w:t>
      </w:r>
    </w:p>
    <w:p>
      <w:pPr>
        <w:spacing w:after="0" w:line="102" w:lineRule="exact"/>
        <w:rPr>
          <w:sz w:val="20"/>
          <w:szCs w:val="20"/>
          <w:color w:val="auto"/>
        </w:rPr>
      </w:pPr>
    </w:p>
    <w:p>
      <w:pPr>
        <w:ind w:left="460"/>
        <w:spacing w:after="0"/>
        <w:rPr>
          <w:sz w:val="20"/>
          <w:szCs w:val="20"/>
          <w:color w:val="auto"/>
        </w:rPr>
      </w:pPr>
      <w:r>
        <w:rPr>
          <w:rFonts w:ascii="Courier New" w:cs="Courier New" w:eastAsia="Courier New" w:hAnsi="Courier New"/>
          <w:sz w:val="22"/>
          <w:szCs w:val="22"/>
          <w:color w:val="auto"/>
        </w:rPr>
        <w:t>3.1%</w:t>
      </w:r>
    </w:p>
    <w:p>
      <w:pPr>
        <w:spacing w:after="0" w:line="102"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12 Type of Reporting Person*</w:t>
      </w:r>
    </w:p>
    <w:p>
      <w:pPr>
        <w:spacing w:after="0" w:line="225" w:lineRule="auto"/>
        <w:rPr>
          <w:sz w:val="20"/>
          <w:szCs w:val="20"/>
          <w:color w:val="auto"/>
        </w:rPr>
      </w:pPr>
      <w:r>
        <w:rPr>
          <w:rFonts w:ascii="Courier New" w:cs="Courier New" w:eastAsia="Courier New" w:hAnsi="Courier New"/>
          <w:sz w:val="22"/>
          <w:szCs w:val="22"/>
          <w:color w:val="auto"/>
        </w:rPr>
        <w:t>*SEE</w:t>
      </w:r>
      <w:r>
        <w:rPr>
          <w:rFonts w:ascii="Courier New" w:cs="Courier New" w:eastAsia="Courier New" w:hAnsi="Courier New"/>
          <w:sz w:val="43"/>
          <w:szCs w:val="43"/>
          <w:color w:val="auto"/>
          <w:vertAlign w:val="superscript"/>
        </w:rPr>
        <w:t>IA</w:t>
      </w:r>
      <w:r>
        <w:rPr>
          <w:rFonts w:ascii="Courier New" w:cs="Courier New" w:eastAsia="Courier New" w:hAnsi="Courier New"/>
          <w:sz w:val="22"/>
          <w:szCs w:val="22"/>
          <w:color w:val="auto"/>
        </w:rPr>
        <w:t>INSTRUCTION BEFORE FILLING OUT!</w:t>
      </w:r>
    </w:p>
    <w:p>
      <w:pPr>
        <w:spacing w:after="0" w:line="2" w:lineRule="exact"/>
        <w:rPr>
          <w:sz w:val="20"/>
          <w:szCs w:val="20"/>
          <w:color w:val="auto"/>
        </w:rPr>
      </w:pPr>
    </w:p>
    <w:p>
      <w:pPr>
        <w:ind w:right="4119"/>
        <w:spacing w:after="0" w:line="202" w:lineRule="auto"/>
        <w:rPr>
          <w:sz w:val="20"/>
          <w:szCs w:val="20"/>
          <w:color w:val="auto"/>
        </w:rPr>
      </w:pPr>
      <w:r>
        <w:rPr>
          <w:rFonts w:ascii="Courier New" w:cs="Courier New" w:eastAsia="Courier New" w:hAnsi="Courier New"/>
          <w:sz w:val="22"/>
          <w:szCs w:val="22"/>
          <w:color w:val="auto"/>
        </w:rPr>
        <w:t>**Any shares reported in Items 5 and 6 are also reported in Item 7.</w:t>
      </w:r>
    </w:p>
    <w:p>
      <w:pPr>
        <w:sectPr>
          <w:pgSz w:w="11900" w:h="16838" w:orient="portrait"/>
          <w:cols w:equalWidth="0" w:num="1">
            <w:col w:w="10219"/>
          </w:cols>
          <w:pgMar w:left="240" w:top="643" w:right="1440" w:bottom="1440" w:gutter="0" w:footer="0" w:header="0"/>
        </w:sectPr>
      </w:pPr>
    </w:p>
    <w:bookmarkStart w:id="2" w:name="page3"/>
    <w:bookmarkEnd w:id="2"/>
    <w:p>
      <w:pPr>
        <w:spacing w:after="0"/>
        <w:rPr>
          <w:sz w:val="20"/>
          <w:szCs w:val="20"/>
          <w:color w:val="auto"/>
        </w:rPr>
      </w:pPr>
      <w:r>
        <w:rPr>
          <w:rFonts w:ascii="Courier New" w:cs="Courier New" w:eastAsia="Courier New" w:hAnsi="Courier New"/>
          <w:sz w:val="22"/>
          <w:szCs w:val="22"/>
          <w:color w:val="auto"/>
        </w:rPr>
        <w:t>SCHEDULE 13G</w:t>
      </w:r>
    </w:p>
    <w:p>
      <w:pPr>
        <w:spacing w:after="0" w:line="234" w:lineRule="auto"/>
        <w:rPr>
          <w:sz w:val="20"/>
          <w:szCs w:val="20"/>
          <w:color w:val="auto"/>
        </w:rPr>
      </w:pPr>
      <w:r>
        <w:rPr>
          <w:rFonts w:ascii="Courier New" w:cs="Courier New" w:eastAsia="Courier New" w:hAnsi="Courier New"/>
          <w:sz w:val="22"/>
          <w:szCs w:val="22"/>
          <w:color w:val="auto"/>
        </w:rPr>
        <w:t>PAGE 3 OF 5</w:t>
      </w:r>
    </w:p>
    <w:p>
      <w:pPr>
        <w:spacing w:after="0" w:line="103"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Item 1(a) Name of Issuer:</w:t>
      </w:r>
    </w:p>
    <w:p>
      <w:pPr>
        <w:spacing w:after="0" w:line="102" w:lineRule="exact"/>
        <w:rPr>
          <w:sz w:val="20"/>
          <w:szCs w:val="20"/>
          <w:color w:val="auto"/>
        </w:rPr>
      </w:pPr>
    </w:p>
    <w:p>
      <w:pPr>
        <w:ind w:left="1360"/>
        <w:spacing w:after="0"/>
        <w:rPr>
          <w:sz w:val="20"/>
          <w:szCs w:val="20"/>
          <w:color w:val="auto"/>
        </w:rPr>
      </w:pPr>
      <w:r>
        <w:rPr>
          <w:rFonts w:ascii="Courier New" w:cs="Courier New" w:eastAsia="Courier New" w:hAnsi="Courier New"/>
          <w:sz w:val="22"/>
          <w:szCs w:val="22"/>
          <w:color w:val="auto"/>
        </w:rPr>
        <w:t>Reference is made to page 1 of this Schedule 13G</w:t>
      </w:r>
    </w:p>
    <w:p>
      <w:pPr>
        <w:spacing w:after="0" w:line="102"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Item 1(b) Address of Issuer's Principal Executive Offices:</w:t>
      </w:r>
    </w:p>
    <w:p>
      <w:pPr>
        <w:spacing w:after="0" w:line="142" w:lineRule="exact"/>
        <w:rPr>
          <w:sz w:val="20"/>
          <w:szCs w:val="20"/>
          <w:color w:val="auto"/>
        </w:rPr>
      </w:pPr>
    </w:p>
    <w:p>
      <w:pPr>
        <w:ind w:left="1300"/>
        <w:spacing w:after="0"/>
        <w:rPr>
          <w:sz w:val="20"/>
          <w:szCs w:val="20"/>
          <w:color w:val="auto"/>
        </w:rPr>
      </w:pPr>
      <w:r>
        <w:rPr>
          <w:rFonts w:ascii="Courier New" w:cs="Courier New" w:eastAsia="Courier New" w:hAnsi="Courier New"/>
          <w:sz w:val="22"/>
          <w:szCs w:val="22"/>
          <w:color w:val="auto"/>
        </w:rPr>
        <w:t>8111 LYNDALE AVE. SOUTH, BLOOMINGTON, MN 55420</w:t>
      </w:r>
    </w:p>
    <w:p>
      <w:pPr>
        <w:spacing w:after="0" w:line="237"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Item 2(a) Name of Person(s) Filing:</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49"/>
        </w:trPr>
        <w:tc>
          <w:tcPr>
            <w:tcW w:w="1240" w:type="dxa"/>
            <w:vAlign w:val="bottom"/>
          </w:tcPr>
          <w:p>
            <w:pPr>
              <w:spacing w:after="0"/>
              <w:rPr>
                <w:sz w:val="21"/>
                <w:szCs w:val="21"/>
                <w:color w:val="auto"/>
              </w:rPr>
            </w:pPr>
          </w:p>
        </w:tc>
        <w:tc>
          <w:tcPr>
            <w:tcW w:w="580" w:type="dxa"/>
            <w:vAlign w:val="bottom"/>
          </w:tcPr>
          <w:p>
            <w:pPr>
              <w:ind w:left="120"/>
              <w:spacing w:after="0"/>
              <w:rPr>
                <w:sz w:val="20"/>
                <w:szCs w:val="20"/>
                <w:color w:val="auto"/>
              </w:rPr>
            </w:pPr>
            <w:r>
              <w:rPr>
                <w:rFonts w:ascii="Courier New" w:cs="Courier New" w:eastAsia="Courier New" w:hAnsi="Courier New"/>
                <w:sz w:val="22"/>
                <w:szCs w:val="22"/>
                <w:color w:val="auto"/>
              </w:rPr>
              <w:t>(1)</w:t>
            </w:r>
          </w:p>
        </w:tc>
        <w:tc>
          <w:tcPr>
            <w:tcW w:w="9520" w:type="dxa"/>
            <w:vAlign w:val="bottom"/>
          </w:tcPr>
          <w:p>
            <w:pPr>
              <w:ind w:left="180"/>
              <w:spacing w:after="0"/>
              <w:rPr>
                <w:sz w:val="20"/>
                <w:szCs w:val="20"/>
                <w:color w:val="auto"/>
              </w:rPr>
            </w:pPr>
            <w:r>
              <w:rPr>
                <w:rFonts w:ascii="Courier New" w:cs="Courier New" w:eastAsia="Courier New" w:hAnsi="Courier New"/>
                <w:sz w:val="22"/>
                <w:szCs w:val="22"/>
                <w:color w:val="auto"/>
              </w:rPr>
              <w:t>T. Rowe Price Associates, Inc. ("Price Associates")</w:t>
            </w:r>
          </w:p>
        </w:tc>
      </w:tr>
      <w:tr>
        <w:trPr>
          <w:trHeight w:val="351"/>
        </w:trPr>
        <w:tc>
          <w:tcPr>
            <w:tcW w:w="1240" w:type="dxa"/>
            <w:vAlign w:val="bottom"/>
          </w:tcPr>
          <w:p>
            <w:pPr>
              <w:spacing w:after="0"/>
              <w:rPr>
                <w:sz w:val="24"/>
                <w:szCs w:val="24"/>
                <w:color w:val="auto"/>
              </w:rPr>
            </w:pPr>
          </w:p>
        </w:tc>
        <w:tc>
          <w:tcPr>
            <w:tcW w:w="580" w:type="dxa"/>
            <w:vAlign w:val="bottom"/>
          </w:tcPr>
          <w:p>
            <w:pPr>
              <w:ind w:left="120"/>
              <w:spacing w:after="0"/>
              <w:rPr>
                <w:sz w:val="20"/>
                <w:szCs w:val="20"/>
                <w:color w:val="auto"/>
              </w:rPr>
            </w:pPr>
            <w:r>
              <w:rPr>
                <w:rFonts w:ascii="Courier New" w:cs="Courier New" w:eastAsia="Courier New" w:hAnsi="Courier New"/>
                <w:sz w:val="22"/>
                <w:szCs w:val="22"/>
                <w:color w:val="auto"/>
              </w:rPr>
              <w:t>(2)</w:t>
            </w:r>
          </w:p>
        </w:tc>
        <w:tc>
          <w:tcPr>
            <w:tcW w:w="9520" w:type="dxa"/>
            <w:vAlign w:val="bottom"/>
          </w:tcPr>
          <w:p>
            <w:pPr>
              <w:ind w:left="60"/>
              <w:spacing w:after="0"/>
              <w:rPr>
                <w:sz w:val="20"/>
                <w:szCs w:val="20"/>
                <w:color w:val="auto"/>
              </w:rPr>
            </w:pPr>
            <w:r>
              <w:rPr>
                <w:rFonts w:ascii="Courier New" w:cs="Courier New" w:eastAsia="Courier New" w:hAnsi="Courier New"/>
                <w:sz w:val="22"/>
                <w:szCs w:val="22"/>
                <w:color w:val="auto"/>
              </w:rPr>
              <w:t>_______________________________________</w:t>
            </w:r>
          </w:p>
        </w:tc>
      </w:tr>
      <w:tr>
        <w:trPr>
          <w:trHeight w:val="287"/>
        </w:trPr>
        <w:tc>
          <w:tcPr>
            <w:tcW w:w="1240" w:type="dxa"/>
            <w:vAlign w:val="bottom"/>
          </w:tcPr>
          <w:p>
            <w:pPr>
              <w:spacing w:after="0"/>
              <w:rPr>
                <w:sz w:val="20"/>
                <w:szCs w:val="20"/>
                <w:color w:val="auto"/>
              </w:rPr>
            </w:pPr>
            <w:r>
              <w:rPr>
                <w:rFonts w:ascii="Courier New" w:cs="Courier New" w:eastAsia="Courier New" w:hAnsi="Courier New"/>
                <w:sz w:val="22"/>
                <w:szCs w:val="22"/>
                <w:color w:val="auto"/>
              </w:rPr>
              <w:t>_____</w:t>
            </w:r>
          </w:p>
        </w:tc>
        <w:tc>
          <w:tcPr>
            <w:tcW w:w="10100" w:type="dxa"/>
            <w:vAlign w:val="bottom"/>
            <w:gridSpan w:val="2"/>
          </w:tcPr>
          <w:p>
            <w:pPr>
              <w:ind w:left="120"/>
              <w:spacing w:after="0"/>
              <w:rPr>
                <w:sz w:val="20"/>
                <w:szCs w:val="20"/>
                <w:color w:val="auto"/>
              </w:rPr>
            </w:pPr>
            <w:r>
              <w:rPr>
                <w:rFonts w:ascii="Courier New" w:cs="Courier New" w:eastAsia="Courier New" w:hAnsi="Courier New"/>
                <w:sz w:val="22"/>
                <w:szCs w:val="22"/>
                <w:color w:val="auto"/>
              </w:rPr>
              <w:t>Attached as Exhibit A is a copy of an agreement between the Persons Filing</w:t>
            </w:r>
          </w:p>
        </w:tc>
      </w:tr>
      <w:tr>
        <w:trPr>
          <w:trHeight w:val="176"/>
        </w:trPr>
        <w:tc>
          <w:tcPr>
            <w:tcW w:w="1240" w:type="dxa"/>
            <w:vAlign w:val="bottom"/>
          </w:tcPr>
          <w:p>
            <w:pPr>
              <w:spacing w:after="0"/>
              <w:rPr>
                <w:sz w:val="15"/>
                <w:szCs w:val="15"/>
                <w:color w:val="auto"/>
              </w:rPr>
            </w:pPr>
          </w:p>
        </w:tc>
        <w:tc>
          <w:tcPr>
            <w:tcW w:w="10100" w:type="dxa"/>
            <w:vAlign w:val="bottom"/>
            <w:gridSpan w:val="2"/>
          </w:tcPr>
          <w:p>
            <w:pPr>
              <w:ind w:left="120"/>
              <w:spacing w:after="0" w:line="175" w:lineRule="exact"/>
              <w:rPr>
                <w:sz w:val="20"/>
                <w:szCs w:val="20"/>
                <w:color w:val="auto"/>
              </w:rPr>
            </w:pPr>
            <w:r>
              <w:rPr>
                <w:rFonts w:ascii="Courier New" w:cs="Courier New" w:eastAsia="Courier New" w:hAnsi="Courier New"/>
                <w:sz w:val="19"/>
                <w:szCs w:val="19"/>
                <w:color w:val="auto"/>
              </w:rPr>
              <w:t>(as specified hereinabove) that this Schedule 13G is being filed on behalf of</w:t>
            </w:r>
          </w:p>
        </w:tc>
      </w:tr>
      <w:tr>
        <w:trPr>
          <w:trHeight w:val="244"/>
        </w:trPr>
        <w:tc>
          <w:tcPr>
            <w:tcW w:w="1240" w:type="dxa"/>
            <w:vAlign w:val="bottom"/>
          </w:tcPr>
          <w:p>
            <w:pPr>
              <w:spacing w:after="0"/>
              <w:rPr>
                <w:sz w:val="21"/>
                <w:szCs w:val="21"/>
                <w:color w:val="auto"/>
              </w:rPr>
            </w:pPr>
          </w:p>
        </w:tc>
        <w:tc>
          <w:tcPr>
            <w:tcW w:w="10100" w:type="dxa"/>
            <w:vAlign w:val="bottom"/>
            <w:gridSpan w:val="2"/>
          </w:tcPr>
          <w:p>
            <w:pPr>
              <w:ind w:left="120"/>
              <w:spacing w:after="0" w:line="243" w:lineRule="exact"/>
              <w:rPr>
                <w:sz w:val="20"/>
                <w:szCs w:val="20"/>
                <w:color w:val="auto"/>
              </w:rPr>
            </w:pPr>
            <w:r>
              <w:rPr>
                <w:rFonts w:ascii="Courier New" w:cs="Courier New" w:eastAsia="Courier New" w:hAnsi="Courier New"/>
                <w:sz w:val="22"/>
                <w:szCs w:val="22"/>
                <w:color w:val="auto"/>
              </w:rPr>
              <w:t>each of them.</w:t>
            </w:r>
          </w:p>
        </w:tc>
      </w:tr>
      <w:tr>
        <w:trPr>
          <w:trHeight w:val="347"/>
        </w:trPr>
        <w:tc>
          <w:tcPr>
            <w:tcW w:w="11340" w:type="dxa"/>
            <w:vAlign w:val="bottom"/>
            <w:gridSpan w:val="3"/>
          </w:tcPr>
          <w:p>
            <w:pPr>
              <w:spacing w:after="0"/>
              <w:rPr>
                <w:sz w:val="20"/>
                <w:szCs w:val="20"/>
                <w:color w:val="auto"/>
              </w:rPr>
            </w:pPr>
            <w:r>
              <w:rPr>
                <w:rFonts w:ascii="Courier New" w:cs="Courier New" w:eastAsia="Courier New" w:hAnsi="Courier New"/>
                <w:sz w:val="22"/>
                <w:szCs w:val="22"/>
                <w:color w:val="auto"/>
              </w:rPr>
              <w:t>Item 2(b) Address of Principal Business Office:</w:t>
            </w:r>
          </w:p>
        </w:tc>
      </w:tr>
      <w:tr>
        <w:trPr>
          <w:trHeight w:val="351"/>
        </w:trPr>
        <w:tc>
          <w:tcPr>
            <w:tcW w:w="1240" w:type="dxa"/>
            <w:vAlign w:val="bottom"/>
          </w:tcPr>
          <w:p>
            <w:pPr>
              <w:spacing w:after="0"/>
              <w:rPr>
                <w:sz w:val="24"/>
                <w:szCs w:val="24"/>
                <w:color w:val="auto"/>
              </w:rPr>
            </w:pPr>
          </w:p>
        </w:tc>
        <w:tc>
          <w:tcPr>
            <w:tcW w:w="580" w:type="dxa"/>
            <w:vAlign w:val="bottom"/>
          </w:tcPr>
          <w:p>
            <w:pPr>
              <w:ind w:left="120"/>
              <w:spacing w:after="0"/>
              <w:rPr>
                <w:sz w:val="20"/>
                <w:szCs w:val="20"/>
                <w:color w:val="auto"/>
              </w:rPr>
            </w:pPr>
            <w:r>
              <w:rPr>
                <w:rFonts w:ascii="Courier New" w:cs="Courier New" w:eastAsia="Courier New" w:hAnsi="Courier New"/>
                <w:sz w:val="22"/>
                <w:szCs w:val="22"/>
                <w:color w:val="auto"/>
              </w:rPr>
              <w:t>100</w:t>
            </w:r>
          </w:p>
        </w:tc>
        <w:tc>
          <w:tcPr>
            <w:tcW w:w="9520" w:type="dxa"/>
            <w:vAlign w:val="bottom"/>
          </w:tcPr>
          <w:p>
            <w:pPr>
              <w:ind w:left="60"/>
              <w:spacing w:after="0"/>
              <w:rPr>
                <w:sz w:val="20"/>
                <w:szCs w:val="20"/>
                <w:color w:val="auto"/>
              </w:rPr>
            </w:pPr>
            <w:r>
              <w:rPr>
                <w:rFonts w:ascii="Courier New" w:cs="Courier New" w:eastAsia="Courier New" w:hAnsi="Courier New"/>
                <w:sz w:val="22"/>
                <w:szCs w:val="22"/>
                <w:color w:val="auto"/>
              </w:rPr>
              <w:t>E. Pratt Street, Baltimore, Maryland 21202</w:t>
            </w:r>
          </w:p>
        </w:tc>
      </w:tr>
      <w:tr>
        <w:trPr>
          <w:trHeight w:val="351"/>
        </w:trPr>
        <w:tc>
          <w:tcPr>
            <w:tcW w:w="1240" w:type="dxa"/>
            <w:vAlign w:val="bottom"/>
          </w:tcPr>
          <w:p>
            <w:pPr>
              <w:spacing w:after="0"/>
              <w:rPr>
                <w:sz w:val="20"/>
                <w:szCs w:val="20"/>
                <w:color w:val="auto"/>
              </w:rPr>
            </w:pPr>
            <w:r>
              <w:rPr>
                <w:rFonts w:ascii="Courier New" w:cs="Courier New" w:eastAsia="Courier New" w:hAnsi="Courier New"/>
                <w:sz w:val="22"/>
                <w:szCs w:val="22"/>
                <w:color w:val="auto"/>
              </w:rPr>
              <w:t>Item 2(c)</w:t>
            </w:r>
          </w:p>
        </w:tc>
        <w:tc>
          <w:tcPr>
            <w:tcW w:w="10100" w:type="dxa"/>
            <w:vAlign w:val="bottom"/>
            <w:gridSpan w:val="2"/>
          </w:tcPr>
          <w:p>
            <w:pPr>
              <w:ind w:left="60"/>
              <w:spacing w:after="0"/>
              <w:rPr>
                <w:sz w:val="20"/>
                <w:szCs w:val="20"/>
                <w:color w:val="auto"/>
              </w:rPr>
            </w:pPr>
            <w:r>
              <w:rPr>
                <w:rFonts w:ascii="Courier New" w:cs="Courier New" w:eastAsia="Courier New" w:hAnsi="Courier New"/>
                <w:sz w:val="22"/>
                <w:szCs w:val="22"/>
                <w:color w:val="auto"/>
              </w:rPr>
              <w:t>Citizenship or Place of Organization:</w:t>
            </w:r>
          </w:p>
        </w:tc>
      </w:tr>
      <w:tr>
        <w:trPr>
          <w:trHeight w:val="351"/>
        </w:trPr>
        <w:tc>
          <w:tcPr>
            <w:tcW w:w="1240" w:type="dxa"/>
            <w:vAlign w:val="bottom"/>
          </w:tcPr>
          <w:p>
            <w:pPr>
              <w:spacing w:after="0"/>
              <w:rPr>
                <w:sz w:val="24"/>
                <w:szCs w:val="24"/>
                <w:color w:val="auto"/>
              </w:rPr>
            </w:pPr>
          </w:p>
        </w:tc>
        <w:tc>
          <w:tcPr>
            <w:tcW w:w="580" w:type="dxa"/>
            <w:vAlign w:val="bottom"/>
          </w:tcPr>
          <w:p>
            <w:pPr>
              <w:ind w:left="120"/>
              <w:spacing w:after="0"/>
              <w:rPr>
                <w:sz w:val="20"/>
                <w:szCs w:val="20"/>
                <w:color w:val="auto"/>
              </w:rPr>
            </w:pPr>
            <w:r>
              <w:rPr>
                <w:rFonts w:ascii="Courier New" w:cs="Courier New" w:eastAsia="Courier New" w:hAnsi="Courier New"/>
                <w:sz w:val="22"/>
                <w:szCs w:val="22"/>
                <w:color w:val="auto"/>
              </w:rPr>
              <w:t>(1)</w:t>
            </w:r>
          </w:p>
        </w:tc>
        <w:tc>
          <w:tcPr>
            <w:tcW w:w="9520" w:type="dxa"/>
            <w:vAlign w:val="bottom"/>
          </w:tcPr>
          <w:p>
            <w:pPr>
              <w:ind w:left="60"/>
              <w:spacing w:after="0"/>
              <w:rPr>
                <w:sz w:val="20"/>
                <w:szCs w:val="20"/>
                <w:color w:val="auto"/>
              </w:rPr>
            </w:pPr>
            <w:r>
              <w:rPr>
                <w:rFonts w:ascii="Courier New" w:cs="Courier New" w:eastAsia="Courier New" w:hAnsi="Courier New"/>
                <w:sz w:val="22"/>
                <w:szCs w:val="22"/>
                <w:color w:val="auto"/>
              </w:rPr>
              <w:t>Maryland</w:t>
            </w:r>
          </w:p>
        </w:tc>
      </w:tr>
      <w:tr>
        <w:trPr>
          <w:trHeight w:val="351"/>
        </w:trPr>
        <w:tc>
          <w:tcPr>
            <w:tcW w:w="1240" w:type="dxa"/>
            <w:vAlign w:val="bottom"/>
          </w:tcPr>
          <w:p>
            <w:pPr>
              <w:spacing w:after="0"/>
              <w:rPr>
                <w:sz w:val="24"/>
                <w:szCs w:val="24"/>
                <w:color w:val="auto"/>
              </w:rPr>
            </w:pPr>
          </w:p>
        </w:tc>
        <w:tc>
          <w:tcPr>
            <w:tcW w:w="580" w:type="dxa"/>
            <w:vAlign w:val="bottom"/>
          </w:tcPr>
          <w:p>
            <w:pPr>
              <w:ind w:left="120"/>
              <w:spacing w:after="0"/>
              <w:rPr>
                <w:sz w:val="20"/>
                <w:szCs w:val="20"/>
                <w:color w:val="auto"/>
              </w:rPr>
            </w:pPr>
            <w:r>
              <w:rPr>
                <w:rFonts w:ascii="Courier New" w:cs="Courier New" w:eastAsia="Courier New" w:hAnsi="Courier New"/>
                <w:sz w:val="22"/>
                <w:szCs w:val="22"/>
                <w:color w:val="auto"/>
              </w:rPr>
              <w:t>(2)</w:t>
            </w:r>
          </w:p>
        </w:tc>
        <w:tc>
          <w:tcPr>
            <w:tcW w:w="9520" w:type="dxa"/>
            <w:vAlign w:val="bottom"/>
          </w:tcPr>
          <w:p>
            <w:pPr>
              <w:ind w:left="60"/>
              <w:spacing w:after="0"/>
              <w:rPr>
                <w:sz w:val="20"/>
                <w:szCs w:val="20"/>
                <w:color w:val="auto"/>
              </w:rPr>
            </w:pPr>
            <w:r>
              <w:rPr>
                <w:rFonts w:ascii="Courier New" w:cs="Courier New" w:eastAsia="Courier New" w:hAnsi="Courier New"/>
                <w:sz w:val="22"/>
                <w:szCs w:val="22"/>
                <w:color w:val="auto"/>
              </w:rPr>
              <w:t>________</w:t>
            </w:r>
          </w:p>
        </w:tc>
      </w:tr>
      <w:tr>
        <w:trPr>
          <w:trHeight w:val="351"/>
        </w:trPr>
        <w:tc>
          <w:tcPr>
            <w:tcW w:w="1240" w:type="dxa"/>
            <w:vAlign w:val="bottom"/>
          </w:tcPr>
          <w:p>
            <w:pPr>
              <w:spacing w:after="0"/>
              <w:rPr>
                <w:sz w:val="20"/>
                <w:szCs w:val="20"/>
                <w:color w:val="auto"/>
              </w:rPr>
            </w:pPr>
            <w:r>
              <w:rPr>
                <w:rFonts w:ascii="Courier New" w:cs="Courier New" w:eastAsia="Courier New" w:hAnsi="Courier New"/>
                <w:sz w:val="22"/>
                <w:szCs w:val="22"/>
                <w:color w:val="auto"/>
              </w:rPr>
              <w:t>Item 2(d)</w:t>
            </w:r>
          </w:p>
        </w:tc>
        <w:tc>
          <w:tcPr>
            <w:tcW w:w="10100" w:type="dxa"/>
            <w:vAlign w:val="bottom"/>
            <w:gridSpan w:val="2"/>
          </w:tcPr>
          <w:p>
            <w:pPr>
              <w:ind w:left="60"/>
              <w:spacing w:after="0"/>
              <w:rPr>
                <w:sz w:val="20"/>
                <w:szCs w:val="20"/>
                <w:color w:val="auto"/>
              </w:rPr>
            </w:pPr>
            <w:r>
              <w:rPr>
                <w:rFonts w:ascii="Courier New" w:cs="Courier New" w:eastAsia="Courier New" w:hAnsi="Courier New"/>
                <w:sz w:val="22"/>
                <w:szCs w:val="22"/>
                <w:color w:val="auto"/>
              </w:rPr>
              <w:t>Title of Class of Securities:</w:t>
            </w:r>
          </w:p>
        </w:tc>
      </w:tr>
      <w:tr>
        <w:trPr>
          <w:trHeight w:val="351"/>
        </w:trPr>
        <w:tc>
          <w:tcPr>
            <w:tcW w:w="1240" w:type="dxa"/>
            <w:vAlign w:val="bottom"/>
          </w:tcPr>
          <w:p>
            <w:pPr>
              <w:spacing w:after="0"/>
              <w:rPr>
                <w:sz w:val="24"/>
                <w:szCs w:val="24"/>
                <w:color w:val="auto"/>
              </w:rPr>
            </w:pPr>
          </w:p>
        </w:tc>
        <w:tc>
          <w:tcPr>
            <w:tcW w:w="10100" w:type="dxa"/>
            <w:vAlign w:val="bottom"/>
            <w:gridSpan w:val="2"/>
          </w:tcPr>
          <w:p>
            <w:pPr>
              <w:ind w:left="120"/>
              <w:spacing w:after="0"/>
              <w:rPr>
                <w:sz w:val="20"/>
                <w:szCs w:val="20"/>
                <w:color w:val="auto"/>
              </w:rPr>
            </w:pPr>
            <w:r>
              <w:rPr>
                <w:rFonts w:ascii="Courier New" w:cs="Courier New" w:eastAsia="Courier New" w:hAnsi="Courier New"/>
                <w:sz w:val="22"/>
                <w:szCs w:val="22"/>
                <w:color w:val="auto"/>
              </w:rPr>
              <w:t>Reference is made to page 1 of this Schedule 13G</w:t>
            </w:r>
          </w:p>
        </w:tc>
      </w:tr>
      <w:tr>
        <w:trPr>
          <w:trHeight w:val="527"/>
        </w:trPr>
        <w:tc>
          <w:tcPr>
            <w:tcW w:w="1240" w:type="dxa"/>
            <w:vAlign w:val="bottom"/>
          </w:tcPr>
          <w:p>
            <w:pPr>
              <w:spacing w:after="0"/>
              <w:rPr>
                <w:sz w:val="20"/>
                <w:szCs w:val="20"/>
                <w:color w:val="auto"/>
              </w:rPr>
            </w:pPr>
            <w:r>
              <w:rPr>
                <w:rFonts w:ascii="Courier New" w:cs="Courier New" w:eastAsia="Courier New" w:hAnsi="Courier New"/>
                <w:sz w:val="22"/>
                <w:szCs w:val="22"/>
                <w:color w:val="auto"/>
              </w:rPr>
              <w:t>Item 2(e)</w:t>
            </w:r>
          </w:p>
        </w:tc>
        <w:tc>
          <w:tcPr>
            <w:tcW w:w="10100" w:type="dxa"/>
            <w:vAlign w:val="bottom"/>
            <w:gridSpan w:val="2"/>
          </w:tcPr>
          <w:p>
            <w:pPr>
              <w:ind w:left="60"/>
              <w:spacing w:after="0"/>
              <w:rPr>
                <w:sz w:val="20"/>
                <w:szCs w:val="20"/>
                <w:color w:val="auto"/>
              </w:rPr>
            </w:pPr>
            <w:r>
              <w:rPr>
                <w:rFonts w:ascii="Courier New" w:cs="Courier New" w:eastAsia="Courier New" w:hAnsi="Courier New"/>
                <w:sz w:val="22"/>
                <w:szCs w:val="22"/>
                <w:color w:val="auto"/>
              </w:rPr>
              <w:t>CUSIP Number: 891092108</w:t>
            </w:r>
          </w:p>
        </w:tc>
      </w:tr>
    </w:tbl>
    <w:p>
      <w:pPr>
        <w:spacing w:after="0" w:line="277"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Item 3 The person filing this Schedule 13G is an:</w:t>
      </w:r>
    </w:p>
    <w:p>
      <w:pPr>
        <w:spacing w:after="0" w:line="107" w:lineRule="exact"/>
        <w:rPr>
          <w:sz w:val="20"/>
          <w:szCs w:val="20"/>
          <w:color w:val="auto"/>
        </w:rPr>
      </w:pPr>
    </w:p>
    <w:p>
      <w:pPr>
        <w:ind w:left="1360" w:right="380" w:hanging="1352"/>
        <w:spacing w:after="0" w:line="202" w:lineRule="auto"/>
        <w:tabs>
          <w:tab w:leader="none" w:pos="1360" w:val="left"/>
        </w:tabs>
        <w:numPr>
          <w:ilvl w:val="0"/>
          <w:numId w:val="6"/>
        </w:numPr>
        <w:rPr>
          <w:rFonts w:ascii="Courier New" w:cs="Courier New" w:eastAsia="Courier New" w:hAnsi="Courier New"/>
          <w:sz w:val="22"/>
          <w:szCs w:val="22"/>
          <w:color w:val="auto"/>
        </w:rPr>
      </w:pPr>
      <w:r>
        <w:rPr>
          <w:rFonts w:ascii="Courier New" w:cs="Courier New" w:eastAsia="Courier New" w:hAnsi="Courier New"/>
          <w:sz w:val="22"/>
          <w:szCs w:val="22"/>
          <w:color w:val="auto"/>
        </w:rPr>
        <w:t>Investment Adviser registered under Section 203 of the Investment Advisers Act of 1940</w:t>
      </w:r>
    </w:p>
    <w:p>
      <w:pPr>
        <w:spacing w:after="0" w:line="34" w:lineRule="exact"/>
        <w:rPr>
          <w:sz w:val="20"/>
          <w:szCs w:val="20"/>
          <w:color w:val="auto"/>
        </w:rPr>
      </w:pPr>
    </w:p>
    <w:p>
      <w:pPr>
        <w:spacing w:after="0"/>
        <w:tabs>
          <w:tab w:leader="none" w:pos="1340" w:val="left"/>
        </w:tabs>
        <w:rPr>
          <w:sz w:val="20"/>
          <w:szCs w:val="20"/>
          <w:color w:val="auto"/>
        </w:rPr>
      </w:pPr>
      <w:r>
        <w:rPr>
          <w:rFonts w:ascii="Courier New" w:cs="Courier New" w:eastAsia="Courier New" w:hAnsi="Courier New"/>
          <w:sz w:val="22"/>
          <w:szCs w:val="22"/>
          <w:color w:val="auto"/>
        </w:rPr>
        <w:t>_____</w:t>
      </w:r>
      <w:r>
        <w:rPr>
          <w:sz w:val="20"/>
          <w:szCs w:val="20"/>
          <w:color w:val="auto"/>
        </w:rPr>
        <w:tab/>
      </w:r>
      <w:r>
        <w:rPr>
          <w:rFonts w:ascii="Courier New" w:cs="Courier New" w:eastAsia="Courier New" w:hAnsi="Courier New"/>
          <w:sz w:val="22"/>
          <w:szCs w:val="22"/>
          <w:color w:val="auto"/>
        </w:rPr>
        <w:t>Investment Company registered under Section 8 of the Investment Company Act</w:t>
      </w:r>
    </w:p>
    <w:p>
      <w:pPr>
        <w:ind w:left="1360"/>
        <w:spacing w:after="0" w:line="234" w:lineRule="auto"/>
        <w:rPr>
          <w:sz w:val="20"/>
          <w:szCs w:val="20"/>
          <w:color w:val="auto"/>
        </w:rPr>
      </w:pPr>
      <w:r>
        <w:rPr>
          <w:rFonts w:ascii="Courier New" w:cs="Courier New" w:eastAsia="Courier New" w:hAnsi="Courier New"/>
          <w:sz w:val="22"/>
          <w:szCs w:val="22"/>
          <w:color w:val="auto"/>
        </w:rPr>
        <w:t>of 1940</w:t>
      </w:r>
    </w:p>
    <w:p>
      <w:pPr>
        <w:spacing w:after="0" w:line="279"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Item 4 Reference is made to Items 5-11 on page 2 of this Schedule 13G.</w:t>
      </w:r>
    </w:p>
    <w:p>
      <w:pPr>
        <w:sectPr>
          <w:pgSz w:w="11900" w:h="16838" w:orient="portrait"/>
          <w:cols w:equalWidth="0" w:num="1">
            <w:col w:w="11340"/>
          </w:cols>
          <w:pgMar w:left="240" w:top="372" w:right="319" w:bottom="1440" w:gutter="0" w:footer="0" w:header="0"/>
        </w:sectPr>
      </w:pPr>
    </w:p>
    <w:bookmarkStart w:id="3" w:name="page4"/>
    <w:bookmarkEnd w:id="3"/>
    <w:p>
      <w:pPr>
        <w:spacing w:after="0"/>
        <w:rPr>
          <w:sz w:val="20"/>
          <w:szCs w:val="20"/>
          <w:color w:val="auto"/>
        </w:rPr>
      </w:pPr>
      <w:r>
        <w:rPr>
          <w:rFonts w:ascii="Courier New" w:cs="Courier New" w:eastAsia="Courier New" w:hAnsi="Courier New"/>
          <w:sz w:val="22"/>
          <w:szCs w:val="22"/>
          <w:color w:val="auto"/>
        </w:rPr>
        <w:t>SCHEDULE 13G</w:t>
      </w:r>
    </w:p>
    <w:p>
      <w:pPr>
        <w:spacing w:after="0" w:line="234" w:lineRule="auto"/>
        <w:rPr>
          <w:sz w:val="20"/>
          <w:szCs w:val="20"/>
          <w:color w:val="auto"/>
        </w:rPr>
      </w:pPr>
      <w:r>
        <w:rPr>
          <w:rFonts w:ascii="Courier New" w:cs="Courier New" w:eastAsia="Courier New" w:hAnsi="Courier New"/>
          <w:sz w:val="22"/>
          <w:szCs w:val="22"/>
          <w:color w:val="auto"/>
        </w:rPr>
        <w:t>PAGE 4 OF 5</w:t>
      </w:r>
    </w:p>
    <w:p>
      <w:pPr>
        <w:spacing w:after="0" w:line="103"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Item 5 Ownership of Five Percent or Less of a Class.</w:t>
      </w:r>
    </w:p>
    <w:p>
      <w:pPr>
        <w:spacing w:after="0" w:line="102" w:lineRule="exact"/>
        <w:rPr>
          <w:sz w:val="20"/>
          <w:szCs w:val="20"/>
          <w:color w:val="auto"/>
        </w:rPr>
      </w:pPr>
    </w:p>
    <w:p>
      <w:pPr>
        <w:ind w:left="980"/>
        <w:spacing w:after="0"/>
        <w:rPr>
          <w:sz w:val="20"/>
          <w:szCs w:val="20"/>
          <w:color w:val="auto"/>
        </w:rPr>
      </w:pPr>
      <w:r>
        <w:rPr>
          <w:rFonts w:ascii="Courier New" w:cs="Courier New" w:eastAsia="Courier New" w:hAnsi="Courier New"/>
          <w:sz w:val="22"/>
          <w:szCs w:val="22"/>
          <w:color w:val="auto"/>
        </w:rPr>
        <w:t>Not Applicable.</w:t>
      </w:r>
    </w:p>
    <w:p>
      <w:pPr>
        <w:spacing w:after="0" w:line="107" w:lineRule="exact"/>
        <w:rPr>
          <w:sz w:val="20"/>
          <w:szCs w:val="20"/>
          <w:color w:val="auto"/>
        </w:rPr>
      </w:pPr>
    </w:p>
    <w:p>
      <w:pPr>
        <w:ind w:left="980" w:right="120" w:hanging="972"/>
        <w:spacing w:after="0" w:line="191" w:lineRule="auto"/>
        <w:tabs>
          <w:tab w:leader="none" w:pos="980" w:val="left"/>
        </w:tabs>
        <w:numPr>
          <w:ilvl w:val="0"/>
          <w:numId w:val="7"/>
        </w:numPr>
        <w:rPr>
          <w:rFonts w:ascii="Courier New" w:cs="Courier New" w:eastAsia="Courier New" w:hAnsi="Courier New"/>
          <w:sz w:val="22"/>
          <w:szCs w:val="22"/>
          <w:color w:val="auto"/>
        </w:rPr>
      </w:pPr>
      <w:r>
        <w:rPr>
          <w:rFonts w:ascii="Courier New" w:cs="Courier New" w:eastAsia="Courier New" w:hAnsi="Courier New"/>
          <w:sz w:val="22"/>
          <w:szCs w:val="22"/>
          <w:color w:val="auto"/>
        </w:rPr>
        <w:t>This statement is being filed to report the fact that, as of the date of this report, the reporting person(s) has (have) ceased to be the beneficial owner of more than five percent of the class of securities.</w:t>
      </w:r>
    </w:p>
    <w:p>
      <w:pPr>
        <w:spacing w:after="0" w:line="102"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Item 6 Ownership of More than Five Percent on Behalf of Another Person</w:t>
      </w:r>
    </w:p>
    <w:p>
      <w:pPr>
        <w:spacing w:after="0" w:line="107" w:lineRule="exact"/>
        <w:rPr>
          <w:sz w:val="20"/>
          <w:szCs w:val="20"/>
          <w:color w:val="auto"/>
        </w:rPr>
      </w:pPr>
    </w:p>
    <w:p>
      <w:pPr>
        <w:ind w:left="1500" w:right="520" w:hanging="520"/>
        <w:spacing w:after="0" w:line="185" w:lineRule="auto"/>
        <w:tabs>
          <w:tab w:leader="none" w:pos="1500" w:val="left"/>
        </w:tabs>
        <w:numPr>
          <w:ilvl w:val="0"/>
          <w:numId w:val="8"/>
        </w:numPr>
        <w:rPr>
          <w:rFonts w:ascii="Courier New" w:cs="Courier New" w:eastAsia="Courier New" w:hAnsi="Courier New"/>
          <w:sz w:val="22"/>
          <w:szCs w:val="22"/>
          <w:color w:val="auto"/>
        </w:rPr>
      </w:pPr>
      <w:r>
        <w:rPr>
          <w:rFonts w:ascii="Courier New" w:cs="Courier New" w:eastAsia="Courier New" w:hAnsi="Courier New"/>
          <w:sz w:val="22"/>
          <w:szCs w:val="22"/>
          <w:color w:val="auto"/>
        </w:rPr>
        <w:t>Price Associates does not serve as custodian of the assets of any of its clients; accordingly, in each instance only the client or the client's custodian or trustee bank has the right to receive dividends paid with respect to, and proceeds from the sale of, such securities.</w:t>
      </w:r>
    </w:p>
    <w:p>
      <w:pPr>
        <w:spacing w:after="0" w:line="109" w:lineRule="exact"/>
        <w:rPr>
          <w:rFonts w:ascii="Courier New" w:cs="Courier New" w:eastAsia="Courier New" w:hAnsi="Courier New"/>
          <w:sz w:val="22"/>
          <w:szCs w:val="22"/>
          <w:color w:val="auto"/>
        </w:rPr>
      </w:pPr>
    </w:p>
    <w:p>
      <w:pPr>
        <w:ind w:left="1500" w:right="120"/>
        <w:spacing w:after="0" w:line="180" w:lineRule="auto"/>
        <w:rPr>
          <w:rFonts w:ascii="Courier New" w:cs="Courier New" w:eastAsia="Courier New" w:hAnsi="Courier New"/>
          <w:sz w:val="22"/>
          <w:szCs w:val="22"/>
          <w:color w:val="auto"/>
        </w:rPr>
      </w:pPr>
      <w:r>
        <w:rPr>
          <w:rFonts w:ascii="Courier New" w:cs="Courier New" w:eastAsia="Courier New" w:hAnsi="Courier New"/>
          <w:sz w:val="22"/>
          <w:szCs w:val="22"/>
          <w:color w:val="auto"/>
        </w:rPr>
        <w:t>The ultimate power to direct the receipt of dividends paid with respect to, and the proceeds from the sale of, such securities, is vested in the individual and institutional clients which Price Associates serves as investment adviser. Any and all discretionary authority which has been delegated to Price Associates may be revoked in whole or in part at any time.</w:t>
      </w:r>
    </w:p>
    <w:p>
      <w:pPr>
        <w:spacing w:after="0" w:line="107" w:lineRule="exact"/>
        <w:rPr>
          <w:rFonts w:ascii="Courier New" w:cs="Courier New" w:eastAsia="Courier New" w:hAnsi="Courier New"/>
          <w:sz w:val="22"/>
          <w:szCs w:val="22"/>
          <w:color w:val="auto"/>
        </w:rPr>
      </w:pPr>
    </w:p>
    <w:p>
      <w:pPr>
        <w:ind w:left="1500" w:right="120"/>
        <w:spacing w:after="0" w:line="182" w:lineRule="auto"/>
        <w:rPr>
          <w:rFonts w:ascii="Courier New" w:cs="Courier New" w:eastAsia="Courier New" w:hAnsi="Courier New"/>
          <w:sz w:val="22"/>
          <w:szCs w:val="22"/>
          <w:color w:val="auto"/>
        </w:rPr>
      </w:pPr>
      <w:r>
        <w:rPr>
          <w:rFonts w:ascii="Courier New" w:cs="Courier New" w:eastAsia="Courier New" w:hAnsi="Courier New"/>
          <w:sz w:val="22"/>
          <w:szCs w:val="22"/>
          <w:color w:val="auto"/>
        </w:rPr>
        <w:t>Except as may be indicated if this is a joint filing with one of the registered investment companies sponsored by Price Associates which it also serves as investment adviser ("T. Rowe Price Funds"), not more than 5% of the class of such securities is owned by any one client subject to the investment advice of Price Associates.</w:t>
      </w:r>
    </w:p>
    <w:p>
      <w:pPr>
        <w:spacing w:after="0" w:line="108" w:lineRule="exact"/>
        <w:rPr>
          <w:rFonts w:ascii="Courier New" w:cs="Courier New" w:eastAsia="Courier New" w:hAnsi="Courier New"/>
          <w:sz w:val="22"/>
          <w:szCs w:val="22"/>
          <w:color w:val="auto"/>
        </w:rPr>
      </w:pPr>
    </w:p>
    <w:p>
      <w:pPr>
        <w:ind w:left="1500" w:hanging="520"/>
        <w:spacing w:after="0" w:line="180" w:lineRule="auto"/>
        <w:tabs>
          <w:tab w:leader="none" w:pos="1500" w:val="left"/>
        </w:tabs>
        <w:numPr>
          <w:ilvl w:val="0"/>
          <w:numId w:val="8"/>
        </w:numPr>
        <w:rPr>
          <w:rFonts w:ascii="Courier New" w:cs="Courier New" w:eastAsia="Courier New" w:hAnsi="Courier New"/>
          <w:sz w:val="22"/>
          <w:szCs w:val="22"/>
          <w:color w:val="auto"/>
        </w:rPr>
      </w:pPr>
      <w:r>
        <w:rPr>
          <w:rFonts w:ascii="Courier New" w:cs="Courier New" w:eastAsia="Courier New" w:hAnsi="Courier New"/>
          <w:sz w:val="22"/>
          <w:szCs w:val="22"/>
          <w:color w:val="auto"/>
        </w:rPr>
        <w:t>With respect to securities owned by any one of the T. Rowe Price Funds, only State Street Bank and Trust Company, as custodian for each of such Funds, has the right to receive dividends paid with respect to, and proceeds from the sale of, such securities. No other person is known to have such right, except that the shareholders of each such Fund participate proportionately in any dividends and distributions so paid.</w:t>
      </w:r>
    </w:p>
    <w:p>
      <w:pPr>
        <w:spacing w:after="0" w:line="108" w:lineRule="exact"/>
        <w:rPr>
          <w:sz w:val="20"/>
          <w:szCs w:val="20"/>
          <w:color w:val="auto"/>
        </w:rPr>
      </w:pPr>
    </w:p>
    <w:p>
      <w:pPr>
        <w:ind w:left="980" w:right="180" w:hanging="971"/>
        <w:spacing w:after="0" w:line="202" w:lineRule="auto"/>
        <w:rPr>
          <w:sz w:val="20"/>
          <w:szCs w:val="20"/>
          <w:color w:val="auto"/>
        </w:rPr>
      </w:pPr>
      <w:r>
        <w:rPr>
          <w:rFonts w:ascii="Courier New" w:cs="Courier New" w:eastAsia="Courier New" w:hAnsi="Courier New"/>
          <w:sz w:val="22"/>
          <w:szCs w:val="22"/>
          <w:color w:val="auto"/>
        </w:rPr>
        <w:t>Item 7 Identification and Classification of the Subsidiary Which Acquired the Security Being Reported on By the Parent Holding Company.</w:t>
      </w:r>
    </w:p>
    <w:p>
      <w:pPr>
        <w:spacing w:after="0" w:line="102" w:lineRule="exact"/>
        <w:rPr>
          <w:sz w:val="20"/>
          <w:szCs w:val="20"/>
          <w:color w:val="auto"/>
        </w:rPr>
      </w:pPr>
    </w:p>
    <w:p>
      <w:pPr>
        <w:ind w:left="980"/>
        <w:spacing w:after="0"/>
        <w:rPr>
          <w:sz w:val="20"/>
          <w:szCs w:val="20"/>
          <w:color w:val="auto"/>
        </w:rPr>
      </w:pPr>
      <w:r>
        <w:rPr>
          <w:rFonts w:ascii="Courier New" w:cs="Courier New" w:eastAsia="Courier New" w:hAnsi="Courier New"/>
          <w:sz w:val="22"/>
          <w:szCs w:val="22"/>
          <w:color w:val="auto"/>
        </w:rPr>
        <w:t>Not Applicable.</w:t>
      </w:r>
    </w:p>
    <w:p>
      <w:pPr>
        <w:spacing w:after="0" w:line="102"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Item 8 Identification and Classification of Members of the Group.</w:t>
      </w:r>
    </w:p>
    <w:p>
      <w:pPr>
        <w:spacing w:after="0" w:line="102" w:lineRule="exact"/>
        <w:rPr>
          <w:sz w:val="20"/>
          <w:szCs w:val="20"/>
          <w:color w:val="auto"/>
        </w:rPr>
      </w:pPr>
    </w:p>
    <w:p>
      <w:pPr>
        <w:ind w:left="980"/>
        <w:spacing w:after="0"/>
        <w:rPr>
          <w:sz w:val="20"/>
          <w:szCs w:val="20"/>
          <w:color w:val="auto"/>
        </w:rPr>
      </w:pPr>
      <w:r>
        <w:rPr>
          <w:rFonts w:ascii="Courier New" w:cs="Courier New" w:eastAsia="Courier New" w:hAnsi="Courier New"/>
          <w:sz w:val="22"/>
          <w:szCs w:val="22"/>
          <w:color w:val="auto"/>
        </w:rPr>
        <w:t>Not Applicable.</w:t>
      </w:r>
    </w:p>
    <w:p>
      <w:pPr>
        <w:sectPr>
          <w:pgSz w:w="11900" w:h="16838" w:orient="portrait"/>
          <w:cols w:equalWidth="0" w:num="1">
            <w:col w:w="11340"/>
          </w:cols>
          <w:pgMar w:left="240" w:top="372" w:right="319" w:bottom="1440" w:gutter="0" w:footer="0" w:header="0"/>
        </w:sectPr>
      </w:pPr>
    </w:p>
    <w:bookmarkStart w:id="4" w:name="page5"/>
    <w:bookmarkEnd w:id="4"/>
    <w:p>
      <w:pPr>
        <w:spacing w:after="0"/>
        <w:rPr>
          <w:sz w:val="20"/>
          <w:szCs w:val="20"/>
          <w:color w:val="auto"/>
        </w:rPr>
      </w:pPr>
      <w:r>
        <w:rPr>
          <w:rFonts w:ascii="Courier New" w:cs="Courier New" w:eastAsia="Courier New" w:hAnsi="Courier New"/>
          <w:sz w:val="22"/>
          <w:szCs w:val="22"/>
          <w:color w:val="auto"/>
        </w:rPr>
        <w:t>SCHEDULE 13G</w:t>
      </w:r>
    </w:p>
    <w:p>
      <w:pPr>
        <w:spacing w:after="0" w:line="234" w:lineRule="auto"/>
        <w:rPr>
          <w:sz w:val="20"/>
          <w:szCs w:val="20"/>
          <w:color w:val="auto"/>
        </w:rPr>
      </w:pPr>
      <w:r>
        <w:rPr>
          <w:rFonts w:ascii="Courier New" w:cs="Courier New" w:eastAsia="Courier New" w:hAnsi="Courier New"/>
          <w:sz w:val="22"/>
          <w:szCs w:val="22"/>
          <w:color w:val="auto"/>
        </w:rPr>
        <w:t>PAGE 5 OF 5</w:t>
      </w:r>
    </w:p>
    <w:p>
      <w:pPr>
        <w:spacing w:after="0" w:line="130"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Item 9 Notice of Dissolution of Group.</w:t>
      </w:r>
    </w:p>
    <w:p>
      <w:pPr>
        <w:spacing w:after="0" w:line="129" w:lineRule="exact"/>
        <w:rPr>
          <w:sz w:val="20"/>
          <w:szCs w:val="20"/>
          <w:color w:val="auto"/>
        </w:rPr>
      </w:pPr>
    </w:p>
    <w:p>
      <w:pPr>
        <w:ind w:left="1240"/>
        <w:spacing w:after="0"/>
        <w:rPr>
          <w:sz w:val="20"/>
          <w:szCs w:val="20"/>
          <w:color w:val="auto"/>
        </w:rPr>
      </w:pPr>
      <w:r>
        <w:rPr>
          <w:rFonts w:ascii="Courier New" w:cs="Courier New" w:eastAsia="Courier New" w:hAnsi="Courier New"/>
          <w:sz w:val="22"/>
          <w:szCs w:val="22"/>
          <w:color w:val="auto"/>
        </w:rPr>
        <w:t>Not Applicable.</w:t>
      </w:r>
    </w:p>
    <w:p>
      <w:pPr>
        <w:spacing w:after="0" w:line="129"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Item 10 Certification.</w:t>
      </w:r>
    </w:p>
    <w:p>
      <w:pPr>
        <w:spacing w:after="0" w:line="134" w:lineRule="exact"/>
        <w:rPr>
          <w:sz w:val="20"/>
          <w:szCs w:val="20"/>
          <w:color w:val="auto"/>
        </w:rPr>
      </w:pPr>
    </w:p>
    <w:p>
      <w:pPr>
        <w:ind w:left="1240"/>
        <w:spacing w:after="0" w:line="196" w:lineRule="auto"/>
        <w:rPr>
          <w:sz w:val="20"/>
          <w:szCs w:val="20"/>
          <w:color w:val="auto"/>
        </w:rPr>
      </w:pPr>
      <w:r>
        <w:rPr>
          <w:rFonts w:ascii="Courier New" w:cs="Courier New" w:eastAsia="Courier New" w:hAnsi="Courier New"/>
          <w:sz w:val="21"/>
          <w:szCs w:val="21"/>
          <w:color w:val="auto"/>
        </w:rPr>
        <w:t>By signing below I (we) certify that, to the best of my (our)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 or effect. T. Rowe Price Associates, Inc. hereby declares and affirms that the filing of Schedule 13G shall not be construed as an admission that Price Associates is the beneficial owner of the securities referred to, which beneficial ownership is expressly denied.</w:t>
      </w:r>
    </w:p>
    <w:p>
      <w:pPr>
        <w:spacing w:after="0" w:line="137"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Signature.</w:t>
      </w:r>
    </w:p>
    <w:p>
      <w:pPr>
        <w:spacing w:after="0" w:line="134" w:lineRule="exact"/>
        <w:rPr>
          <w:sz w:val="20"/>
          <w:szCs w:val="20"/>
          <w:color w:val="auto"/>
        </w:rPr>
      </w:pPr>
    </w:p>
    <w:p>
      <w:pPr>
        <w:ind w:left="1240" w:right="260"/>
        <w:spacing w:after="0" w:line="199" w:lineRule="auto"/>
        <w:rPr>
          <w:sz w:val="20"/>
          <w:szCs w:val="20"/>
          <w:color w:val="auto"/>
        </w:rPr>
      </w:pPr>
      <w:r>
        <w:rPr>
          <w:rFonts w:ascii="Courier New" w:cs="Courier New" w:eastAsia="Courier New" w:hAnsi="Courier New"/>
          <w:sz w:val="22"/>
          <w:szCs w:val="22"/>
          <w:color w:val="auto"/>
        </w:rPr>
        <w:t>After reasonable inquiry and to the best of my (our) knowledge and belief, I (we) certify that the information set forth in this statement is true, complete and correct.</w:t>
      </w:r>
    </w:p>
    <w:p>
      <w:pPr>
        <w:spacing w:after="0" w:line="320" w:lineRule="exact"/>
        <w:rPr>
          <w:sz w:val="20"/>
          <w:szCs w:val="20"/>
          <w:color w:val="auto"/>
        </w:rPr>
      </w:pPr>
    </w:p>
    <w:p>
      <w:pPr>
        <w:ind w:left="980"/>
        <w:spacing w:after="0"/>
        <w:rPr>
          <w:sz w:val="20"/>
          <w:szCs w:val="20"/>
          <w:color w:val="auto"/>
        </w:rPr>
      </w:pPr>
      <w:r>
        <w:rPr>
          <w:rFonts w:ascii="Courier New" w:cs="Courier New" w:eastAsia="Courier New" w:hAnsi="Courier New"/>
          <w:sz w:val="22"/>
          <w:szCs w:val="22"/>
          <w:color w:val="auto"/>
        </w:rPr>
        <w:t>Dated: February 14, 2013</w:t>
      </w:r>
    </w:p>
    <w:p>
      <w:pPr>
        <w:spacing w:after="0" w:line="318" w:lineRule="exact"/>
        <w:rPr>
          <w:sz w:val="20"/>
          <w:szCs w:val="20"/>
          <w:color w:val="auto"/>
        </w:rPr>
      </w:pPr>
    </w:p>
    <w:p>
      <w:pPr>
        <w:ind w:left="980"/>
        <w:spacing w:after="0"/>
        <w:rPr>
          <w:sz w:val="20"/>
          <w:szCs w:val="20"/>
          <w:color w:val="auto"/>
        </w:rPr>
      </w:pPr>
      <w:r>
        <w:rPr>
          <w:rFonts w:ascii="Courier New" w:cs="Courier New" w:eastAsia="Courier New" w:hAnsi="Courier New"/>
          <w:sz w:val="22"/>
          <w:szCs w:val="22"/>
          <w:color w:val="auto"/>
        </w:rPr>
        <w:t>T. ROWE PRICE ASSOCIATES, INC.</w:t>
      </w:r>
    </w:p>
    <w:p>
      <w:pPr>
        <w:spacing w:after="0" w:line="200" w:lineRule="exact"/>
        <w:rPr>
          <w:sz w:val="20"/>
          <w:szCs w:val="20"/>
          <w:color w:val="auto"/>
        </w:rPr>
      </w:pPr>
    </w:p>
    <w:p>
      <w:pPr>
        <w:spacing w:after="0" w:line="252" w:lineRule="exact"/>
        <w:rPr>
          <w:sz w:val="20"/>
          <w:szCs w:val="20"/>
          <w:color w:val="auto"/>
        </w:rPr>
      </w:pPr>
    </w:p>
    <w:p>
      <w:pPr>
        <w:ind w:left="600"/>
        <w:spacing w:after="0"/>
        <w:rPr>
          <w:sz w:val="20"/>
          <w:szCs w:val="20"/>
          <w:color w:val="auto"/>
        </w:rPr>
      </w:pPr>
      <w:r>
        <w:rPr>
          <w:rFonts w:ascii="Courier New" w:cs="Courier New" w:eastAsia="Courier New" w:hAnsi="Courier New"/>
          <w:sz w:val="22"/>
          <w:szCs w:val="22"/>
          <w:color w:val="auto"/>
        </w:rPr>
        <w:t>By: /s/ David Oestreicher</w:t>
      </w:r>
    </w:p>
    <w:p>
      <w:pPr>
        <w:ind w:left="600"/>
        <w:spacing w:after="0" w:line="234" w:lineRule="auto"/>
        <w:rPr>
          <w:sz w:val="20"/>
          <w:szCs w:val="20"/>
          <w:color w:val="auto"/>
        </w:rPr>
      </w:pPr>
      <w:r>
        <w:rPr>
          <w:rFonts w:ascii="Courier New" w:cs="Courier New" w:eastAsia="Courier New" w:hAnsi="Courier New"/>
          <w:sz w:val="22"/>
          <w:szCs w:val="22"/>
          <w:color w:val="auto"/>
        </w:rPr>
        <w:t>David Oestreicher, Vice President</w:t>
      </w:r>
    </w:p>
    <w:p>
      <w:pPr>
        <w:spacing w:after="0" w:line="200" w:lineRule="exact"/>
        <w:rPr>
          <w:sz w:val="20"/>
          <w:szCs w:val="20"/>
          <w:color w:val="auto"/>
        </w:rPr>
      </w:pPr>
    </w:p>
    <w:p>
      <w:pPr>
        <w:spacing w:after="0" w:line="313" w:lineRule="exact"/>
        <w:rPr>
          <w:sz w:val="20"/>
          <w:szCs w:val="20"/>
          <w:color w:val="auto"/>
        </w:rPr>
      </w:pPr>
    </w:p>
    <w:p>
      <w:pPr>
        <w:ind w:left="1240" w:right="260" w:hanging="1239"/>
        <w:spacing w:after="0" w:line="192" w:lineRule="auto"/>
        <w:tabs>
          <w:tab w:leader="none" w:pos="1220" w:val="left"/>
        </w:tabs>
        <w:rPr>
          <w:sz w:val="20"/>
          <w:szCs w:val="20"/>
          <w:color w:val="auto"/>
        </w:rPr>
      </w:pPr>
      <w:r>
        <w:rPr>
          <w:rFonts w:ascii="Courier New" w:cs="Courier New" w:eastAsia="Courier New" w:hAnsi="Courier New"/>
          <w:sz w:val="22"/>
          <w:szCs w:val="22"/>
          <w:color w:val="auto"/>
        </w:rPr>
        <w:t>Note:</w:t>
      </w:r>
      <w:r>
        <w:rPr>
          <w:sz w:val="20"/>
          <w:szCs w:val="20"/>
          <w:color w:val="auto"/>
        </w:rPr>
        <w:tab/>
      </w:r>
      <w:r>
        <w:rPr>
          <w:rFonts w:ascii="Courier New" w:cs="Courier New" w:eastAsia="Courier New" w:hAnsi="Courier New"/>
          <w:sz w:val="22"/>
          <w:szCs w:val="22"/>
          <w:color w:val="auto"/>
        </w:rPr>
        <w:t>This Schedule 13G, including all exhibits, must be filed with the Securities and Exchange Commission, and a copy hereof must be sent to the issuer by registered or certified mail not later than February 14th following the calendar year covered by the statement or within the time specified in Rule 13d-1(b)(2), if applicable.</w:t>
      </w:r>
    </w:p>
    <w:p>
      <w:pPr>
        <w:spacing w:after="0" w:line="132"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12/31/2012</w:t>
      </w:r>
    </w:p>
    <w:sectPr>
      <w:pgSz w:w="11900" w:h="16838" w:orient="portrait"/>
      <w:cols w:equalWidth="0" w:num="1">
        <w:col w:w="11360"/>
      </w:cols>
      <w:pgMar w:left="240" w:top="399"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lowerRoman"/>
      <w:start w:val="10"/>
    </w:lvl>
  </w:abstractNum>
  <w:abstractNum w:abstractNumId="1">
    <w:nsid w:val="46E87CCD"/>
    <w:multiLevelType w:val="hybridMultilevel"/>
    <w:lvl w:ilvl="0">
      <w:lvlJc w:val="left"/>
      <w:lvlText w:val="3"/>
      <w:numFmt w:val="bullet"/>
      <w:start w:val="1"/>
    </w:lvl>
  </w:abstractNum>
  <w:abstractNum w:abstractNumId="2">
    <w:nsid w:val="3D1B58BA"/>
    <w:multiLevelType w:val="hybridMultilevel"/>
    <w:lvl w:ilvl="0">
      <w:lvlJc w:val="left"/>
      <w:lvlText w:val="4"/>
      <w:numFmt w:val="bullet"/>
      <w:start w:val="1"/>
    </w:lvl>
  </w:abstractNum>
  <w:abstractNum w:abstractNumId="3">
    <w:nsid w:val="507ED7AB"/>
    <w:multiLevelType w:val="hybridMultilevel"/>
    <w:lvl w:ilvl="0">
      <w:lvlJc w:val="left"/>
      <w:lvlText w:val="9"/>
      <w:numFmt w:val="bullet"/>
      <w:start w:val="1"/>
    </w:lvl>
  </w:abstractNum>
  <w:abstractNum w:abstractNumId="4">
    <w:nsid w:val="2EB141F2"/>
    <w:multiLevelType w:val="hybridMultilevel"/>
    <w:lvl w:ilvl="0">
      <w:lvlJc w:val="left"/>
      <w:lvlText w:val="%1"/>
      <w:numFmt w:val="decimal"/>
      <w:start w:val="10"/>
    </w:lvl>
  </w:abstractNum>
  <w:abstractNum w:abstractNumId="5">
    <w:nsid w:val="41B71EFB"/>
    <w:multiLevelType w:val="hybridMultilevel"/>
    <w:lvl w:ilvl="0">
      <w:lvlJc w:val="left"/>
      <w:lvlText w:val="X"/>
      <w:numFmt w:val="bullet"/>
      <w:start w:val="1"/>
    </w:lvl>
  </w:abstractNum>
  <w:abstractNum w:abstractNumId="6">
    <w:nsid w:val="79E2A9E3"/>
    <w:multiLevelType w:val="hybridMultilevel"/>
    <w:lvl w:ilvl="0">
      <w:lvlJc w:val="left"/>
      <w:lvlText w:val="X"/>
      <w:numFmt w:val="bullet"/>
      <w:start w:val="1"/>
    </w:lvl>
  </w:abstractNum>
  <w:abstractNum w:abstractNumId="7">
    <w:nsid w:val="7545E14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2019-12-05T20:28:17Z</dcterms:created>
  <dcterms:modified xsi:type="dcterms:W3CDTF">2019-12-05T20:28:17Z</dcterms:modified>
</cp:coreProperties>
</file>