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43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380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HARLESS KATHERINE J</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11/01/2016</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11/01/2016</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1,268</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7"/>
                <w:szCs w:val="17"/>
                <w:color w:val="0000FF"/>
              </w:rPr>
              <w:t>6,374.247</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right="259"/>
              <w:spacing w:after="0"/>
              <w:rPr>
                <w:sz w:val="20"/>
                <w:szCs w:val="20"/>
                <w:color w:val="auto"/>
              </w:rPr>
            </w:pPr>
            <w:r>
              <w:rPr>
                <w:rFonts w:ascii="Arial" w:cs="Arial" w:eastAsia="Arial" w:hAnsi="Arial"/>
                <w:sz w:val="17"/>
                <w:szCs w:val="17"/>
                <w:color w:val="0000FF"/>
              </w:rPr>
              <w:t>61,896</w:t>
            </w:r>
            <w:r>
              <w:rPr>
                <w:rFonts w:ascii="Arial" w:cs="Arial" w:eastAsia="Arial" w:hAnsi="Arial"/>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2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47.17</w:t>
            </w:r>
          </w:p>
        </w:tc>
        <w:tc>
          <w:tcPr>
            <w:tcW w:w="1020" w:type="dxa"/>
            <w:vAlign w:val="bottom"/>
            <w:vMerge w:val="restart"/>
          </w:tcPr>
          <w:p>
            <w:pPr>
              <w:jc w:val="right"/>
              <w:ind w:right="158"/>
              <w:spacing w:after="0"/>
              <w:rPr>
                <w:sz w:val="20"/>
                <w:szCs w:val="20"/>
                <w:color w:val="auto"/>
              </w:rPr>
            </w:pPr>
            <w:r>
              <w:rPr>
                <w:rFonts w:ascii="Arial" w:cs="Arial" w:eastAsia="Arial" w:hAnsi="Arial"/>
                <w:sz w:val="13"/>
                <w:szCs w:val="13"/>
                <w:color w:val="0000FF"/>
              </w:rPr>
              <w:t>11/01/2016</w:t>
            </w:r>
          </w:p>
        </w:tc>
        <w:tc>
          <w:tcPr>
            <w:tcW w:w="116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4,951</w:t>
            </w:r>
            <w:r>
              <w:rPr>
                <w:rFonts w:ascii="Arial" w:cs="Arial" w:eastAsia="Arial" w:hAnsi="Arial"/>
                <w:sz w:val="22"/>
                <w:szCs w:val="22"/>
                <w:color w:val="008000"/>
                <w:vertAlign w:val="superscript"/>
              </w:rPr>
              <w:t>(4)</w:t>
            </w:r>
          </w:p>
        </w:tc>
        <w:tc>
          <w:tcPr>
            <w:tcW w:w="320" w:type="dxa"/>
            <w:vAlign w:val="bottom"/>
          </w:tcPr>
          <w:p>
            <w:pPr>
              <w:spacing w:after="0"/>
              <w:rPr>
                <w:sz w:val="12"/>
                <w:szCs w:val="12"/>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right"/>
              <w:ind w:right="76"/>
              <w:spacing w:after="0"/>
              <w:rPr>
                <w:sz w:val="20"/>
                <w:szCs w:val="20"/>
                <w:color w:val="auto"/>
              </w:rPr>
            </w:pPr>
            <w:r>
              <w:rPr>
                <w:rFonts w:ascii="Arial" w:cs="Arial" w:eastAsia="Arial" w:hAnsi="Arial"/>
                <w:sz w:val="13"/>
                <w:szCs w:val="13"/>
                <w:color w:val="0000FF"/>
                <w:w w:val="92"/>
              </w:rPr>
              <w:t>11/01/2026</w:t>
            </w:r>
          </w:p>
        </w:tc>
        <w:tc>
          <w:tcPr>
            <w:tcW w:w="640" w:type="dxa"/>
            <w:vAlign w:val="bottom"/>
          </w:tcPr>
          <w:p>
            <w:pPr>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3"/>
              <w:spacing w:after="0"/>
              <w:rPr>
                <w:sz w:val="20"/>
                <w:szCs w:val="20"/>
                <w:color w:val="auto"/>
              </w:rPr>
            </w:pPr>
            <w:r>
              <w:rPr>
                <w:rFonts w:ascii="Arial" w:cs="Arial" w:eastAsia="Arial" w:hAnsi="Arial"/>
                <w:sz w:val="17"/>
                <w:szCs w:val="17"/>
                <w:color w:val="0000FF"/>
                <w:w w:val="93"/>
              </w:rPr>
              <w:t>4,951</w:t>
            </w:r>
          </w:p>
        </w:tc>
        <w:tc>
          <w:tcPr>
            <w:tcW w:w="78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4,951</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(the "Amended and Restated 2010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23" w:lineRule="exact"/>
        <w:rPr>
          <w:rFonts w:ascii="Arial" w:cs="Arial" w:eastAsia="Arial" w:hAnsi="Arial"/>
          <w:sz w:val="13"/>
          <w:szCs w:val="13"/>
          <w:color w:val="008000"/>
        </w:rPr>
      </w:pPr>
    </w:p>
    <w:p>
      <w:pPr>
        <w:ind w:left="40" w:right="22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16, 2016, the common stock of the issuer split two-for-one (the "Stock Split"), resulting in the reporting person's ownership of 2,516.974 additional common stock units. Also includes 72.299 post-split common stock units acquired by the reporting person under the dividend reinvestment feature of the Deferred Plan since the date of her last report. All future Form 4 and 5 filings made by the reporting person will include adjustments, as necessary, to reflect the Stock Split.</w:t>
      </w:r>
    </w:p>
    <w:p>
      <w:pPr>
        <w:spacing w:after="0" w:line="23"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30,948 additional shares of common stock acquired as a result of the Stock Split.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11/03/2016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2019-12-23T21:02:47Z</dcterms:created>
  <dcterms:modified xsi:type="dcterms:W3CDTF">2019-12-23T21:02:47Z</dcterms:modified>
</cp:coreProperties>
</file>