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53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DAHL AMY 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37"/>
        <w:spacing w:after="0"/>
        <w:rPr>
          <w:sz w:val="20"/>
          <w:szCs w:val="20"/>
          <w:color w:val="auto"/>
        </w:rPr>
      </w:pPr>
      <w:r>
        <w:rPr>
          <w:rFonts w:ascii="Arial" w:cs="Arial" w:eastAsia="Arial" w:hAnsi="Arial"/>
          <w:sz w:val="17"/>
          <w:szCs w:val="17"/>
          <w:color w:val="0000FF"/>
        </w:rPr>
        <w:t>VP, HR, Dist. Devel. &amp; GC</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53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56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564130"/>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53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06/08/2020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ind w:left="200"/>
              <w:spacing w:after="0"/>
              <w:rPr>
                <w:sz w:val="20"/>
                <w:szCs w:val="20"/>
                <w:color w:val="auto"/>
              </w:rPr>
            </w:pPr>
            <w:r>
              <w:rPr>
                <w:rFonts w:ascii="Arial" w:cs="Arial" w:eastAsia="Arial" w:hAnsi="Arial"/>
                <w:sz w:val="17"/>
                <w:szCs w:val="17"/>
                <w:color w:val="0000FF"/>
              </w:rPr>
              <w:t>2,900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15.88</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Arial" w:cs="Arial" w:eastAsia="Arial" w:hAnsi="Arial"/>
                <w:sz w:val="17"/>
                <w:szCs w:val="17"/>
                <w:color w:val="0000FF"/>
              </w:rPr>
              <w:t>14,779.261</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06/08/2020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F</w:t>
            </w:r>
          </w:p>
        </w:tc>
        <w:tc>
          <w:tcPr>
            <w:tcW w:w="720" w:type="dxa"/>
            <w:vAlign w:val="bottom"/>
          </w:tcPr>
          <w:p>
            <w:pPr>
              <w:ind w:left="200"/>
              <w:spacing w:after="0"/>
              <w:rPr>
                <w:sz w:val="20"/>
                <w:szCs w:val="20"/>
                <w:color w:val="auto"/>
              </w:rPr>
            </w:pPr>
            <w:r>
              <w:rPr>
                <w:rFonts w:ascii="Arial" w:cs="Arial" w:eastAsia="Arial" w:hAnsi="Arial"/>
                <w:sz w:val="17"/>
                <w:szCs w:val="17"/>
                <w:color w:val="0000FF"/>
              </w:rPr>
              <w:t>1,321</w:t>
            </w:r>
          </w:p>
        </w:tc>
        <w:tc>
          <w:tcPr>
            <w:tcW w:w="5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74.04</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Arial" w:cs="Arial" w:eastAsia="Arial" w:hAnsi="Arial"/>
                <w:sz w:val="17"/>
                <w:szCs w:val="17"/>
                <w:color w:val="0000FF"/>
              </w:rPr>
              <w:t>13,458.261</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06/08/2020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ind w:left="200"/>
              <w:spacing w:after="0"/>
              <w:rPr>
                <w:sz w:val="20"/>
                <w:szCs w:val="20"/>
                <w:color w:val="auto"/>
              </w:rPr>
            </w:pPr>
            <w:r>
              <w:rPr>
                <w:rFonts w:ascii="Arial" w:cs="Arial" w:eastAsia="Arial" w:hAnsi="Arial"/>
                <w:sz w:val="17"/>
                <w:szCs w:val="17"/>
                <w:color w:val="0000FF"/>
              </w:rPr>
              <w:t>3,480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14.1125</w:t>
            </w:r>
          </w:p>
        </w:tc>
        <w:tc>
          <w:tcPr>
            <w:tcW w:w="1240" w:type="dxa"/>
            <w:vAlign w:val="bottom"/>
            <w:gridSpan w:val="3"/>
          </w:tcPr>
          <w:p>
            <w:pPr>
              <w:ind w:left="240"/>
              <w:spacing w:after="0"/>
              <w:rPr>
                <w:sz w:val="20"/>
                <w:szCs w:val="20"/>
                <w:color w:val="auto"/>
              </w:rPr>
            </w:pPr>
            <w:r>
              <w:rPr>
                <w:rFonts w:ascii="Arial" w:cs="Arial" w:eastAsia="Arial" w:hAnsi="Arial"/>
                <w:sz w:val="17"/>
                <w:szCs w:val="17"/>
                <w:color w:val="0000FF"/>
              </w:rPr>
              <w:t>16,938.261</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06/08/2020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F</w:t>
            </w:r>
          </w:p>
        </w:tc>
        <w:tc>
          <w:tcPr>
            <w:tcW w:w="720" w:type="dxa"/>
            <w:vAlign w:val="bottom"/>
          </w:tcPr>
          <w:p>
            <w:pPr>
              <w:ind w:left="200"/>
              <w:spacing w:after="0"/>
              <w:rPr>
                <w:sz w:val="20"/>
                <w:szCs w:val="20"/>
                <w:color w:val="auto"/>
              </w:rPr>
            </w:pPr>
            <w:r>
              <w:rPr>
                <w:rFonts w:ascii="Arial" w:cs="Arial" w:eastAsia="Arial" w:hAnsi="Arial"/>
                <w:sz w:val="17"/>
                <w:szCs w:val="17"/>
                <w:color w:val="0000FF"/>
              </w:rPr>
              <w:t>1,529</w:t>
            </w:r>
          </w:p>
        </w:tc>
        <w:tc>
          <w:tcPr>
            <w:tcW w:w="5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74.08</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Arial" w:cs="Arial" w:eastAsia="Arial" w:hAnsi="Arial"/>
                <w:sz w:val="17"/>
                <w:szCs w:val="17"/>
                <w:color w:val="0000FF"/>
              </w:rPr>
              <w:t>15,409.261</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ind w:left="220"/>
              <w:spacing w:after="0"/>
              <w:rPr>
                <w:sz w:val="20"/>
                <w:szCs w:val="20"/>
                <w:color w:val="auto"/>
              </w:rPr>
            </w:pPr>
            <w:r>
              <w:rPr>
                <w:rFonts w:ascii="Arial" w:cs="Arial" w:eastAsia="Arial" w:hAnsi="Arial"/>
                <w:sz w:val="17"/>
                <w:szCs w:val="17"/>
                <w:color w:val="0000FF"/>
              </w:rPr>
              <w:t>3,621.677</w:t>
            </w:r>
            <w:r>
              <w:rPr>
                <w:rFonts w:ascii="Arial" w:cs="Arial" w:eastAsia="Arial" w:hAnsi="Arial"/>
                <w:sz w:val="21"/>
                <w:szCs w:val="21"/>
                <w:color w:val="008000"/>
                <w:vertAlign w:val="superscript"/>
              </w:rPr>
              <w:t>(1)</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0000FF"/>
              </w:rPr>
              <w:t>4,915.831</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15.88</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06/08/2020</w:t>
            </w:r>
          </w:p>
        </w:tc>
        <w:tc>
          <w:tcPr>
            <w:tcW w:w="110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vMerge w:val="restart"/>
          </w:tcPr>
          <w:p>
            <w:pPr>
              <w:ind w:left="320"/>
              <w:spacing w:after="0"/>
              <w:rPr>
                <w:sz w:val="20"/>
                <w:szCs w:val="20"/>
                <w:color w:val="auto"/>
              </w:rPr>
            </w:pPr>
            <w:r>
              <w:rPr>
                <w:rFonts w:ascii="Arial" w:cs="Arial" w:eastAsia="Arial" w:hAnsi="Arial"/>
                <w:sz w:val="13"/>
                <w:szCs w:val="13"/>
                <w:color w:val="0000FF"/>
              </w:rPr>
              <w:t>2,900</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12/08/2020</w:t>
            </w:r>
          </w:p>
        </w:tc>
        <w:tc>
          <w:tcPr>
            <w:tcW w:w="580" w:type="dxa"/>
            <w:vAlign w:val="bottom"/>
          </w:tcPr>
          <w:p>
            <w:pPr>
              <w:ind w:left="80"/>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2,900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jc w:val="center"/>
              <w:ind w:right="8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14.1125</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06/08/2020</w:t>
            </w:r>
          </w:p>
        </w:tc>
        <w:tc>
          <w:tcPr>
            <w:tcW w:w="110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vMerge w:val="restart"/>
          </w:tcPr>
          <w:p>
            <w:pPr>
              <w:ind w:left="320"/>
              <w:spacing w:after="0"/>
              <w:rPr>
                <w:sz w:val="20"/>
                <w:szCs w:val="20"/>
                <w:color w:val="auto"/>
              </w:rPr>
            </w:pPr>
            <w:r>
              <w:rPr>
                <w:rFonts w:ascii="Arial" w:cs="Arial" w:eastAsia="Arial" w:hAnsi="Arial"/>
                <w:sz w:val="13"/>
                <w:szCs w:val="13"/>
                <w:color w:val="0000FF"/>
              </w:rPr>
              <w:t>3,480</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12/07/2021</w:t>
            </w:r>
          </w:p>
        </w:tc>
        <w:tc>
          <w:tcPr>
            <w:tcW w:w="580" w:type="dxa"/>
            <w:vAlign w:val="bottom"/>
          </w:tcPr>
          <w:p>
            <w:pPr>
              <w:ind w:left="80"/>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3,480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her last report: 26.378 shares acquired through regular individual and issuer matching contributions to The Toro Company Retirement Plan (the "Plan"); 24.348 net shares acquired under the dividend reinvestment feature of the Plan less quarterly non-discretionary administrative fees; and 24.430 shares acquired through issuer annual investment fund contributions to the Plan.</w:t>
      </w:r>
    </w:p>
    <w:p>
      <w:pPr>
        <w:spacing w:after="0" w:line="31" w:lineRule="exact"/>
        <w:rPr>
          <w:rFonts w:ascii="Arial" w:cs="Arial" w:eastAsia="Arial" w:hAnsi="Arial"/>
          <w:sz w:val="13"/>
          <w:szCs w:val="13"/>
          <w:color w:val="008000"/>
        </w:rPr>
      </w:pPr>
    </w:p>
    <w:p>
      <w:pPr>
        <w:ind w:left="40" w:right="4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33.831 performance share units acquired by the reporting person since the date of her last report under the dividend reinvestment feature of The Toro Company Deferred Compensation Plan for Officers.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full on the third anniversary of the date of grant, which was December 8, 2010.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7, 2011.</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06/10/2020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97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2020-06-10T16:18:18Z</dcterms:created>
  <dcterms:modified xsi:type="dcterms:W3CDTF">2020-06-10T16:18:18Z</dcterms:modified>
</cp:coreProperties>
</file>