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433705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392430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52"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July 30, 2021</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7" w:lineRule="exact"/>
        <w:rPr>
          <w:sz w:val="24"/>
          <w:szCs w:val="24"/>
          <w:color w:val="auto"/>
        </w:rPr>
      </w:pPr>
    </w:p>
    <w:p>
      <w:pPr>
        <w:jc w:val="right"/>
        <w:ind w:right="4400"/>
        <w:spacing w:after="0"/>
        <w:tabs>
          <w:tab w:leader="none" w:pos="3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 w:lineRule="exact"/>
        <w:rPr>
          <w:sz w:val="24"/>
          <w:szCs w:val="24"/>
          <w:color w:val="auto"/>
        </w:rPr>
      </w:pPr>
    </w:p>
    <w:p>
      <w:pPr>
        <w:jc w:val="right"/>
        <w:ind w:right="44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1-8649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60"/>
          </w:cols>
          <w:pgMar w:left="320" w:top="230" w:right="319" w:bottom="1440" w:gutter="0" w:footer="0" w:header="0"/>
        </w:sectPr>
      </w:pPr>
    </w:p>
    <w:p>
      <w:pPr>
        <w:spacing w:after="0" w:line="108"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58" w:lineRule="exact"/>
        <w:rPr>
          <w:sz w:val="24"/>
          <w:szCs w:val="24"/>
          <w:color w:val="auto"/>
        </w:rPr>
      </w:pPr>
    </w:p>
    <w:p>
      <w:pPr>
        <w:sectPr>
          <w:pgSz w:w="11900" w:h="16838" w:orient="portrait"/>
          <w:cols w:equalWidth="0" w:num="2">
            <w:col w:w="8080" w:space="720"/>
            <w:col w:w="2460"/>
          </w:cols>
          <w:pgMar w:left="320" w:top="230" w:right="31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7" w:lineRule="exact"/>
        <w:rPr>
          <w:sz w:val="24"/>
          <w:szCs w:val="24"/>
          <w:color w:val="auto"/>
        </w:rPr>
      </w:pPr>
    </w:p>
    <w:p>
      <w:pPr>
        <w:sectPr>
          <w:pgSz w:w="11900" w:h="16838" w:orient="portrait"/>
          <w:cols w:equalWidth="0" w:num="2">
            <w:col w:w="7420" w:space="720"/>
            <w:col w:w="3120"/>
          </w:cols>
          <w:pgMar w:left="320" w:top="230" w:right="319" w:bottom="1440" w:gutter="0" w:footer="0" w:header="0"/>
          <w:type w:val="continuous"/>
        </w:sectPr>
      </w:pPr>
    </w:p>
    <w:p>
      <w:pPr>
        <w:spacing w:after="0" w:line="133"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8111 Lyndale Avenue South</w:t>
      </w:r>
    </w:p>
    <w:p>
      <w:pPr>
        <w:spacing w:after="0" w:line="3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New York Stock Exchange</w:t>
            </w:r>
          </w:p>
        </w:tc>
      </w:tr>
    </w:tbl>
    <w:p>
      <w:pPr>
        <w:spacing w:after="0" w:line="298" w:lineRule="exact"/>
        <w:rPr>
          <w:sz w:val="24"/>
          <w:szCs w:val="24"/>
          <w:color w:val="auto"/>
        </w:rPr>
      </w:pPr>
    </w:p>
    <w:p>
      <w:pPr>
        <w:jc w:val="both"/>
        <w:ind w:right="2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92" w:lineRule="exact"/>
        <w:rPr>
          <w:sz w:val="24"/>
          <w:szCs w:val="24"/>
          <w:color w:val="auto"/>
        </w:rPr>
      </w:pPr>
    </w:p>
    <w:p>
      <w:pPr>
        <w:ind w:right="20"/>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360"/>
        <w:spacing w:after="0" w:line="20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August 26, 2021 was 106,444,673.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1">
              <w:r>
                <w:rPr>
                  <w:rFonts w:ascii="Arial" w:cs="Arial" w:eastAsia="Arial" w:hAnsi="Arial"/>
                  <w:sz w:val="17"/>
                  <w:szCs w:val="17"/>
                  <w:color w:val="0000FF"/>
                  <w:w w:val="89"/>
                </w:rPr>
                <w:t>Table of Contents</w:t>
              </w:r>
            </w:hyperlink>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0"/>
          </w:tcPr>
          <w:p>
            <w:pPr>
              <w:jc w:val="center"/>
              <w:ind w:right="2180"/>
              <w:spacing w:after="0"/>
              <w:rPr>
                <w:sz w:val="20"/>
                <w:szCs w:val="20"/>
                <w:color w:val="auto"/>
              </w:rPr>
            </w:pPr>
            <w:r>
              <w:rPr>
                <w:rFonts w:ascii="Arial" w:cs="Arial" w:eastAsia="Arial" w:hAnsi="Arial"/>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FINANCIAL INFORMATION:</w:t>
              </w:r>
            </w:hyperlink>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3">
              <w:r>
                <w:rPr>
                  <w:rFonts w:ascii="Arial" w:cs="Arial" w:eastAsia="Arial" w:hAnsi="Arial"/>
                  <w:sz w:val="17"/>
                  <w:szCs w:val="17"/>
                  <w:b w:val="1"/>
                  <w:bCs w:val="1"/>
                  <w:color w:val="0000FF"/>
                  <w:w w:val="92"/>
                </w:rPr>
                <w:t>Item 1.</w:t>
              </w:r>
            </w:hyperlink>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w:t>
              </w:r>
            </w:hyperlink>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Earnings (Unaudited)</w:t>
              </w:r>
            </w:hyperlink>
          </w:p>
        </w:tc>
        <w:tc>
          <w:tcPr>
            <w:tcW w:w="24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Comprehensive Income (Unaudited)</w:t>
              </w:r>
            </w:hyperlink>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6"/>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Balance Sheets (Unaudited)</w:t>
              </w:r>
            </w:hyperlink>
          </w:p>
        </w:tc>
        <w:tc>
          <w:tcPr>
            <w:tcW w:w="2060" w:type="dxa"/>
            <w:vAlign w:val="bottom"/>
            <w:gridSpan w:val="7"/>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7"/>
                <w:szCs w:val="17"/>
                <w:color w:val="0000FF"/>
                <w:w w:val="95"/>
              </w:rPr>
            </w:pPr>
            <w:hyperlink w:anchor="page4">
              <w:r>
                <w:rPr>
                  <w:rFonts w:ascii="Arial" w:cs="Arial" w:eastAsia="Arial" w:hAnsi="Arial"/>
                  <w:sz w:val="17"/>
                  <w:szCs w:val="17"/>
                  <w:color w:val="0000FF"/>
                  <w:w w:val="95"/>
                </w:rPr>
                <w:t>Condensed Consolidated Statements of Cash Flows (Unaudited)</w:t>
              </w:r>
            </w:hyperlink>
          </w:p>
        </w:tc>
        <w:tc>
          <w:tcPr>
            <w:tcW w:w="2360" w:type="dxa"/>
            <w:vAlign w:val="bottom"/>
            <w:gridSpan w:val="4"/>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Stockholders' Equity (Unaudited)</w:t>
              </w:r>
            </w:hyperlink>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Notes to Condensed Consolidated Financial Statements (Unaudited)</w:t>
              </w:r>
            </w:hyperlink>
          </w:p>
        </w:tc>
        <w:tc>
          <w:tcPr>
            <w:tcW w:w="116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26">
              <w:r>
                <w:rPr>
                  <w:rFonts w:ascii="Arial" w:cs="Arial" w:eastAsia="Arial" w:hAnsi="Arial"/>
                  <w:sz w:val="17"/>
                  <w:szCs w:val="17"/>
                  <w:b w:val="1"/>
                  <w:bCs w:val="1"/>
                  <w:color w:val="0000FF"/>
                  <w:w w:val="92"/>
                </w:rPr>
                <w:t>Item 2.</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Management’s Discussion and Analysis of Financial Condition and 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rFonts w:ascii="Arial" w:cs="Arial" w:eastAsia="Arial" w:hAnsi="Arial"/>
                <w:sz w:val="17"/>
                <w:szCs w:val="17"/>
                <w:color w:val="0000FF"/>
                <w:w w:val="90"/>
              </w:rPr>
            </w:pPr>
            <w:hyperlink w:anchor="page27">
              <w:r>
                <w:rPr>
                  <w:rFonts w:ascii="Arial" w:cs="Arial" w:eastAsia="Arial" w:hAnsi="Arial"/>
                  <w:sz w:val="17"/>
                  <w:szCs w:val="17"/>
                  <w:color w:val="0000FF"/>
                  <w:w w:val="90"/>
                </w:rPr>
                <w:t>Company Overview</w:t>
              </w:r>
            </w:hyperlink>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86"/>
              </w:rPr>
            </w:pPr>
            <w:hyperlink w:anchor="page33">
              <w:r>
                <w:rPr>
                  <w:rFonts w:ascii="Arial" w:cs="Arial" w:eastAsia="Arial" w:hAnsi="Arial"/>
                  <w:sz w:val="17"/>
                  <w:szCs w:val="17"/>
                  <w:color w:val="0000FF"/>
                  <w:w w:val="86"/>
                </w:rPr>
                <w:t>Business Segments</w:t>
              </w:r>
            </w:hyperlink>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97"/>
              </w:rPr>
            </w:pPr>
            <w:hyperlink w:anchor="page35">
              <w:r>
                <w:rPr>
                  <w:rFonts w:ascii="Arial" w:cs="Arial" w:eastAsia="Arial" w:hAnsi="Arial"/>
                  <w:sz w:val="17"/>
                  <w:szCs w:val="17"/>
                  <w:color w:val="0000FF"/>
                  <w:w w:val="97"/>
                </w:rPr>
                <w:t>Financial Position</w:t>
              </w:r>
            </w:hyperlink>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Non-GAAP Financial Measures</w:t>
              </w:r>
            </w:hyperlink>
          </w:p>
        </w:tc>
        <w:tc>
          <w:tcPr>
            <w:tcW w:w="2440" w:type="dxa"/>
            <w:vAlign w:val="bottom"/>
            <w:gridSpan w:val="3"/>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Critical Accounting Policies and Estimates</w:t>
              </w:r>
            </w:hyperlink>
          </w:p>
        </w:tc>
        <w:tc>
          <w:tcPr>
            <w:tcW w:w="2440" w:type="dxa"/>
            <w:vAlign w:val="bottom"/>
            <w:gridSpan w:val="3"/>
          </w:tcPr>
          <w:p>
            <w:pPr>
              <w:jc w:val="right"/>
              <w:spacing w:after="0"/>
              <w:rPr>
                <w:rFonts w:ascii="Arial" w:cs="Arial" w:eastAsia="Arial" w:hAnsi="Arial"/>
                <w:sz w:val="17"/>
                <w:szCs w:val="17"/>
                <w:color w:val="0000FF"/>
              </w:rPr>
            </w:pPr>
            <w:hyperlink w:anchor="page41">
              <w:r>
                <w:rPr>
                  <w:rFonts w:ascii="Arial" w:cs="Arial" w:eastAsia="Arial" w:hAnsi="Arial"/>
                  <w:sz w:val="17"/>
                  <w:szCs w:val="17"/>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14"/>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Forward-Looking Information</w:t>
              </w:r>
            </w:hyperlink>
          </w:p>
        </w:tc>
        <w:tc>
          <w:tcPr>
            <w:tcW w:w="4120" w:type="dxa"/>
            <w:vAlign w:val="bottom"/>
            <w:gridSpan w:val="10"/>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1">
              <w:r>
                <w:rPr>
                  <w:rFonts w:ascii="Arial" w:cs="Arial" w:eastAsia="Arial" w:hAnsi="Arial"/>
                  <w:sz w:val="17"/>
                  <w:szCs w:val="17"/>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45">
              <w:r>
                <w:rPr>
                  <w:rFonts w:ascii="Arial" w:cs="Arial" w:eastAsia="Arial" w:hAnsi="Arial"/>
                  <w:sz w:val="17"/>
                  <w:szCs w:val="17"/>
                  <w:b w:val="1"/>
                  <w:bCs w:val="1"/>
                  <w:color w:val="0000FF"/>
                  <w:w w:val="92"/>
                </w:rPr>
                <w:t>Item 3.</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Quantitative and Qualitative Disclosures about Market Risk</w:t>
              </w:r>
            </w:hyperlink>
          </w:p>
        </w:tc>
        <w:tc>
          <w:tcPr>
            <w:tcW w:w="2440" w:type="dxa"/>
            <w:vAlign w:val="bottom"/>
            <w:gridSpan w:val="3"/>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7">
              <w:r>
                <w:rPr>
                  <w:rFonts w:ascii="Arial" w:cs="Arial" w:eastAsia="Arial" w:hAnsi="Arial"/>
                  <w:sz w:val="17"/>
                  <w:szCs w:val="17"/>
                  <w:b w:val="1"/>
                  <w:bCs w:val="1"/>
                  <w:color w:val="0000FF"/>
                  <w:w w:val="92"/>
                </w:rPr>
                <w:t>Item 4.</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rFonts w:ascii="Arial" w:cs="Arial" w:eastAsia="Arial" w:hAnsi="Arial"/>
                <w:sz w:val="17"/>
                <w:szCs w:val="17"/>
                <w:color w:val="0000FF"/>
                <w:w w:val="88"/>
              </w:rPr>
            </w:pPr>
            <w:hyperlink w:anchor="page47">
              <w:r>
                <w:rPr>
                  <w:rFonts w:ascii="Arial" w:cs="Arial" w:eastAsia="Arial" w:hAnsi="Arial"/>
                  <w:sz w:val="17"/>
                  <w:szCs w:val="17"/>
                  <w:color w:val="0000FF"/>
                  <w:w w:val="88"/>
                </w:rPr>
                <w:t>Controls and Procedures</w:t>
              </w:r>
            </w:hyperlink>
          </w:p>
        </w:tc>
        <w:tc>
          <w:tcPr>
            <w:tcW w:w="2420" w:type="dxa"/>
            <w:vAlign w:val="bottom"/>
            <w:gridSpan w:val="8"/>
          </w:tcPr>
          <w:p>
            <w:pPr>
              <w:spacing w:after="0"/>
              <w:rPr>
                <w:sz w:val="24"/>
                <w:szCs w:val="24"/>
                <w:color w:val="auto"/>
              </w:rPr>
            </w:pPr>
          </w:p>
        </w:tc>
        <w:tc>
          <w:tcPr>
            <w:tcW w:w="3260" w:type="dxa"/>
            <w:vAlign w:val="bottom"/>
            <w:gridSpan w:val="8"/>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PART II.</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OTHER INFORMATION:</w:t>
              </w:r>
            </w:hyperlink>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1.</w:t>
              </w:r>
            </w:hyperlink>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FF"/>
            </w:tcBorders>
            <w:gridSpan w:val="5"/>
          </w:tcPr>
          <w:p>
            <w:pPr>
              <w:spacing w:after="0"/>
              <w:rPr>
                <w:rFonts w:ascii="Arial" w:cs="Arial" w:eastAsia="Arial" w:hAnsi="Arial"/>
                <w:sz w:val="17"/>
                <w:szCs w:val="17"/>
                <w:color w:val="0000FF"/>
                <w:w w:val="89"/>
              </w:rPr>
            </w:pPr>
            <w:hyperlink w:anchor="page48">
              <w:r>
                <w:rPr>
                  <w:rFonts w:ascii="Arial" w:cs="Arial" w:eastAsia="Arial" w:hAnsi="Arial"/>
                  <w:sz w:val="17"/>
                  <w:szCs w:val="17"/>
                  <w:color w:val="0000FF"/>
                  <w:w w:val="89"/>
                </w:rPr>
                <w:t>Legal Proceedings</w:t>
              </w:r>
            </w:hyperlink>
          </w:p>
        </w:tc>
        <w:tc>
          <w:tcPr>
            <w:tcW w:w="72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3"/>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Item 1A.</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Risk Factors</w:t>
              </w:r>
            </w:hyperlink>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2.</w:t>
              </w:r>
            </w:hyperlink>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Unregistered Sales of Equity Securities and Use of Proceeds</w:t>
              </w:r>
            </w:hyperlink>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20" w:type="dxa"/>
            <w:vAlign w:val="bottom"/>
            <w:gridSpan w:val="15"/>
            <w:shd w:val="clear" w:color="auto" w:fill="0000FF"/>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6.</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7"/>
                <w:szCs w:val="17"/>
                <w:color w:val="0000FF"/>
                <w:w w:val="94"/>
              </w:rPr>
            </w:pPr>
            <w:hyperlink w:anchor="page48">
              <w:r>
                <w:rPr>
                  <w:rFonts w:ascii="Arial" w:cs="Arial" w:eastAsia="Arial" w:hAnsi="Arial"/>
                  <w:sz w:val="17"/>
                  <w:szCs w:val="17"/>
                  <w:color w:val="0000FF"/>
                  <w:w w:val="94"/>
                </w:rPr>
                <w:t>Exhibits</w:t>
              </w:r>
            </w:hyperlink>
          </w:p>
        </w:tc>
        <w:tc>
          <w:tcPr>
            <w:tcW w:w="3580" w:type="dxa"/>
            <w:vAlign w:val="bottom"/>
            <w:gridSpan w:val="16"/>
          </w:tcPr>
          <w:p>
            <w:pPr>
              <w:spacing w:after="0"/>
              <w:rPr>
                <w:sz w:val="24"/>
                <w:szCs w:val="24"/>
                <w:color w:val="auto"/>
              </w:rPr>
            </w:pPr>
          </w:p>
        </w:tc>
        <w:tc>
          <w:tcPr>
            <w:tcW w:w="3220" w:type="dxa"/>
            <w:vAlign w:val="bottom"/>
            <w:gridSpan w:val="7"/>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7"/>
                <w:szCs w:val="17"/>
                <w:color w:val="0000FF"/>
                <w:w w:val="88"/>
              </w:rPr>
            </w:pPr>
            <w:hyperlink w:anchor="page49">
              <w:r>
                <w:rPr>
                  <w:rFonts w:ascii="Arial" w:cs="Arial" w:eastAsia="Arial" w:hAnsi="Arial"/>
                  <w:sz w:val="17"/>
                  <w:szCs w:val="17"/>
                  <w:color w:val="0000FF"/>
                  <w:w w:val="88"/>
                </w:rPr>
                <w:t>Signatures</w:t>
              </w:r>
            </w:hyperlink>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and shares 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78"/>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5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7"/>
              </w:rPr>
              <w:t>July 31, 2020</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9"/>
              </w:rPr>
              <w:t>July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976,836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840,972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2,998,929</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2,537,853</w:t>
            </w: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645,719</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546,398</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1,949,823</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1,648,474</w:t>
            </w:r>
          </w:p>
        </w:tc>
      </w:tr>
      <w:tr>
        <w:trPr>
          <w:trHeight w:val="200"/>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331,117</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294,574</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1,049,106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889,379</w:t>
            </w: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209,178</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178,622</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604,986</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556,503</w:t>
            </w:r>
          </w:p>
        </w:tc>
      </w:tr>
      <w:tr>
        <w:trPr>
          <w:trHeight w:val="200"/>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121,939</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115,952</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444,120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332,876</w:t>
            </w: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(7,016)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(8,304)</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(21,662)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(25,119)</w:t>
            </w:r>
          </w:p>
        </w:tc>
      </w:tr>
      <w:tr>
        <w:trPr>
          <w:trHeight w:val="20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2,528</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3,345</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8,062</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10,746</w:t>
            </w:r>
          </w:p>
        </w:tc>
      </w:tr>
      <w:tr>
        <w:trPr>
          <w:trHeight w:val="200"/>
        </w:trPr>
        <w:tc>
          <w:tcPr>
            <w:tcW w:w="518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6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117,451</w:t>
            </w:r>
          </w:p>
        </w:tc>
        <w:tc>
          <w:tcPr>
            <w:tcW w:w="2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110,993</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430,520</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318,503</w:t>
            </w:r>
          </w:p>
        </w:tc>
      </w:tr>
      <w:tr>
        <w:trPr>
          <w:trHeight w:val="20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21,131</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22,025</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80,748</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60,998</w:t>
            </w:r>
          </w:p>
        </w:tc>
      </w:tr>
      <w:tr>
        <w:trPr>
          <w:trHeight w:val="200"/>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96,320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88,968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349,772</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257,505</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3"/>
        </w:trPr>
        <w:tc>
          <w:tcPr>
            <w:tcW w:w="5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net earnings per share of common stock</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0.83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3.25</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r>
        <w:trPr>
          <w:trHeight w:val="187"/>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net earnings per share of common stock</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0.89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0.82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3.21</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r>
      <w:tr>
        <w:trPr>
          <w:trHeight w:val="187"/>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w w:val="95"/>
              </w:rPr>
              <w:t>Weighted-average number of shares of common stock outstanding — Basic</w:t>
            </w:r>
          </w:p>
        </w:tc>
        <w:tc>
          <w:tcPr>
            <w:tcW w:w="26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107,130</w:t>
            </w:r>
          </w:p>
        </w:tc>
        <w:tc>
          <w:tcPr>
            <w:tcW w:w="2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107,710</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107,667</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107,561</w:t>
            </w:r>
          </w:p>
        </w:tc>
      </w:tr>
      <w:tr>
        <w:trPr>
          <w:trHeight w:val="207"/>
        </w:trPr>
        <w:tc>
          <w:tcPr>
            <w:tcW w:w="5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3"/>
              </w:rPr>
              <w:t>Weighted-average number of shares of common stock outstanding — Diluted</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108,363</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108,543</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108,818</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108,569</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78"/>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1"/>
        </w:trPr>
        <w:tc>
          <w:tcPr>
            <w:tcW w:w="5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7"/>
              </w:rPr>
              <w:t>July 31, 2020</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w w:val="99"/>
              </w:rPr>
              <w:t>July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31, 2020</w:t>
            </w:r>
          </w:p>
        </w:tc>
        <w:tc>
          <w:tcPr>
            <w:tcW w:w="0" w:type="dxa"/>
            <w:vAlign w:val="bottom"/>
          </w:tcPr>
          <w:p>
            <w:pPr>
              <w:spacing w:after="0"/>
              <w:rPr>
                <w:sz w:val="1"/>
                <w:szCs w:val="1"/>
                <w:color w:val="auto"/>
              </w:rPr>
            </w:pP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96,320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88,968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349,772</w:t>
            </w:r>
          </w:p>
        </w:tc>
        <w:tc>
          <w:tcPr>
            <w:tcW w:w="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257,505</w:t>
            </w:r>
          </w:p>
        </w:tc>
        <w:tc>
          <w:tcPr>
            <w:tcW w:w="0" w:type="dxa"/>
            <w:vAlign w:val="bottom"/>
          </w:tcPr>
          <w:p>
            <w:pPr>
              <w:spacing w:after="0"/>
              <w:rPr>
                <w:sz w:val="1"/>
                <w:szCs w:val="1"/>
                <w:color w:val="auto"/>
              </w:rPr>
            </w:pP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14,011</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w:t>
            </w:r>
          </w:p>
        </w:tc>
        <w:tc>
          <w:tcPr>
            <w:tcW w:w="0" w:type="dxa"/>
            <w:vAlign w:val="bottom"/>
          </w:tcPr>
          <w:p>
            <w:pPr>
              <w:spacing w:after="0"/>
              <w:rPr>
                <w:sz w:val="1"/>
                <w:szCs w:val="1"/>
                <w:color w:val="auto"/>
              </w:rPr>
            </w:pPr>
          </w:p>
        </w:tc>
      </w:tr>
      <w:tr>
        <w:trPr>
          <w:trHeight w:val="155"/>
        </w:trPr>
        <w:tc>
          <w:tcPr>
            <w:tcW w:w="5140" w:type="dxa"/>
            <w:vAlign w:val="bottom"/>
          </w:tcPr>
          <w:p>
            <w:pPr>
              <w:ind w:left="140"/>
              <w:spacing w:after="0" w:line="155" w:lineRule="exact"/>
              <w:rPr>
                <w:sz w:val="20"/>
                <w:szCs w:val="20"/>
                <w:color w:val="auto"/>
              </w:rPr>
            </w:pPr>
            <w:r>
              <w:rPr>
                <w:rFonts w:ascii="Arial" w:cs="Arial" w:eastAsia="Arial" w:hAnsi="Arial"/>
                <w:sz w:val="16"/>
                <w:szCs w:val="16"/>
                <w:color w:val="auto"/>
                <w:w w:val="95"/>
              </w:rPr>
              <w:t>Derivative instruments, net of tax of $2,641; $(4,589); $140; and $(3,558),</w:t>
            </w:r>
          </w:p>
        </w:tc>
        <w:tc>
          <w:tcPr>
            <w:tcW w:w="30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Arial" w:cs="Arial" w:eastAsia="Arial" w:hAnsi="Arial"/>
                <w:sz w:val="16"/>
                <w:szCs w:val="16"/>
                <w:color w:val="auto"/>
              </w:rPr>
              <w:t>8,035</w:t>
            </w:r>
          </w:p>
        </w:tc>
        <w:tc>
          <w:tcPr>
            <w:tcW w:w="24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(14,885)</w:t>
            </w:r>
          </w:p>
        </w:tc>
        <w:tc>
          <w:tcPr>
            <w:tcW w:w="2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886</w:t>
            </w:r>
          </w:p>
        </w:tc>
        <w:tc>
          <w:tcPr>
            <w:tcW w:w="2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(11,559)</w:t>
            </w:r>
          </w:p>
        </w:tc>
        <w:tc>
          <w:tcPr>
            <w:tcW w:w="0" w:type="dxa"/>
            <w:vAlign w:val="bottom"/>
          </w:tcPr>
          <w:p>
            <w:pPr>
              <w:spacing w:after="0"/>
              <w:rPr>
                <w:sz w:val="1"/>
                <w:szCs w:val="1"/>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3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Pension benefits</w:t>
            </w: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0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25"/>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99,041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88,094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357,343</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254,978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9"/>
              </w:rPr>
              <w:t>July 30, 2021</w:t>
            </w: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9"/>
              </w:rPr>
              <w:t>July 31,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October 31, 2020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91"/>
              </w:rPr>
              <w:t>ASSETS</w:t>
            </w:r>
          </w:p>
        </w:tc>
        <w:tc>
          <w:tcPr>
            <w:tcW w:w="602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535,330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394,141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479,892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301,234</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294,672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665,648</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656,208</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652,433</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43,577</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39,225</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34,188</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1,545,789</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1,384,246</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1,427,648</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456,992</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457,891</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467,919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421,958</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424,228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426,497</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413,270</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408,305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72,236</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81,634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Investment in finance affiliate</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19,272</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22,580</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19,745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6,362</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9,772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6,466</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18,943</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20,242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20,318</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2,813,863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62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color w:val="auto"/>
              </w:rPr>
              <w:t>LIABILITIES AND STOCKHOLDERS’ EQUITY</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portion of long-term debt</w:t>
            </w:r>
          </w:p>
        </w:tc>
        <w:tc>
          <w:tcPr>
            <w:tcW w:w="32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ind w:right="38"/>
              <w:spacing w:after="0"/>
              <w:rPr>
                <w:sz w:val="20"/>
                <w:szCs w:val="20"/>
                <w:color w:val="auto"/>
              </w:rPr>
            </w:pPr>
            <w:r>
              <w:rPr>
                <w:rFonts w:ascii="Arial" w:cs="Arial" w:eastAsia="Arial" w:hAnsi="Arial"/>
                <w:sz w:val="16"/>
                <w:szCs w:val="16"/>
                <w:color w:val="auto"/>
              </w:rPr>
              <w:t>104,217</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108,869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99,873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411,413</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268,747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427,407</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404,314</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376,524</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Short-term lease liabilities</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15,403</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15,182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15,447</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958,440</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797,112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855,797</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 less current portion</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587,345</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782,036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691,250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60,002</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69,752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74,381</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71,346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70,435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50,703</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39,585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gridSpan w:val="3"/>
          </w:tcPr>
          <w:p>
            <w:pPr>
              <w:ind w:left="120"/>
              <w:spacing w:after="0" w:line="155" w:lineRule="exact"/>
              <w:rPr>
                <w:sz w:val="20"/>
                <w:szCs w:val="20"/>
                <w:color w:val="auto"/>
              </w:rPr>
            </w:pPr>
            <w:r>
              <w:rPr>
                <w:rFonts w:ascii="Arial" w:cs="Arial" w:eastAsia="Arial" w:hAnsi="Arial"/>
                <w:sz w:val="16"/>
                <w:szCs w:val="16"/>
                <w:color w:val="auto"/>
                <w:w w:val="95"/>
              </w:rPr>
              <w:t>Preferred stock, par value $1.00 per share, authorized 1,000,000 voting and 850,000 non-voting</w:t>
            </w:r>
          </w:p>
        </w:tc>
        <w:tc>
          <w:tcPr>
            <w:tcW w:w="300" w:type="dxa"/>
            <w:vAlign w:val="bottom"/>
          </w:tcPr>
          <w:p>
            <w:pPr>
              <w:spacing w:after="0"/>
              <w:rPr>
                <w:sz w:val="13"/>
                <w:szCs w:val="13"/>
                <w:color w:val="auto"/>
              </w:rPr>
            </w:pPr>
          </w:p>
        </w:tc>
        <w:tc>
          <w:tcPr>
            <w:tcW w:w="1300" w:type="dxa"/>
            <w:vAlign w:val="bottom"/>
            <w:vMerge w:val="restart"/>
          </w:tcPr>
          <w:p>
            <w:pPr>
              <w:jc w:val="right"/>
              <w:ind w:right="3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30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shares, none issued and outstanding</w:t>
            </w:r>
          </w:p>
        </w:tc>
        <w:tc>
          <w:tcPr>
            <w:tcW w:w="3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2"/>
              </w:rPr>
              <w:t>Common stock, par value $1.00 per share, authorized 175,000,000 shares; issued and outstanding</w:t>
            </w:r>
          </w:p>
        </w:tc>
        <w:tc>
          <w:tcPr>
            <w:tcW w:w="3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2"/>
              </w:rPr>
              <w:t>106,440,513 shares as of July 30, 2021, 107,264,098 shares as of July 31, 2020, and 107,582,670</w:t>
            </w:r>
          </w:p>
        </w:tc>
        <w:tc>
          <w:tcPr>
            <w:tcW w:w="3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106,441</w:t>
            </w:r>
          </w:p>
        </w:tc>
        <w:tc>
          <w:tcPr>
            <w:tcW w:w="22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107,264</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107,583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shares as of October 31, 2020</w:t>
            </w:r>
          </w:p>
        </w:tc>
        <w:tc>
          <w:tcPr>
            <w:tcW w:w="3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7"/>
                <w:szCs w:val="17"/>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1,157,428</w:t>
            </w:r>
          </w:p>
        </w:tc>
        <w:tc>
          <w:tcPr>
            <w:tcW w:w="2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981,344</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1,041,507</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(34,576)</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1,237,178</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1,054,032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1,114,828</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2,813,863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Nine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9"/>
              </w:rPr>
              <w:t>July 30, 2021</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349,772</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257,505</w:t>
            </w: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Non-cash income from finance affiliate</w:t>
            </w:r>
          </w:p>
        </w:tc>
        <w:tc>
          <w:tcPr>
            <w:tcW w:w="1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(4,694)</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(6,161)</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from finance affiliate, net</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5,167</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6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55,301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55,272</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intangible assets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17,493</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14,591</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Fair value step-up adjustment to acquired inventory</w:t>
            </w:r>
          </w:p>
        </w:tc>
        <w:tc>
          <w:tcPr>
            <w:tcW w:w="16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3,951</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16,176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10,322</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699</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(3,425)</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6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(42,217)</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(17,687)</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(20,080)</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18,248</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r>
      <w:tr>
        <w:trPr>
          <w:trHeight w:val="207"/>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Accounts payable, accrued liabilities, and other liabilities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100,563</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(42,817)</w:t>
            </w:r>
          </w:p>
        </w:tc>
      </w:tr>
      <w:tr>
        <w:trPr>
          <w:trHeight w:val="200"/>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6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477,135</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305,876</w:t>
            </w:r>
          </w:p>
        </w:tc>
      </w:tr>
      <w:tr>
        <w:trPr>
          <w:trHeight w:val="187"/>
        </w:trPr>
        <w:tc>
          <w:tcPr>
            <w:tcW w:w="6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(47,961)</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(46,627)</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combinations, net of cash acquired</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(138,225)</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Asset acquisitions, net of cash acquired</w:t>
            </w:r>
          </w:p>
        </w:tc>
        <w:tc>
          <w:tcPr>
            <w:tcW w:w="1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(27,176)</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asset disposals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588</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7"/>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Proceeds from sale of a business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18,732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6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(70,691)</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(184,648)</w:t>
            </w:r>
          </w:p>
        </w:tc>
      </w:tr>
      <w:tr>
        <w:trPr>
          <w:trHeight w:val="187"/>
        </w:trPr>
        <w:tc>
          <w:tcPr>
            <w:tcW w:w="6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Borrowings under debt arrangements</w:t>
            </w:r>
          </w:p>
        </w:tc>
        <w:tc>
          <w:tcPr>
            <w:tcW w:w="16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636,025</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debt arrangements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(446,025)</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62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12,535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11,939</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withholding taxes for stock awards</w:t>
            </w:r>
          </w:p>
        </w:tc>
        <w:tc>
          <w:tcPr>
            <w:tcW w:w="16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TTC common stock</w:t>
            </w:r>
          </w:p>
        </w:tc>
        <w:tc>
          <w:tcPr>
            <w:tcW w:w="16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(177,152)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Dividends paid on TTC common stock</w:t>
            </w:r>
          </w:p>
        </w:tc>
        <w:tc>
          <w:tcPr>
            <w:tcW w:w="16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(84,677)</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(80,683)</w:t>
            </w:r>
          </w:p>
        </w:tc>
      </w:tr>
      <w:tr>
        <w:trPr>
          <w:trHeight w:val="200"/>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(351,169)</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119,154</w:t>
            </w:r>
          </w:p>
        </w:tc>
      </w:tr>
      <w:tr>
        <w:trPr>
          <w:trHeight w:val="187"/>
        </w:trPr>
        <w:tc>
          <w:tcPr>
            <w:tcW w:w="68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163</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r>
      <w:tr>
        <w:trPr>
          <w:trHeight w:val="187"/>
        </w:trPr>
        <w:tc>
          <w:tcPr>
            <w:tcW w:w="68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55,438</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242,313</w:t>
            </w:r>
          </w:p>
        </w:tc>
      </w:tr>
      <w:tr>
        <w:trPr>
          <w:trHeight w:val="20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6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479,892</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151,828</w:t>
            </w:r>
          </w:p>
        </w:tc>
      </w:tr>
      <w:tr>
        <w:trPr>
          <w:trHeight w:val="20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as of the end of the fiscal period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535,330</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394,141</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Arial" w:cs="Arial" w:eastAsia="Arial" w:hAnsi="Arial"/>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Arial" w:cs="Arial" w:eastAsia="Arial" w:hAnsi="Arial"/>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Arial" w:cs="Arial" w:eastAsia="Arial" w:hAnsi="Arial"/>
                <w:sz w:val="16"/>
                <w:szCs w:val="16"/>
                <w:b w:val="1"/>
                <w:bCs w:val="1"/>
                <w:color w:val="auto"/>
                <w:w w:val="93"/>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w w:val="96"/>
              </w:rPr>
              <w:t>Total Stockholders'</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w w:val="96"/>
              </w:rPr>
              <w:t>Comprehensive Loss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107,043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1,151,786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1,229,417</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$0.2625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(28,075)</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(28,075)</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Issuance of 64,260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1,605</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5,831</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5,831</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666,672 shares of common stock</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(70,039)</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(70,706)</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2,721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96,320</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96,320</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July 30, 2021</w:t>
            </w:r>
          </w:p>
        </w:tc>
        <w:tc>
          <w:tcPr>
            <w:tcW w:w="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106,441</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1,157,428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(26,691)</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1,237,178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107,583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1,041,507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1,114,828</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$0.7875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(84,677)</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(84,677)</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587,723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588</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10,462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11,050</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 and performance share awards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16,176</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16,176</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22,700 shares to a deferred compensation trust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1,462</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Purchase of 1,752,579 shares of common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(1,753)</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(177,274)</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(179,027)</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7,571</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349,772</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349,772</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30, 2021</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106,441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1,157,428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1,237,178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5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107,111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911,541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984,950</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$0.25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(26,939)</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(26,939)</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162,488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162</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3,430</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4,955</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4,955</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9,206 shares of common stock</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(874)</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88,968</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88,968</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July 31, 2020</w:t>
            </w:r>
          </w:p>
        </w:tc>
        <w:tc>
          <w:tcPr>
            <w:tcW w:w="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107,264</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981,344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(34,576)</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1,054,032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2019</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106,742</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784,885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(32,049)</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859,578</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$0.75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(80,683)</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(80,683)</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550,835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551</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8,820</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 and performance share awards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10,322</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10,322</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stock to a deferred compensation trust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2,568</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Purchase of 28,818 shares of common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(2,073)</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(2,102)</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257,505</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257,505</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107,264</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981,344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1,054,032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July 30, 2021</w:t>
      </w:r>
    </w:p>
    <w:p>
      <w:pPr>
        <w:spacing w:after="0" w:line="345" w:lineRule="exact"/>
        <w:rPr>
          <w:sz w:val="20"/>
          <w:szCs w:val="20"/>
          <w:color w:val="auto"/>
        </w:rPr>
      </w:pPr>
    </w:p>
    <w:p>
      <w:pPr>
        <w:ind w:left="600" w:hanging="579"/>
        <w:spacing w:after="0"/>
        <w:tabs>
          <w:tab w:leader="none" w:pos="600" w:val="left"/>
        </w:tabs>
        <w:numPr>
          <w:ilvl w:val="0"/>
          <w:numId w:val="3"/>
        </w:numPr>
        <w:rPr>
          <w:rFonts w:ascii="Arial" w:cs="Arial" w:eastAsia="Arial" w:hAnsi="Arial"/>
          <w:sz w:val="41"/>
          <w:szCs w:val="41"/>
          <w:b w:val="1"/>
          <w:bCs w:val="1"/>
          <w:color w:val="auto"/>
        </w:rPr>
      </w:pPr>
      <w:r>
        <w:rPr>
          <w:rFonts w:ascii="Arial" w:cs="Arial" w:eastAsia="Arial" w:hAnsi="Arial"/>
          <w:sz w:val="19"/>
          <w:szCs w:val="19"/>
          <w:b w:val="1"/>
          <w:bCs w:val="1"/>
          <w:color w:val="auto"/>
        </w:rPr>
        <w:t>Basis of Presentation</w:t>
      </w:r>
    </w:p>
    <w:p>
      <w:pPr>
        <w:spacing w:after="0" w:line="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 operates and the current COVID-19 pandemic, among other factors, operating results for the nine months ended July 30, 2021 cannot be annualized to determine the expected results for the fiscal year ending October 31, 2021.</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2020. The policies described in that report are used for preparing the company's quarterly reports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 Pandemic</w:t>
      </w:r>
    </w:p>
    <w:p>
      <w:pPr>
        <w:spacing w:after="0" w:line="11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The continuing implications of COVID-19 on the company remain uncertain and will depend on certain future developments, including the duration of the pandemic; any adverse impact due to variants of the virus; its impact on market demand for the company's products; its impact on the company's employees, customers, and suppliers; the range of government mandated restrictions and other measures; and the success of the deployment of approved COVID-19 vaccines, their effectiveness against the novel strain and related variants, and their rate of adoption. This uncertainty could have a material impact on accounting estimates and assumptions utilized to prepare the Condensed Consolidated Financial Statements as of and for the nine months ended July 30, 2021 and in future reporting periods, which could result in a material adverse impact on the company's Consolidated Financial Position, Results of Operations,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 and Estimates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including those impacted by COVID-19, actual amounts could differ significantly from those estimated at the time the Condensed Consolidated Financial Statements are prepared.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Adopted</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modifies the measurement approach for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affects trade receivables, off-balance-sheet credit exposures, and any other financial assets not excluded from the scope of this amendment that have the contractual right to receive cash. The amended guidance was adopted in the first quarter of fiscal 2021, under the modified retrospective transition method. The adoption of the amended guidance did not have a material impact on the company's Condensed Consolidated Financial Statements.</w:t>
      </w:r>
    </w:p>
    <w:p>
      <w:pPr>
        <w:spacing w:after="0" w:line="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 Changes to the Disclosure Requirements for Fair Value Measurement</w:t>
      </w:r>
      <w:r>
        <w:rPr>
          <w:rFonts w:ascii="Arial" w:cs="Arial" w:eastAsia="Arial" w:hAnsi="Arial"/>
          <w:sz w:val="16"/>
          <w:szCs w:val="16"/>
          <w:color w:val="auto"/>
        </w:rPr>
        <w:t>, which modifies the disclosure requirements for fair value measurements by removing, modifying, or adding certain disclosures. The amended guidance was adopted in the first quarter of fiscal 2021 and did not have a material impact on the company's Condensed Consolidated Financial Statements.</w:t>
      </w:r>
    </w:p>
    <w:p>
      <w:pPr>
        <w:spacing w:after="0" w:line="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(Topic 715)</w:t>
      </w:r>
      <w:r>
        <w:rPr>
          <w:rFonts w:ascii="Arial" w:cs="Arial" w:eastAsia="Arial" w:hAnsi="Arial"/>
          <w:sz w:val="17"/>
          <w:szCs w:val="17"/>
          <w:color w:val="auto"/>
        </w:rPr>
        <w:t>, which modifies the disclosure requirements for defined benefit pension plans and other post-retirement plans. The amended guidance was adopted in the first quarter of fiscal 2021 and did not have a material impact on the company's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Not Yet Adopted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amended guidance will become effective for the company in the first quarter of fiscal 2022. Early adoption is permitted. The company is currently evaluating the impact of this new standard on its Condensed Consolidated Financial Statements.</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 - Equity Securities (Topic 321), Investments - Equity Method and Joint Ventures (Topic 323),</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 (Topic 815)</w:t>
      </w:r>
      <w:r>
        <w:rPr>
          <w:rFonts w:ascii="Arial" w:cs="Arial" w:eastAsia="Arial" w:hAnsi="Arial"/>
          <w:sz w:val="16"/>
          <w:szCs w:val="16"/>
          <w:color w:val="auto"/>
        </w:rPr>
        <w:t>, which clarified that before applying or upon discontinuing the equity method of accounting for an investment in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 entity should consider observable transactions that require it to apply or discontinue the equity method of accounting for the purposes of applying the fair value measurement alternative. The amended guidance will become effective for the company in the first quarter of fiscal 2022. Early adoption is permitted. The company is currently evaluating the impact of this standard on its Condensed Consolidated Financial Statements.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temporary optional guidance to ease the potential burden of accounting for reference rate reform due to the cessation of the London</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The company is currently evaluating the impact of this standard on its Condensed Consolidated Financial Statements and has yet to elect an adoption date.</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92" w:lineRule="exact"/>
        <w:rPr>
          <w:sz w:val="20"/>
          <w:szCs w:val="20"/>
          <w:color w:val="auto"/>
        </w:rPr>
      </w:pPr>
    </w:p>
    <w:p>
      <w:pPr>
        <w:ind w:left="600" w:hanging="579"/>
        <w:spacing w:after="0"/>
        <w:tabs>
          <w:tab w:leader="none" w:pos="600" w:val="left"/>
        </w:tabs>
        <w:numPr>
          <w:ilvl w:val="0"/>
          <w:numId w:val="4"/>
        </w:numPr>
        <w:rPr>
          <w:rFonts w:ascii="Arial" w:cs="Arial" w:eastAsia="Arial" w:hAnsi="Arial"/>
          <w:sz w:val="41"/>
          <w:szCs w:val="41"/>
          <w:b w:val="1"/>
          <w:bCs w:val="1"/>
          <w:color w:val="auto"/>
        </w:rPr>
      </w:pPr>
      <w:r>
        <w:rPr>
          <w:rFonts w:ascii="Arial" w:cs="Arial" w:eastAsia="Arial" w:hAnsi="Arial"/>
          <w:sz w:val="19"/>
          <w:szCs w:val="19"/>
          <w:b w:val="1"/>
          <w:bCs w:val="1"/>
          <w:color w:val="auto"/>
        </w:rPr>
        <w:t>Business Combination and Asset Acquisitions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Venture Products, Inc. ("Venture Products")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2, 2020, the company completed its acquisition of Venture Products, the manufacturer of Ventrac-branded products. Venture Products designs, manufactures, markets, and sells articulating turf, landscape, and snow and ice management equipment for grounds, landscape contractor, golf, municipal, and rural acreage customers and provides innovative product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offerings that broadened and strengthened the company's Professional segment and expanded its dealer network. On the closing date of the acquisition, the company paid preliminary merger consideration of $165.9 million, which consisted of a cash payment of $136.4 million ("initial cash payment") and a $29.5 million holdback to satisfy any indemnification or certain other obligations of Venture Products to the company. The preliminary merger consideration was subject to certain customary adjustments, which were finalized during the third quarter of fiscal 2020 and resulted in an aggregate merger consideration of $163.2 million and at such time, $4.5 million of the holdback set aside for such customary adjustments was released accordingly. During the second quarter of fiscal 2021, $14.9 million of the remaining holdback was released and the remaining holdback of $10.0 million is expected to expire during the fourth quarter of fiscal 2021. As of the closing date of the acquisition, the company funded the initial cash payment with borrowings under its unsecured senior revolving credit facility.</w:t>
      </w:r>
    </w:p>
    <w:p>
      <w:pPr>
        <w:spacing w:after="0" w:line="5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purchase price was allocated to the acquired net tangible and intangible assets of Venture Products based on their fair values as of the closing date of the acquisition. Such fair values were based on internal company and independent external third-party valuations. The following table summarizes the allocation of the purchase price to the fair values assigned to the Venture Products assets acquired and liabilities assumed: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March 2, 2020</w:t>
            </w:r>
          </w:p>
        </w:tc>
      </w:tr>
      <w:tr>
        <w:trPr>
          <w:trHeight w:val="20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6,342</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26,976</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61,225</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customer-related</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19,100</w:t>
            </w: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Indefinite-lived trade name</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56,200</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(4,075)</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(5,196)</w:t>
            </w:r>
          </w:p>
        </w:tc>
      </w:tr>
      <w:tr>
        <w:trPr>
          <w:trHeight w:val="20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income tax liabilities</w:t>
            </w:r>
          </w:p>
        </w:tc>
        <w:tc>
          <w:tcPr>
            <w:tcW w:w="3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(20,586)</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net assets acquired</w:t>
            </w:r>
          </w:p>
        </w:tc>
        <w:tc>
          <w:tcPr>
            <w:tcW w:w="36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166,701</w:t>
            </w:r>
          </w:p>
        </w:tc>
      </w:tr>
      <w:tr>
        <w:trPr>
          <w:trHeight w:val="205"/>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cash and cash equivalents acquired</w:t>
            </w:r>
          </w:p>
        </w:tc>
        <w:tc>
          <w:tcPr>
            <w:tcW w:w="3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163,225</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Venture Products acquisition was recognized within the company's Professional segment and is non-deductible for tax purposes. During the first quarter of fiscal 2021, the company completed its valuation of income taxes to finalize the purchase price allocation, which resulted in a decrease to the carrying amount of goodwill of $1.0 million from the amounts reported within the company's Annual Report on Form 10-K for the fiscal year ended October 31, 2020. Such purchase accounting adjustment did not impact the company's Condensed Consolidated Statements of Earnings for the three and nine month periods ended July 30, 2021.</w:t>
      </w:r>
    </w:p>
    <w:p>
      <w:pPr>
        <w:spacing w:after="0" w:line="5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allocation of the purchase price to the net assets acquired resulted in the recognition of $75.3 million of other intangible assets as of the closing date of the acquisition. The fair values of the acquired trade name and customer-related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The fair value of the indefinite-lived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 determined using the excess earnings method and was based on the expected operating cash flows attributable to the customer-related intangible asset, which was determined by deducting expected economic costs, including operating expenses and contributory asset charges, from the revenue expected to be generated from the customer-related intangible asset. As of the closing date of the acquisition, the weighted-average useful life of the customer-related intangible asset was determined to be 16.0 years.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Acquisitions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Effective November 4, 2020, during the first quarter of fiscal 2021, the company completed the acquisition of Turflynx, Lda, a developer of innovative autonomous solutions for turf management and effective March 1, 2021, during the second quarter of fiscal 2021, the company completed the acquisition of Left Hand Robotics, Inc., a developer of innovative autonomous solutions for turf and snow management. These acquisitions complement and support the development of alternative power, smart-connected, and autonomous products within the company's Professional and Residential segments. Neither of these acquisitions met the definition of a business combination as substantially all of the fair value of the gross assets acquired in each acquisition was concentrated in the respective finite-lived developed technology other intangible asset and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107" w:lineRule="exact"/>
        <w:rPr>
          <w:sz w:val="20"/>
          <w:szCs w:val="20"/>
          <w:color w:val="auto"/>
        </w:rPr>
      </w:pPr>
    </w:p>
    <w:p>
      <w:pPr>
        <w:ind w:left="600" w:hanging="579"/>
        <w:spacing w:after="0"/>
        <w:tabs>
          <w:tab w:leader="none" w:pos="600" w:val="left"/>
        </w:tabs>
        <w:numPr>
          <w:ilvl w:val="0"/>
          <w:numId w:val="5"/>
        </w:numPr>
        <w:rPr>
          <w:rFonts w:ascii="Arial" w:cs="Arial" w:eastAsia="Arial" w:hAnsi="Arial"/>
          <w:sz w:val="41"/>
          <w:szCs w:val="41"/>
          <w:b w:val="1"/>
          <w:bCs w:val="1"/>
          <w:color w:val="auto"/>
        </w:rPr>
      </w:pPr>
      <w:r>
        <w:rPr>
          <w:rFonts w:ascii="Arial" w:cs="Arial" w:eastAsia="Arial" w:hAnsi="Arial"/>
          <w:sz w:val="19"/>
          <w:szCs w:val="19"/>
          <w:b w:val="1"/>
          <w:bCs w:val="1"/>
          <w:color w:val="auto"/>
        </w:rPr>
        <w:t>Segment Data</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eleven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the company completed the sale of its Northeastern U.S. distribution company. As a result, for the three and nine month periods ended July 30, 2021, the company's Other activities consisted of the company's wholly-owned domestic distribution company, the company's corporate activities, and the elimination of intersegment revenues and expenses. For the three and nine month periods ended July 31, 2020, the company's Other activities consisted of the company's wholly-owned domestic distribution companies, the company's corporate activities, and the elimination of intersegment revenues and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summarized financial information concerning the company’s reportable segments and Other activities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30, 2021</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718,477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252,117</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6,242</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976,836</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8,241</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(8,254)</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122,331</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31,548</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(36,428)</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117,451</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30, 2021</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2,197,058</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784,852</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17,019</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2,998,929</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24,034</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(24,073)</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406,279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109,642</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430,520</w:t>
            </w:r>
          </w:p>
        </w:tc>
      </w:tr>
      <w:tr>
        <w:trPr>
          <w:trHeight w:val="20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1,949,681</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327,064</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691,304</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2,968,049</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31, 2020</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623,615</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204,961</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center"/>
              <w:ind w:left="420"/>
              <w:spacing w:after="0"/>
              <w:rPr>
                <w:sz w:val="20"/>
                <w:szCs w:val="20"/>
                <w:color w:val="auto"/>
              </w:rPr>
            </w:pPr>
            <w:r>
              <w:rPr>
                <w:rFonts w:ascii="Arial" w:cs="Arial" w:eastAsia="Arial" w:hAnsi="Arial"/>
                <w:sz w:val="16"/>
                <w:szCs w:val="16"/>
                <w:color w:val="auto"/>
                <w:w w:val="89"/>
              </w:rPr>
              <w:t>12,396</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840,972</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12,738</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380" w:type="dxa"/>
            <w:vAlign w:val="bottom"/>
          </w:tcPr>
          <w:p>
            <w:pPr>
              <w:spacing w:after="0"/>
              <w:rPr>
                <w:sz w:val="17"/>
                <w:szCs w:val="17"/>
                <w:color w:val="auto"/>
              </w:rPr>
            </w:pPr>
          </w:p>
        </w:tc>
        <w:tc>
          <w:tcPr>
            <w:tcW w:w="1180" w:type="dxa"/>
            <w:vAlign w:val="bottom"/>
          </w:tcPr>
          <w:p>
            <w:pPr>
              <w:jc w:val="center"/>
              <w:ind w:left="400"/>
              <w:spacing w:after="0"/>
              <w:rPr>
                <w:sz w:val="20"/>
                <w:szCs w:val="20"/>
                <w:color w:val="auto"/>
              </w:rPr>
            </w:pPr>
            <w:r>
              <w:rPr>
                <w:rFonts w:ascii="Arial" w:cs="Arial" w:eastAsia="Arial" w:hAnsi="Arial"/>
                <w:sz w:val="16"/>
                <w:szCs w:val="16"/>
                <w:color w:val="auto"/>
                <w:w w:val="90"/>
              </w:rPr>
              <w:t>(12,761)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113,652</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28,545</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00"/>
              <w:spacing w:after="0"/>
              <w:rPr>
                <w:sz w:val="20"/>
                <w:szCs w:val="20"/>
                <w:color w:val="auto"/>
              </w:rPr>
            </w:pPr>
            <w:r>
              <w:rPr>
                <w:rFonts w:ascii="Arial" w:cs="Arial" w:eastAsia="Arial" w:hAnsi="Arial"/>
                <w:sz w:val="16"/>
                <w:szCs w:val="16"/>
                <w:color w:val="auto"/>
                <w:w w:val="90"/>
              </w:rPr>
              <w:t>(31,204)</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110,993</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31, 2020</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1,879,423</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632,807</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25,623</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2,537,853</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38,151</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(38,235)</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322,385</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87,233</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(91,115)</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318,503</w:t>
            </w:r>
          </w:p>
        </w:tc>
      </w:tr>
      <w:tr>
        <w:trPr>
          <w:trHeight w:val="20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1,967,882</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268,562</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577,419</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2,813,863</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operating loss before income taxes for the company's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July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20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0"/>
              </w:rPr>
              <w:t>(78,814)</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center"/>
              <w:ind w:left="580"/>
              <w:spacing w:after="0"/>
              <w:rPr>
                <w:sz w:val="20"/>
                <w:szCs w:val="20"/>
                <w:color w:val="auto"/>
              </w:rPr>
            </w:pPr>
            <w:r>
              <w:rPr>
                <w:rFonts w:ascii="Arial" w:cs="Arial" w:eastAsia="Arial" w:hAnsi="Arial"/>
                <w:sz w:val="16"/>
                <w:szCs w:val="16"/>
                <w:color w:val="auto"/>
                <w:w w:val="90"/>
              </w:rPr>
              <w:t>(76,961)</w:t>
            </w:r>
          </w:p>
        </w:tc>
        <w:tc>
          <w:tcPr>
            <w:tcW w:w="0" w:type="dxa"/>
            <w:vAlign w:val="bottom"/>
          </w:tcPr>
          <w:p>
            <w:pPr>
              <w:spacing w:after="0"/>
              <w:rPr>
                <w:sz w:val="1"/>
                <w:szCs w:val="1"/>
                <w:color w:val="auto"/>
              </w:rPr>
            </w:pP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(7,016)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(8,304)</w:t>
            </w:r>
          </w:p>
        </w:tc>
        <w:tc>
          <w:tcPr>
            <w:tcW w:w="240" w:type="dxa"/>
            <w:vAlign w:val="bottom"/>
          </w:tcPr>
          <w:p>
            <w:pPr>
              <w:spacing w:after="0"/>
              <w:rPr>
                <w:sz w:val="17"/>
                <w:szCs w:val="17"/>
                <w:color w:val="auto"/>
              </w:rPr>
            </w:pPr>
          </w:p>
        </w:tc>
        <w:tc>
          <w:tcPr>
            <w:tcW w:w="1300" w:type="dxa"/>
            <w:vAlign w:val="bottom"/>
          </w:tcPr>
          <w:p>
            <w:pPr>
              <w:jc w:val="center"/>
              <w:ind w:left="520"/>
              <w:spacing w:after="0"/>
              <w:rPr>
                <w:sz w:val="20"/>
                <w:szCs w:val="20"/>
                <w:color w:val="auto"/>
              </w:rPr>
            </w:pPr>
            <w:r>
              <w:rPr>
                <w:rFonts w:ascii="Arial" w:cs="Arial" w:eastAsia="Arial" w:hAnsi="Arial"/>
                <w:sz w:val="16"/>
                <w:szCs w:val="16"/>
                <w:color w:val="auto"/>
                <w:w w:val="90"/>
              </w:rPr>
              <w:t>(21,662)</w:t>
            </w:r>
          </w:p>
        </w:tc>
        <w:tc>
          <w:tcPr>
            <w:tcW w:w="240" w:type="dxa"/>
            <w:vAlign w:val="bottom"/>
          </w:tcPr>
          <w:p>
            <w:pPr>
              <w:spacing w:after="0"/>
              <w:rPr>
                <w:sz w:val="17"/>
                <w:szCs w:val="17"/>
                <w:color w:val="auto"/>
              </w:rPr>
            </w:pPr>
          </w:p>
        </w:tc>
        <w:tc>
          <w:tcPr>
            <w:tcW w:w="1240" w:type="dxa"/>
            <w:vAlign w:val="bottom"/>
          </w:tcPr>
          <w:p>
            <w:pPr>
              <w:jc w:val="center"/>
              <w:ind w:left="580"/>
              <w:spacing w:after="0"/>
              <w:rPr>
                <w:sz w:val="20"/>
                <w:szCs w:val="20"/>
                <w:color w:val="auto"/>
              </w:rPr>
            </w:pPr>
            <w:r>
              <w:rPr>
                <w:rFonts w:ascii="Arial" w:cs="Arial" w:eastAsia="Arial" w:hAnsi="Arial"/>
                <w:sz w:val="16"/>
                <w:szCs w:val="16"/>
                <w:color w:val="auto"/>
                <w:w w:val="90"/>
              </w:rPr>
              <w:t>(25,119)</w:t>
            </w:r>
          </w:p>
        </w:tc>
        <w:tc>
          <w:tcPr>
            <w:tcW w:w="0" w:type="dxa"/>
            <w:vAlign w:val="bottom"/>
          </w:tcPr>
          <w:p>
            <w:pPr>
              <w:spacing w:after="0"/>
              <w:rPr>
                <w:sz w:val="1"/>
                <w:szCs w:val="1"/>
                <w:color w:val="auto"/>
              </w:rPr>
            </w:pPr>
          </w:p>
        </w:tc>
      </w:tr>
      <w:tr>
        <w:trPr>
          <w:trHeight w:val="156"/>
        </w:trPr>
        <w:tc>
          <w:tcPr>
            <w:tcW w:w="49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7"/>
              </w:rPr>
              <w:t>Earnings from wholly-owned domestic distribution companies and other</w:t>
            </w:r>
          </w:p>
        </w:tc>
        <w:tc>
          <w:tcPr>
            <w:tcW w:w="4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4,385</w:t>
            </w:r>
          </w:p>
        </w:tc>
        <w:tc>
          <w:tcPr>
            <w:tcW w:w="2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6,178</w:t>
            </w:r>
          </w:p>
        </w:tc>
        <w:tc>
          <w:tcPr>
            <w:tcW w:w="2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center"/>
              <w:ind w:left="540"/>
              <w:spacing w:after="0"/>
              <w:rPr>
                <w:sz w:val="20"/>
                <w:szCs w:val="20"/>
                <w:color w:val="auto"/>
              </w:rPr>
            </w:pPr>
            <w:r>
              <w:rPr>
                <w:rFonts w:ascii="Arial" w:cs="Arial" w:eastAsia="Arial" w:hAnsi="Arial"/>
                <w:sz w:val="16"/>
                <w:szCs w:val="16"/>
                <w:color w:val="auto"/>
                <w:w w:val="89"/>
              </w:rPr>
              <w:t>15,075</w:t>
            </w:r>
          </w:p>
        </w:tc>
        <w:tc>
          <w:tcPr>
            <w:tcW w:w="24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center"/>
              <w:ind w:left="600"/>
              <w:spacing w:after="0"/>
              <w:rPr>
                <w:sz w:val="20"/>
                <w:szCs w:val="20"/>
                <w:color w:val="auto"/>
              </w:rPr>
            </w:pPr>
            <w:r>
              <w:rPr>
                <w:rFonts w:ascii="Arial" w:cs="Arial" w:eastAsia="Arial" w:hAnsi="Arial"/>
                <w:sz w:val="16"/>
                <w:szCs w:val="16"/>
                <w:color w:val="auto"/>
                <w:w w:val="89"/>
              </w:rPr>
              <w:t>10,965</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net</w:t>
            </w:r>
          </w:p>
        </w:tc>
        <w:tc>
          <w:tcPr>
            <w:tcW w:w="4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loss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center"/>
              <w:ind w:left="520"/>
              <w:spacing w:after="0"/>
              <w:rPr>
                <w:sz w:val="20"/>
                <w:szCs w:val="20"/>
                <w:color w:val="auto"/>
              </w:rPr>
            </w:pPr>
            <w:r>
              <w:rPr>
                <w:rFonts w:ascii="Arial" w:cs="Arial" w:eastAsia="Arial" w:hAnsi="Arial"/>
                <w:sz w:val="16"/>
                <w:szCs w:val="16"/>
                <w:color w:val="auto"/>
                <w:w w:val="90"/>
              </w:rPr>
              <w:t>(85,401)</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center"/>
              <w:ind w:left="580"/>
              <w:spacing w:after="0"/>
              <w:rPr>
                <w:sz w:val="20"/>
                <w:szCs w:val="20"/>
                <w:color w:val="auto"/>
              </w:rPr>
            </w:pPr>
            <w:r>
              <w:rPr>
                <w:rFonts w:ascii="Arial" w:cs="Arial" w:eastAsia="Arial" w:hAnsi="Arial"/>
                <w:sz w:val="16"/>
                <w:szCs w:val="16"/>
                <w:color w:val="auto"/>
                <w:w w:val="90"/>
              </w:rPr>
              <w:t>(91,115)</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00" w:hanging="579"/>
        <w:spacing w:after="0"/>
        <w:tabs>
          <w:tab w:leader="none" w:pos="600" w:val="left"/>
        </w:tabs>
        <w:numPr>
          <w:ilvl w:val="0"/>
          <w:numId w:val="6"/>
        </w:numPr>
        <w:rPr>
          <w:rFonts w:ascii="Arial" w:cs="Arial" w:eastAsia="Arial" w:hAnsi="Arial"/>
          <w:sz w:val="41"/>
          <w:szCs w:val="41"/>
          <w:b w:val="1"/>
          <w:bCs w:val="1"/>
          <w:color w:val="auto"/>
        </w:rPr>
      </w:pPr>
      <w:r>
        <w:rPr>
          <w:rFonts w:ascii="Arial" w:cs="Arial" w:eastAsia="Arial" w:hAnsi="Arial"/>
          <w:sz w:val="19"/>
          <w:szCs w:val="19"/>
          <w:b w:val="1"/>
          <w:bCs w:val="1"/>
          <w:color w:val="auto"/>
        </w:rPr>
        <w:t>Revenue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30, 2021</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2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609,022</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247,152</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3,164</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859,338</w:t>
            </w:r>
          </w:p>
        </w:tc>
      </w:tr>
      <w:tr>
        <w:trPr>
          <w:trHeight w:val="207"/>
        </w:trPr>
        <w:tc>
          <w:tcPr>
            <w:tcW w:w="3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109,455</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3,078</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117,498</w:t>
            </w:r>
          </w:p>
        </w:tc>
      </w:tr>
      <w:tr>
        <w:trPr>
          <w:trHeight w:val="20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718,477</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252,117</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6,242</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976,836</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8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559,907</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219,022</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6,242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785,171</w:t>
            </w:r>
          </w:p>
        </w:tc>
      </w:tr>
      <w:tr>
        <w:trPr>
          <w:trHeight w:val="207"/>
        </w:trPr>
        <w:tc>
          <w:tcPr>
            <w:tcW w:w="3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158,570</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33,095</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191,665</w:t>
            </w:r>
          </w:p>
        </w:tc>
      </w:tr>
      <w:tr>
        <w:trPr>
          <w:trHeight w:val="20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718,477</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252,117</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6,242</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976,836</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30, 2021</w:t>
            </w:r>
          </w:p>
        </w:tc>
        <w:tc>
          <w:tcPr>
            <w:tcW w:w="16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1,891,138</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761,724</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11,436</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2,664,298</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305,920</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23,128</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5,583</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334,631</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2,197,058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784,852</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17,019</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2,998,929</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1,681,972</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661,017</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17,019</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2,360,008</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515,086</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123,835</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638,921</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2,197,058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784,852</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17,019</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2,998,929</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July 31, 2020</w:t>
            </w:r>
          </w:p>
        </w:tc>
        <w:tc>
          <w:tcPr>
            <w:tcW w:w="16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2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525,285</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199,012</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7,029</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731,326</w:t>
            </w:r>
          </w:p>
        </w:tc>
      </w:tr>
      <w:tr>
        <w:trPr>
          <w:trHeight w:val="207"/>
        </w:trPr>
        <w:tc>
          <w:tcPr>
            <w:tcW w:w="3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98,330</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5,949</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5,367</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109,646</w:t>
            </w:r>
          </w:p>
        </w:tc>
      </w:tr>
      <w:tr>
        <w:trPr>
          <w:trHeight w:val="20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623,615</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204,961</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12,396</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840,972</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8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500,828</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177,734</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12,396</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690,958</w:t>
            </w:r>
          </w:p>
        </w:tc>
      </w:tr>
      <w:tr>
        <w:trPr>
          <w:trHeight w:val="207"/>
        </w:trPr>
        <w:tc>
          <w:tcPr>
            <w:tcW w:w="38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122,787</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27,227</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150,014</w:t>
            </w:r>
          </w:p>
        </w:tc>
      </w:tr>
      <w:tr>
        <w:trPr>
          <w:trHeight w:val="20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623,615</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204,961</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12,396</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840,972</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July 31, 2020</w:t>
            </w:r>
          </w:p>
        </w:tc>
        <w:tc>
          <w:tcPr>
            <w:tcW w:w="16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1,618,337</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608,870</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16,389</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2,243,596</w:t>
            </w:r>
          </w:p>
        </w:tc>
      </w:tr>
      <w:tr>
        <w:trPr>
          <w:trHeight w:val="207"/>
        </w:trPr>
        <w:tc>
          <w:tcPr>
            <w:tcW w:w="3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Irrigation</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261,086</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23,937</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9,234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294,257</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1,879,423</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632,807</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25,623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2,537,853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1,464,393</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539,836</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25,623</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2,029,852</w:t>
            </w:r>
          </w:p>
        </w:tc>
      </w:tr>
      <w:tr>
        <w:trPr>
          <w:trHeight w:val="207"/>
        </w:trPr>
        <w:tc>
          <w:tcPr>
            <w:tcW w:w="3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International Countries</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415,030</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92,971</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508,001</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1,879,423</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632,807</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25,623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2,537,853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90170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July 30, 2021 and October 31, 2020, $24.6 million and $21.9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nine months ended July 30, 2021, the company recognized $3.1 million and $8.0 million, respectively, of the October 31, 2020 deferred revenue balance within net sales in the Condensed Consolidated Statements of Earnings. The company expects to recognize approximately $2.0 million of the October 31, 2020 deferred revenue amount within net sales throughout the remainder of fiscal 2021, $6.9 million in fiscal 2022, and $5.0 million thereafter.</w:t>
      </w:r>
    </w:p>
    <w:p>
      <w:pPr>
        <w:spacing w:after="0" w:line="103" w:lineRule="exact"/>
        <w:rPr>
          <w:sz w:val="20"/>
          <w:szCs w:val="20"/>
          <w:color w:val="auto"/>
        </w:rPr>
      </w:pPr>
    </w:p>
    <w:p>
      <w:pPr>
        <w:ind w:left="600" w:hanging="579"/>
        <w:spacing w:after="0"/>
        <w:tabs>
          <w:tab w:leader="none" w:pos="600" w:val="left"/>
        </w:tabs>
        <w:numPr>
          <w:ilvl w:val="0"/>
          <w:numId w:val="7"/>
        </w:numPr>
        <w:rPr>
          <w:rFonts w:ascii="Arial" w:cs="Arial" w:eastAsia="Arial" w:hAnsi="Arial"/>
          <w:sz w:val="41"/>
          <w:szCs w:val="41"/>
          <w:b w:val="1"/>
          <w:bCs w:val="1"/>
          <w:color w:val="auto"/>
        </w:rPr>
      </w:pPr>
      <w:r>
        <w:rPr>
          <w:rFonts w:ascii="Arial" w:cs="Arial" w:eastAsia="Arial" w:hAnsi="Arial"/>
          <w:sz w:val="19"/>
          <w:szCs w:val="19"/>
          <w:b w:val="1"/>
          <w:bCs w:val="1"/>
          <w:color w:val="auto"/>
        </w:rPr>
        <w:t>Goodwill and Other Intangible Assets, Net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reportable segment for the first nine months of fiscal 2021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3"/>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412,061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1000" w:type="dxa"/>
            <w:vAlign w:val="bottom"/>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1,534</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424,075</w:t>
            </w: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Purchase price allocation adjustment</w:t>
            </w: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(1,027)</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08"/>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divested</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(1,534)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Translation adjustments</w:t>
            </w: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225"/>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30, 2021</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411,345</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10,613</w:t>
            </w:r>
          </w:p>
        </w:tc>
        <w:tc>
          <w:tcPr>
            <w:tcW w:w="100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421,958</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intangible assets, net as of July 30, 2021, July 31, 2020, and October 31, 2020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July 30, 2021</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18,275</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(14,482)</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6,908</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(6,861)</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239,762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(59,017)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180,745</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87,512</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(40,943)</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46,569</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7,544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364,391</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(128,575)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235,816</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190,681</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190,681</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555,072</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(128,575)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426,497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July 31, 2020</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18,232</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(13,697)</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6,871</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(6,804)</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239,661</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(44,368)</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195,293</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51,999</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(34,232)</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17,767</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7,540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328,693</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(105,944)</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222,749</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190,521</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190,521</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519,214</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(105,944)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413,270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October 31, 2020</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(13,919)</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6,892</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(6,831)</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239,634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191,629</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51,995</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(35,208)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328,698</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(110,905)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217,793</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190,512</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190,512</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519,210</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(110,905)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three and nine months ended July 30, 2021, amortization expense for finite-lived intangible assets was $6.4 million and $17.5 million, respectively. For the three and nine months ended July 31, 2020, amortization expense for finite-lived intangible assets was $5.0 million and $14.6 million, respectively. Estimated amortization expense for the remainder of fiscal 2021 and succeeding fiscal years is as follows: fiscal 2021 (remainder), $6.4 million; fiscal 2022, $24.2 million; fiscal 2023, $22.4 million; fiscal 2024, $21.4 million; fiscal 2025, $19.8 million; fiscal 2026, $19.0 million; and after fiscal 2026, $122.6 million.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420" w:type="dxa"/>
            <w:vAlign w:val="bottom"/>
          </w:tcPr>
          <w:p>
            <w:pPr>
              <w:ind w:left="20"/>
              <w:spacing w:after="0"/>
              <w:rPr>
                <w:sz w:val="20"/>
                <w:szCs w:val="20"/>
                <w:color w:val="auto"/>
              </w:rPr>
            </w:pPr>
            <w:r>
              <w:rPr>
                <w:rFonts w:ascii="Arial" w:cs="Arial" w:eastAsia="Arial" w:hAnsi="Arial"/>
                <w:sz w:val="41"/>
                <w:szCs w:val="41"/>
                <w:b w:val="1"/>
                <w:bCs w:val="1"/>
                <w:color w:val="auto"/>
              </w:rPr>
              <w:t>6</w:t>
            </w:r>
          </w:p>
        </w:tc>
        <w:tc>
          <w:tcPr>
            <w:tcW w:w="5220" w:type="dxa"/>
            <w:vAlign w:val="bottom"/>
          </w:tcPr>
          <w:p>
            <w:pPr>
              <w:ind w:left="180"/>
              <w:spacing w:after="0"/>
              <w:rPr>
                <w:sz w:val="20"/>
                <w:szCs w:val="20"/>
                <w:color w:val="auto"/>
              </w:rPr>
            </w:pPr>
            <w:r>
              <w:rPr>
                <w:rFonts w:ascii="Arial" w:cs="Arial" w:eastAsia="Arial" w:hAnsi="Arial"/>
                <w:sz w:val="19"/>
                <w:szCs w:val="19"/>
                <w:b w:val="1"/>
                <w:bCs w:val="1"/>
                <w:color w:val="auto"/>
              </w:rPr>
              <w:t>Indebtedness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5640" w:type="dxa"/>
            <w:vAlign w:val="bottom"/>
            <w:gridSpan w:val="2"/>
          </w:tcPr>
          <w:p>
            <w:pPr>
              <w:spacing w:after="0"/>
              <w:rPr>
                <w:sz w:val="20"/>
                <w:szCs w:val="20"/>
                <w:color w:val="auto"/>
              </w:rPr>
            </w:pPr>
            <w:r>
              <w:rPr>
                <w:rFonts w:ascii="Arial" w:cs="Arial" w:eastAsia="Arial" w:hAnsi="Arial"/>
                <w:sz w:val="17"/>
                <w:szCs w:val="17"/>
                <w:color w:val="auto"/>
              </w:rPr>
              <w:t>The following is a summary of the company's indebtedness:</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9"/>
        </w:trPr>
        <w:tc>
          <w:tcPr>
            <w:tcW w:w="564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00"/>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June 2023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$200 million term loan, due April 2022</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$300 million term loan, due April 2024</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$190 million term loan, due June 2023</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6.625% senior notes, due May 2037</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124,024</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123,962</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123,978</w:t>
            </w:r>
          </w:p>
        </w:tc>
      </w:tr>
      <w:tr>
        <w:trPr>
          <w:trHeight w:val="207"/>
        </w:trPr>
        <w:tc>
          <w:tcPr>
            <w:tcW w:w="5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3,057</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00"/>
        </w:trPr>
        <w:tc>
          <w:tcPr>
            <w:tcW w:w="5640" w:type="dxa"/>
            <w:vAlign w:val="bottom"/>
            <w:gridSpan w:val="2"/>
          </w:tcPr>
          <w:p>
            <w:pPr>
              <w:ind w:left="140"/>
              <w:spacing w:after="0"/>
              <w:rPr>
                <w:sz w:val="20"/>
                <w:szCs w:val="20"/>
                <w:color w:val="auto"/>
              </w:rPr>
            </w:pPr>
            <w:r>
              <w:rPr>
                <w:rFonts w:ascii="Arial" w:cs="Arial" w:eastAsia="Arial" w:hAnsi="Arial"/>
                <w:sz w:val="16"/>
                <w:szCs w:val="16"/>
                <w:color w:val="auto"/>
              </w:rPr>
              <w:t>Total long-term debt</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691,562</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890,905</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791,123</w:t>
            </w:r>
          </w:p>
        </w:tc>
      </w:tr>
      <w:tr>
        <w:trPr>
          <w:trHeight w:val="207"/>
        </w:trPr>
        <w:tc>
          <w:tcPr>
            <w:tcW w:w="5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104,217</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108,869</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99,873</w:t>
            </w:r>
          </w:p>
        </w:tc>
      </w:tr>
      <w:tr>
        <w:trPr>
          <w:trHeight w:val="200"/>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Long-term debt, less current portion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587,345</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782,036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691,250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Principal payments required on the company's outstanding indebtedness, based on the maturity dates defined within the company's debt arrangements, for the remainder of fiscal 2021 and succeeding fiscal years are as follows: fiscal 2021 (remainder), $0.0 million; fiscal 2022, $108.5 million; fiscal 2023, $17.0 million; fiscal 2024, $144.5 million; fiscal 2025, $0.0 million; fiscal 2026, $0.0 million; and after fiscal 2026, $425.0 million. As of July 30, 2021, the company reclassified the remaining $100.0 million outstanding balance under the $200.0 million three-year unsecured senior term loan facility, net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related proportionate share of deferred debt issuance costs, to current portion of long-term debt within the Condensed Consolidated Balance Sheets as the maturity date of the $200.0 million three-year unsecured senior term loan facility is April 1, 2022 and is within the next twelve months. Additionally, as of July 30, 2021, the company reclassified $4.2 million of the outstanding balance under the $300.0 million five-year unsecured senior term loan facility, net of the related proportionate share of deferred debt issuance costs, to current portion of long-term debt within the Condensed Consolidated Balance Sheets as the company is required to begin making quarterly amortization payments on the $300.0 million five-year unsecured senior term loan facility within the next twelve months. During the first nine months of fiscal 2021, the company prepaid the remaining $90.0 million of outstanding borrowings under the $190.0 million three-year unsecured senior term loan facility and prepaid $10.0 million of the remaining outstanding borrowings under the $300.0 million five-year unsecured senior term loan facility.</w:t>
      </w:r>
    </w:p>
    <w:p>
      <w:pPr>
        <w:spacing w:after="0" w:line="112" w:lineRule="exact"/>
        <w:rPr>
          <w:sz w:val="20"/>
          <w:szCs w:val="20"/>
          <w:color w:val="auto"/>
        </w:rPr>
      </w:pPr>
    </w:p>
    <w:p>
      <w:pPr>
        <w:ind w:left="600" w:hanging="579"/>
        <w:spacing w:after="0"/>
        <w:tabs>
          <w:tab w:leader="none" w:pos="600" w:val="left"/>
        </w:tabs>
        <w:numPr>
          <w:ilvl w:val="0"/>
          <w:numId w:val="8"/>
        </w:numPr>
        <w:rPr>
          <w:rFonts w:ascii="Arial" w:cs="Arial" w:eastAsia="Arial" w:hAnsi="Arial"/>
          <w:sz w:val="41"/>
          <w:szCs w:val="41"/>
          <w:b w:val="1"/>
          <w:bCs w:val="1"/>
          <w:color w:val="auto"/>
        </w:rPr>
      </w:pPr>
      <w:r>
        <w:rPr>
          <w:rFonts w:ascii="Arial" w:cs="Arial" w:eastAsia="Arial" w:hAnsi="Arial"/>
          <w:sz w:val="19"/>
          <w:szCs w:val="19"/>
          <w:b w:val="1"/>
          <w:bCs w:val="1"/>
          <w:color w:val="auto"/>
        </w:rPr>
        <w:t>Divestiture</w:t>
      </w:r>
    </w:p>
    <w:p>
      <w:pPr>
        <w:spacing w:after="0" w:line="87"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On November 2, 2020, in the first quarter of fiscal 2021, the company completed the sale of its Northeastern U.S. distribution company. The divestiture was not material based on the company's Consolidated Financial Condition and Results of Operations.</w:t>
      </w:r>
    </w:p>
    <w:p>
      <w:pPr>
        <w:spacing w:after="0" w:line="92" w:lineRule="exact"/>
        <w:rPr>
          <w:sz w:val="20"/>
          <w:szCs w:val="20"/>
          <w:color w:val="auto"/>
        </w:rPr>
      </w:pPr>
    </w:p>
    <w:p>
      <w:pPr>
        <w:ind w:left="600" w:hanging="579"/>
        <w:spacing w:after="0"/>
        <w:tabs>
          <w:tab w:leader="none" w:pos="600" w:val="left"/>
        </w:tabs>
        <w:numPr>
          <w:ilvl w:val="0"/>
          <w:numId w:val="9"/>
        </w:numPr>
        <w:rPr>
          <w:rFonts w:ascii="Arial" w:cs="Arial" w:eastAsia="Arial" w:hAnsi="Arial"/>
          <w:sz w:val="41"/>
          <w:szCs w:val="41"/>
          <w:b w:val="1"/>
          <w:bCs w:val="1"/>
          <w:color w:val="auto"/>
        </w:rPr>
      </w:pPr>
      <w:r>
        <w:rPr>
          <w:rFonts w:ascii="Arial" w:cs="Arial" w:eastAsia="Arial" w:hAnsi="Arial"/>
          <w:sz w:val="19"/>
          <w:szCs w:val="19"/>
          <w:b w:val="1"/>
          <w:bCs w:val="1"/>
          <w:color w:val="auto"/>
        </w:rPr>
        <w:t>Inventories, Net</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and average cost methods for a majority of the company's inventories. All remaining inventories are valued at the lower of cost or market, with cost determined under the last-in, first-out ("LIFO") method.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work in process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280,774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197,439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168,759</w:t>
            </w: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 and service parts</w:t>
            </w:r>
          </w:p>
        </w:tc>
        <w:tc>
          <w:tcPr>
            <w:tcW w:w="2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466,961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540,840</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565,761</w:t>
            </w:r>
          </w:p>
        </w:tc>
      </w:tr>
      <w:tr>
        <w:trPr>
          <w:trHeight w:val="201"/>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FIFO and average cost value</w:t>
            </w:r>
          </w:p>
        </w:tc>
        <w:tc>
          <w:tcPr>
            <w:tcW w:w="2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747,735</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738,279</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734,520</w:t>
            </w: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adjustment to LIFO value</w:t>
            </w:r>
          </w:p>
        </w:tc>
        <w:tc>
          <w:tcPr>
            <w:tcW w:w="2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82,087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82,071</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82,087</w:t>
            </w: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665,648</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656,208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652,433</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0" w:hanging="579"/>
        <w:spacing w:after="0"/>
        <w:tabs>
          <w:tab w:leader="none" w:pos="600" w:val="left"/>
        </w:tabs>
        <w:numPr>
          <w:ilvl w:val="0"/>
          <w:numId w:val="10"/>
        </w:numPr>
        <w:rPr>
          <w:rFonts w:ascii="Arial" w:cs="Arial" w:eastAsia="Arial" w:hAnsi="Arial"/>
          <w:sz w:val="41"/>
          <w:szCs w:val="41"/>
          <w:b w:val="1"/>
          <w:bCs w:val="1"/>
          <w:color w:val="auto"/>
        </w:rPr>
      </w:pPr>
      <w:r>
        <w:rPr>
          <w:rFonts w:ascii="Arial" w:cs="Arial" w:eastAsia="Arial" w:hAnsi="Arial"/>
          <w:sz w:val="19"/>
          <w:szCs w:val="19"/>
          <w:b w:val="1"/>
          <w:bCs w:val="1"/>
          <w:color w:val="auto"/>
        </w:rPr>
        <w:t>Property, Plant and Equipment, Net</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land improvements,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Expenditures for general maintenance and repairs are charged to cost of sales or selling, general and administrative expense within the Condensed Consolidated Statements of Earnings depending on the nature and use of the related asset. Interest is capitalized during the construction period for significant capital projects.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31,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56,004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57,387</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3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299,484</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289,484</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301,848</w:t>
            </w:r>
          </w:p>
        </w:tc>
      </w:tr>
      <w:tr>
        <w:trPr>
          <w:trHeight w:val="208"/>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508,383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474,519</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499,312</w:t>
            </w:r>
          </w:p>
        </w:tc>
      </w:tr>
      <w:tr>
        <w:trPr>
          <w:trHeight w:val="205"/>
        </w:trPr>
        <w:tc>
          <w:tcPr>
            <w:tcW w:w="4640" w:type="dxa"/>
            <w:vAlign w:val="bottom"/>
          </w:tcPr>
          <w:p>
            <w:pPr>
              <w:ind w:left="20"/>
              <w:spacing w:after="0"/>
              <w:rPr>
                <w:sz w:val="20"/>
                <w:szCs w:val="20"/>
                <w:color w:val="auto"/>
              </w:rPr>
            </w:pPr>
            <w:r>
              <w:rPr>
                <w:rFonts w:ascii="Arial" w:cs="Arial" w:eastAsia="Arial" w:hAnsi="Arial"/>
                <w:sz w:val="16"/>
                <w:szCs w:val="16"/>
                <w:color w:val="auto"/>
              </w:rPr>
              <w:t>Tooling</w:t>
            </w:r>
          </w:p>
        </w:tc>
        <w:tc>
          <w:tcPr>
            <w:tcW w:w="23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233,171</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218,851</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231,142</w:t>
            </w:r>
          </w:p>
        </w:tc>
      </w:tr>
      <w:tr>
        <w:trPr>
          <w:trHeight w:val="208"/>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102,293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102,312</w:t>
            </w: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process</w:t>
            </w:r>
          </w:p>
        </w:tc>
        <w:tc>
          <w:tcPr>
            <w:tcW w:w="2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82,211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77,227</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48,157</w:t>
            </w:r>
          </w:p>
        </w:tc>
      </w:tr>
      <w:tr>
        <w:trPr>
          <w:trHeight w:val="201"/>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1,281,546</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1,212,229</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1,240,158</w:t>
            </w:r>
          </w:p>
        </w:tc>
      </w:tr>
      <w:tr>
        <w:trPr>
          <w:trHeight w:val="205"/>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824,554</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754,338</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772,239</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456,992</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457,891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467,919</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10 </w:t>
      </w:r>
      <w:r>
        <w:rPr>
          <w:rFonts w:ascii="Arial" w:cs="Arial" w:eastAsia="Arial" w:hAnsi="Arial"/>
          <w:sz w:val="18"/>
          <w:szCs w:val="18"/>
          <w:b w:val="1"/>
          <w:bCs w:val="1"/>
          <w:color w:val="auto"/>
        </w:rPr>
        <w:t>Product Warranty Guarantees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The changes in accrued warranties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119,389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102,884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107,121</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96,604</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20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17,686</w:t>
            </w:r>
          </w:p>
        </w:tc>
        <w:tc>
          <w:tcPr>
            <w:tcW w:w="2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15,186</w:t>
            </w:r>
          </w:p>
        </w:tc>
        <w:tc>
          <w:tcPr>
            <w:tcW w:w="24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56,204</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46,289</w:t>
            </w:r>
          </w:p>
        </w:tc>
      </w:tr>
      <w:tr>
        <w:trPr>
          <w:trHeight w:val="20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20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color w:val="auto"/>
              </w:rPr>
              <w:t>Claims</w:t>
            </w:r>
          </w:p>
        </w:tc>
        <w:tc>
          <w:tcPr>
            <w:tcW w:w="20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(20,300)</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(16,800)</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(51,104)</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(48,430)</w:t>
            </w:r>
          </w:p>
        </w:tc>
      </w:tr>
      <w:tr>
        <w:trPr>
          <w:trHeight w:val="207"/>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estimates</w:t>
            </w:r>
          </w:p>
        </w:tc>
        <w:tc>
          <w:tcPr>
            <w:tcW w:w="20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377</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4,931</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4,476</w:t>
            </w:r>
          </w:p>
        </w:tc>
      </w:tr>
      <w:tr>
        <w:trPr>
          <w:trHeight w:val="20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117,152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101,496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117,152</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101,496</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11 </w:t>
      </w:r>
      <w:r>
        <w:rPr>
          <w:rFonts w:ascii="Arial" w:cs="Arial" w:eastAsia="Arial" w:hAnsi="Arial"/>
          <w:sz w:val="18"/>
          <w:szCs w:val="18"/>
          <w:b w:val="1"/>
          <w:bCs w:val="1"/>
          <w:color w:val="auto"/>
        </w:rPr>
        <w:t>Investment in Finance Affiliate</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and TCF Inventory Finance, Inc. ("TCFIF"), a subsidiary of The Huntington National Bank, are parties to the Red Iron joint venture ("Red Iron"), which was established primarily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nine months ended July 30, 2021 and July 31, 2020.</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nine months ended July 30, 2021 and July 31, 2020 were $1,733.0 million and $1,374.3 million, respectively. As of July 30, 2021, Red Iron’s total assets were $387.6 million and total liabilities were $344.8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million. The total amount of receivables due from Red Iron to the company as of July 30, 2021, July 31, 2020, and October 31, 2020 were $13.8 million, $21.0 million and $12.6 million, respectively.</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July 30, 2021, July 31, 2020, and October 31, 2020 was $19.3 million, $22.6 million, and $19.7 million, respectively. The company has not guaranteed the outstanding indebtedness of Red Iron.</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12 </w:t>
      </w: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costs related to stock-based compensation awards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31, 2020</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6,577</w:t>
            </w:r>
          </w:p>
        </w:tc>
      </w:tr>
      <w:tr>
        <w:trPr>
          <w:trHeight w:val="205"/>
        </w:trPr>
        <w:tc>
          <w:tcPr>
            <w:tcW w:w="4660" w:type="dxa"/>
            <w:vAlign w:val="bottom"/>
          </w:tcPr>
          <w:p>
            <w:pPr>
              <w:ind w:left="20"/>
              <w:spacing w:after="0"/>
              <w:rPr>
                <w:sz w:val="20"/>
                <w:szCs w:val="20"/>
                <w:color w:val="auto"/>
              </w:rPr>
            </w:pPr>
            <w:r>
              <w:rPr>
                <w:rFonts w:ascii="Arial" w:cs="Arial" w:eastAsia="Arial" w:hAnsi="Arial"/>
                <w:sz w:val="16"/>
                <w:szCs w:val="16"/>
                <w:color w:val="auto"/>
              </w:rPr>
              <w:t>Performance share awards</w:t>
            </w:r>
          </w:p>
        </w:tc>
        <w:tc>
          <w:tcPr>
            <w:tcW w:w="8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2,184</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1,665</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5,205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0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 awards</w:t>
            </w: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3,029</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w:t>
            </w:r>
          </w:p>
        </w:tc>
      </w:tr>
      <w:tr>
        <w:trPr>
          <w:trHeight w:val="20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Unrestricted common stock awards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r>
      <w:tr>
        <w:trPr>
          <w:trHeight w:val="225"/>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 for stock-based compensation awards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5,831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4,955</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10,322</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Compensation cost equal to the grant date fair value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w:t>
      </w:r>
    </w:p>
    <w:p>
      <w:pPr>
        <w:spacing w:after="0" w:line="7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weighted-average valuation assumptions for options granted in the first nine months of the following fiscal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Arial" w:cs="Arial" w:eastAsia="Arial" w:hAnsi="Arial"/>
                <w:sz w:val="16"/>
                <w:szCs w:val="16"/>
                <w:b w:val="1"/>
                <w:bCs w:val="1"/>
                <w:color w:val="auto"/>
              </w:rPr>
              <w:t>Fiscal 2021</w:t>
            </w: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Fiscal 2020</w:t>
            </w:r>
          </w:p>
        </w:tc>
      </w:tr>
      <w:tr>
        <w:trPr>
          <w:trHeight w:val="20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9"/>
              </w:rPr>
              <w:t>6.21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6.31</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23.26%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19.53%</w:t>
            </w:r>
          </w:p>
        </w:tc>
      </w:tr>
      <w:tr>
        <w:trPr>
          <w:trHeight w:val="20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8"/>
              </w:rPr>
              <w:t>0.55%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1.73%</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0.86%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0.99%</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Arial" w:cs="Arial" w:eastAsia="Arial" w:hAnsi="Arial"/>
                <w:sz w:val="16"/>
                <w:szCs w:val="16"/>
                <w:color w:val="auto"/>
                <w:w w:val="89"/>
              </w:rPr>
              <w:t>$19.39</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$15.23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2021 and 2020 was $90.59 and $77.33, respectively. No performance share awards were granted during the second or third quarter of fiscal 2021 and 2020.</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nine months of fiscal 2021 and 2020 was $97.84 and $74.43,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Unrestricted Common Stock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first quarter of fiscal 2021 and 2020, 8,070 and 8,920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No shares of fully vested unrestricted common stock awards were granted during the second or third quarter of fiscal 2021 and 2020.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13 </w:t>
      </w:r>
      <w:r>
        <w:rPr>
          <w:rFonts w:ascii="Arial" w:cs="Arial" w:eastAsia="Arial" w:hAnsi="Arial"/>
          <w:sz w:val="18"/>
          <w:szCs w:val="18"/>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components of accumulated other comprehensive loss ("AOCL"), net of tax, within the Condensed Consolidated Statements of Stockholders' Equity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1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31,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17,823</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24,508</w:t>
            </w:r>
          </w:p>
        </w:tc>
      </w:tr>
      <w:tr>
        <w:trPr>
          <w:trHeight w:val="205"/>
        </w:trPr>
        <w:tc>
          <w:tcPr>
            <w:tcW w:w="482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21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5,106</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3,949</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5,106</w:t>
            </w:r>
          </w:p>
        </w:tc>
      </w:tr>
      <w:tr>
        <w:trPr>
          <w:trHeight w:val="207"/>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derivative instruments</w:t>
            </w:r>
          </w:p>
        </w:tc>
        <w:tc>
          <w:tcPr>
            <w:tcW w:w="21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3,762</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7,722</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r>
      <w:tr>
        <w:trPr>
          <w:trHeight w:val="20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26,691</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34,262</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and activity of AOCL, net of tax, for the three and nine month periods ended July 30, 2021 and July 31, 2020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12,509</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11,797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5,314</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(11,117)</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(5,803)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3,082</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5,314</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17,823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3,762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24,508</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(6,685)</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(10,151)</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(16,836)</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9,265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17,823</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3,762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May 1, 2020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36,916</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(7,163)</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(14,011)</w:t>
            </w:r>
          </w:p>
        </w:tc>
        <w:tc>
          <w:tcPr>
            <w:tcW w:w="32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16,838</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2,827</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(14,011)</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14,885</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22,905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7,722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2019</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31,025</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4,861</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(8,120)</w:t>
            </w:r>
          </w:p>
        </w:tc>
        <w:tc>
          <w:tcPr>
            <w:tcW w:w="32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17,529</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9,409</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(5,970)</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(6,882)</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(8,120)</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11,559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2020</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22,905</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7,722</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34,576</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17,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14 </w:t>
      </w:r>
      <w:r>
        <w:rPr>
          <w:rFonts w:ascii="Arial" w:cs="Arial" w:eastAsia="Arial" w:hAnsi="Arial"/>
          <w:sz w:val="18"/>
          <w:szCs w:val="18"/>
          <w:b w:val="1"/>
          <w:bCs w:val="1"/>
          <w:color w:val="auto"/>
        </w:rPr>
        <w:t>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number of shares of common stock outstanding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c>
          <w:tcPr>
            <w:tcW w:w="28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in thousands)</w:t>
            </w:r>
          </w:p>
        </w:tc>
        <w:tc>
          <w:tcPr>
            <w:tcW w:w="16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30, 2021</w:t>
            </w:r>
          </w:p>
        </w:tc>
        <w:tc>
          <w:tcPr>
            <w:tcW w:w="15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July 31, 2020</w:t>
            </w:r>
          </w:p>
        </w:tc>
        <w:tc>
          <w:tcPr>
            <w:tcW w:w="15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July 30, 2021</w:t>
            </w:r>
          </w:p>
        </w:tc>
        <w:tc>
          <w:tcPr>
            <w:tcW w:w="13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86"/>
              </w:rPr>
              <w:t>Basic</w:t>
            </w:r>
          </w:p>
        </w:tc>
        <w:tc>
          <w:tcPr>
            <w:tcW w:w="4820" w:type="dxa"/>
            <w:vAlign w:val="bottom"/>
            <w:tcBorders>
              <w:bottom w:val="single" w:sz="8" w:color="CCEEFF"/>
            </w:tcBorders>
            <w:gridSpan w:val="2"/>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107,130</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107,710</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107,661</w:t>
            </w:r>
          </w:p>
        </w:tc>
        <w:tc>
          <w:tcPr>
            <w:tcW w:w="1380" w:type="dxa"/>
            <w:vAlign w:val="bottom"/>
          </w:tcPr>
          <w:p>
            <w:pPr>
              <w:jc w:val="right"/>
              <w:spacing w:after="0"/>
              <w:rPr>
                <w:sz w:val="20"/>
                <w:szCs w:val="20"/>
                <w:color w:val="auto"/>
              </w:rPr>
            </w:pPr>
            <w:r>
              <w:rPr>
                <w:rFonts w:ascii="Arial" w:cs="Arial" w:eastAsia="Arial" w:hAnsi="Arial"/>
                <w:sz w:val="16"/>
                <w:szCs w:val="16"/>
                <w:color w:val="auto"/>
              </w:rPr>
              <w:t>107,547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Assumed issuance of contingent shares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0"/>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8"/>
              </w:rPr>
              <w:t>Weighted-average number of shares of common stock outstanding - Basic</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107,130</w:t>
            </w:r>
          </w:p>
        </w:tc>
        <w:tc>
          <w:tcPr>
            <w:tcW w:w="1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107,710</w:t>
            </w: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107,667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107,561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2"/>
              </w:rPr>
              <w:t>Diluted</w:t>
            </w:r>
          </w:p>
        </w:tc>
        <w:tc>
          <w:tcPr>
            <w:tcW w:w="47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Arial" w:cs="Arial" w:eastAsia="Arial" w:hAnsi="Arial"/>
                <w:sz w:val="16"/>
                <w:szCs w:val="16"/>
                <w:color w:val="auto"/>
                <w:w w:val="98"/>
              </w:rPr>
              <w:t>Weighted-average number of shares of common stock outstanding - Basic</w:t>
            </w:r>
          </w:p>
        </w:tc>
        <w:tc>
          <w:tcPr>
            <w:tcW w:w="1640" w:type="dxa"/>
            <w:vAlign w:val="bottom"/>
          </w:tcPr>
          <w:p>
            <w:pPr>
              <w:jc w:val="right"/>
              <w:ind w:right="120"/>
              <w:spacing w:after="0"/>
              <w:rPr>
                <w:sz w:val="20"/>
                <w:szCs w:val="20"/>
                <w:color w:val="auto"/>
              </w:rPr>
            </w:pPr>
            <w:r>
              <w:rPr>
                <w:rFonts w:ascii="Arial" w:cs="Arial" w:eastAsia="Arial" w:hAnsi="Arial"/>
                <w:sz w:val="16"/>
                <w:szCs w:val="16"/>
                <w:color w:val="auto"/>
              </w:rPr>
              <w:t>107,130</w:t>
            </w:r>
          </w:p>
        </w:tc>
        <w:tc>
          <w:tcPr>
            <w:tcW w:w="1520" w:type="dxa"/>
            <w:vAlign w:val="bottom"/>
          </w:tcPr>
          <w:p>
            <w:pPr>
              <w:jc w:val="right"/>
              <w:ind w:right="140"/>
              <w:spacing w:after="0"/>
              <w:rPr>
                <w:sz w:val="20"/>
                <w:szCs w:val="20"/>
                <w:color w:val="auto"/>
              </w:rPr>
            </w:pPr>
            <w:r>
              <w:rPr>
                <w:rFonts w:ascii="Arial" w:cs="Arial" w:eastAsia="Arial" w:hAnsi="Arial"/>
                <w:sz w:val="16"/>
                <w:szCs w:val="16"/>
                <w:color w:val="auto"/>
              </w:rPr>
              <w:t>107,710</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107,667</w:t>
            </w:r>
          </w:p>
        </w:tc>
        <w:tc>
          <w:tcPr>
            <w:tcW w:w="1380" w:type="dxa"/>
            <w:vAlign w:val="bottom"/>
          </w:tcPr>
          <w:p>
            <w:pPr>
              <w:jc w:val="right"/>
              <w:spacing w:after="0"/>
              <w:rPr>
                <w:sz w:val="20"/>
                <w:szCs w:val="20"/>
                <w:color w:val="auto"/>
              </w:rPr>
            </w:pPr>
            <w:r>
              <w:rPr>
                <w:rFonts w:ascii="Arial" w:cs="Arial" w:eastAsia="Arial" w:hAnsi="Arial"/>
                <w:sz w:val="16"/>
                <w:szCs w:val="16"/>
                <w:color w:val="auto"/>
              </w:rPr>
              <w:t>107,561</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Effect of dilutive shares</w:t>
            </w:r>
          </w:p>
        </w:tc>
        <w:tc>
          <w:tcPr>
            <w:tcW w:w="16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1,233</w:t>
            </w:r>
          </w:p>
        </w:tc>
        <w:tc>
          <w:tcPr>
            <w:tcW w:w="15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833</w:t>
            </w:r>
          </w:p>
        </w:tc>
        <w:tc>
          <w:tcPr>
            <w:tcW w:w="15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1,151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r>
      <w:tr>
        <w:trPr>
          <w:trHeight w:val="200"/>
        </w:trPr>
        <w:tc>
          <w:tcPr>
            <w:tcW w:w="2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6"/>
              </w:rPr>
              <w:t>Weighted-average number of shares of common stock outstanding - Diluted</w:t>
            </w: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108,363</w:t>
            </w:r>
          </w:p>
        </w:tc>
        <w:tc>
          <w:tcPr>
            <w:tcW w:w="15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108,543</w:t>
            </w:r>
          </w:p>
        </w:tc>
        <w:tc>
          <w:tcPr>
            <w:tcW w:w="15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108,818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108,569</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effect of dilutive shares from stock option awards and restricted stock unit awards is computed under the treasury stock method. Stock option awards to purchase 2,109 and 635,002 shares of common stock during the third quarter of fiscal 2021 and 2020, respectively, were excluded from the computation of diluted net earnings per share of common stock because they were anti-dilutive. Stock option awards to purchase 425,748 and 493,723 shares of common stock during the first nine months of fiscal 2021 and 2020, respectively, were excluded from the computation of diluted net earnings per share of common stock because they were anti-dilutive.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15 </w:t>
      </w:r>
      <w:r>
        <w:rPr>
          <w:rFonts w:ascii="Arial" w:cs="Arial" w:eastAsia="Arial" w:hAnsi="Arial"/>
          <w:sz w:val="18"/>
          <w:szCs w:val="18"/>
          <w:b w:val="1"/>
          <w:bCs w:val="1"/>
          <w:color w:val="auto"/>
        </w:rPr>
        <w:t>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occasionally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7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Litigation Settlement</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7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16 </w:t>
      </w: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31, 2020</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14,253</w:t>
            </w: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Short-term lease expense</w:t>
            </w:r>
          </w:p>
        </w:tc>
        <w:tc>
          <w:tcPr>
            <w:tcW w:w="20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876</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1,693</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2,204</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20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16,253</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16,573</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8"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Nine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7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5"/>
              </w:rPr>
              <w:t>July 30, 2021</w:t>
            </w:r>
          </w:p>
        </w:tc>
        <w:tc>
          <w:tcPr>
            <w:tcW w:w="2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for amounts included in the measurement of lease liabilities</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14,288</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13,949</w:t>
            </w:r>
          </w:p>
        </w:tc>
      </w:tr>
      <w:tr>
        <w:trPr>
          <w:trHeight w:val="20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18,698</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lease information related to the company's operating leases: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July 30, 2021</w:t>
            </w:r>
          </w:p>
        </w:tc>
        <w:tc>
          <w:tcPr>
            <w:tcW w:w="15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July 31, 2020</w:t>
            </w:r>
          </w:p>
        </w:tc>
        <w:tc>
          <w:tcPr>
            <w:tcW w:w="14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9"/>
              </w:rPr>
              <w:t>October 31, 2020</w:t>
            </w: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of operating leases in years</w:t>
            </w:r>
          </w:p>
        </w:tc>
        <w:tc>
          <w:tcPr>
            <w:tcW w:w="26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6.6</w:t>
            </w:r>
          </w:p>
        </w:tc>
        <w:tc>
          <w:tcPr>
            <w:tcW w:w="15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5"/>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 of operating leases</w:t>
            </w:r>
          </w:p>
        </w:tc>
        <w:tc>
          <w:tcPr>
            <w:tcW w:w="26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2.70 %</w:t>
            </w:r>
          </w:p>
        </w:tc>
        <w:tc>
          <w:tcPr>
            <w:tcW w:w="15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2.80 %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July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5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30, 2021</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(remaining)</w:t>
            </w:r>
          </w:p>
        </w:tc>
        <w:tc>
          <w:tcPr>
            <w:tcW w:w="3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2022</w:t>
            </w:r>
          </w:p>
        </w:tc>
        <w:tc>
          <w:tcPr>
            <w:tcW w:w="3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17,015</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13,736</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35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12,246</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10,751</w:t>
            </w:r>
          </w:p>
        </w:tc>
      </w:tr>
      <w:tr>
        <w:trPr>
          <w:trHeight w:val="20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23,998</w:t>
            </w: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operating lease payments</w:t>
            </w:r>
          </w:p>
        </w:tc>
        <w:tc>
          <w:tcPr>
            <w:tcW w:w="35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82,458</w:t>
            </w:r>
          </w:p>
        </w:tc>
      </w:tr>
      <w:tr>
        <w:trPr>
          <w:trHeight w:val="205"/>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imputed interest</w:t>
            </w:r>
          </w:p>
        </w:tc>
        <w:tc>
          <w:tcPr>
            <w:tcW w:w="3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7,053</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75,405</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17 </w:t>
      </w:r>
      <w:r>
        <w:rPr>
          <w:rFonts w:ascii="Arial" w:cs="Arial" w:eastAsia="Arial" w:hAnsi="Arial"/>
          <w:sz w:val="18"/>
          <w:szCs w:val="18"/>
          <w:b w:val="1"/>
          <w:bCs w:val="1"/>
          <w:color w:val="auto"/>
        </w:rPr>
        <w:t>Derivative Instruments and Hedging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 Objective of Using Derivatives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Hedging Instruments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67" w:lineRule="exact"/>
        <w:rPr>
          <w:sz w:val="20"/>
          <w:szCs w:val="20"/>
          <w:color w:val="auto"/>
        </w:rPr>
      </w:pPr>
    </w:p>
    <w:p>
      <w:pPr>
        <w:ind w:right="960"/>
        <w:spacing w:after="0" w:line="380" w:lineRule="auto"/>
        <w:rPr>
          <w:sz w:val="20"/>
          <w:szCs w:val="20"/>
          <w:color w:val="auto"/>
        </w:rPr>
      </w:pPr>
      <w:r>
        <w:rPr>
          <w:rFonts w:ascii="Arial" w:cs="Arial" w:eastAsia="Arial" w:hAnsi="Arial"/>
          <w:sz w:val="17"/>
          <w:szCs w:val="17"/>
          <w:color w:val="auto"/>
        </w:rPr>
        <w:t xml:space="preserve">As of July 30, 2021, the notional amount outstanding of forward currency contracts designated as cash flow hedging instruments was $267.8 million. </w:t>
      </w:r>
      <w:r>
        <w:rPr>
          <w:rFonts w:ascii="Arial" w:cs="Arial" w:eastAsia="Arial" w:hAnsi="Arial"/>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July 31,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1,235</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(645)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08"/>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753</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assets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0"/>
        </w:trPr>
        <w:tc>
          <w:tcPr>
            <w:tcW w:w="54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3,682</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5,248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2,687</w:t>
            </w:r>
          </w:p>
        </w:tc>
      </w:tr>
      <w:tr>
        <w:trPr>
          <w:trHeight w:val="208"/>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5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1,554</w:t>
            </w: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849</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5,236</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July 31,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assets</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liabilities offsetting derivative assets</w:t>
            </w:r>
          </w:p>
        </w:tc>
        <w:tc>
          <w:tcPr>
            <w:tcW w:w="1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assets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1,544</w:t>
            </w:r>
          </w:p>
        </w:tc>
        <w:tc>
          <w:tcPr>
            <w:tcW w:w="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49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liabilities</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assets offsetting derivative liabilities</w:t>
            </w:r>
          </w:p>
        </w:tc>
        <w:tc>
          <w:tcPr>
            <w:tcW w:w="19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613</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368</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liabilities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(5,236)</w:t>
            </w:r>
          </w:p>
        </w:tc>
        <w:tc>
          <w:tcPr>
            <w:tcW w:w="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tables present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nine months ended July 30, 2021 and July 31,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150"/>
        </w:trPr>
        <w:tc>
          <w:tcPr>
            <w:tcW w:w="524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Arial" w:cs="Arial" w:eastAsia="Arial" w:hAnsi="Arial"/>
                <w:sz w:val="16"/>
                <w:szCs w:val="16"/>
                <w:b w:val="1"/>
                <w:bCs w:val="1"/>
                <w:color w:val="auto"/>
                <w:w w:val="91"/>
              </w:rPr>
              <w:t>Gain (Loss) Reclassified from AOCL into</w:t>
            </w:r>
          </w:p>
        </w:tc>
        <w:tc>
          <w:tcPr>
            <w:tcW w:w="240" w:type="dxa"/>
            <w:vAlign w:val="bottom"/>
          </w:tcPr>
          <w:p>
            <w:pPr>
              <w:spacing w:after="0"/>
              <w:rPr>
                <w:sz w:val="13"/>
                <w:szCs w:val="13"/>
                <w:color w:val="auto"/>
              </w:rPr>
            </w:pPr>
          </w:p>
        </w:tc>
        <w:tc>
          <w:tcPr>
            <w:tcW w:w="2780" w:type="dxa"/>
            <w:vAlign w:val="bottom"/>
            <w:gridSpan w:val="3"/>
          </w:tcPr>
          <w:p>
            <w:pPr>
              <w:jc w:val="center"/>
              <w:ind w:right="80"/>
              <w:spacing w:after="0" w:line="150" w:lineRule="exact"/>
              <w:rPr>
                <w:sz w:val="20"/>
                <w:szCs w:val="20"/>
                <w:color w:val="auto"/>
              </w:rPr>
            </w:pPr>
            <w:r>
              <w:rPr>
                <w:rFonts w:ascii="Arial" w:cs="Arial" w:eastAsia="Arial" w:hAnsi="Arial"/>
                <w:sz w:val="16"/>
                <w:szCs w:val="16"/>
                <w:b w:val="1"/>
                <w:bCs w:val="1"/>
                <w:color w:val="auto"/>
                <w:w w:val="90"/>
              </w:rPr>
              <w:t>Gain (Loss) Recognized in OCI on</w:t>
            </w:r>
          </w:p>
        </w:tc>
      </w:tr>
      <w:tr>
        <w:trPr>
          <w:trHeight w:val="207"/>
        </w:trPr>
        <w:tc>
          <w:tcPr>
            <w:tcW w:w="5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900"/>
              <w:spacing w:after="0"/>
              <w:rPr>
                <w:sz w:val="20"/>
                <w:szCs w:val="20"/>
                <w:color w:val="auto"/>
              </w:rPr>
            </w:pPr>
            <w:r>
              <w:rPr>
                <w:rFonts w:ascii="Arial" w:cs="Arial" w:eastAsia="Arial" w:hAnsi="Arial"/>
                <w:sz w:val="16"/>
                <w:szCs w:val="16"/>
                <w:b w:val="1"/>
                <w:bCs w:val="1"/>
                <w:color w:val="auto"/>
                <w:w w:val="90"/>
              </w:rPr>
              <w:t>Earnings</w:t>
            </w: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Derivatives</w:t>
            </w:r>
          </w:p>
        </w:tc>
      </w:tr>
      <w:tr>
        <w:trPr>
          <w:trHeight w:val="20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89"/>
              </w:rPr>
              <w:t>July 31, 2020</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52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1,795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7,350</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(13,501)</w:t>
            </w:r>
          </w:p>
        </w:tc>
      </w:tr>
      <w:tr>
        <w:trPr>
          <w:trHeight w:val="20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685</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r>
      <w:tr>
        <w:trPr>
          <w:trHeight w:val="22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8,035</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(14,885)</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11"/>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50"/>
        </w:trPr>
        <w:tc>
          <w:tcPr>
            <w:tcW w:w="524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Arial" w:cs="Arial" w:eastAsia="Arial" w:hAnsi="Arial"/>
                <w:sz w:val="16"/>
                <w:szCs w:val="16"/>
                <w:b w:val="1"/>
                <w:bCs w:val="1"/>
                <w:color w:val="auto"/>
                <w:w w:val="91"/>
              </w:rPr>
              <w:t>Gain (Loss) Reclassified from AOCL into</w:t>
            </w:r>
          </w:p>
        </w:tc>
        <w:tc>
          <w:tcPr>
            <w:tcW w:w="240" w:type="dxa"/>
            <w:vAlign w:val="bottom"/>
          </w:tcPr>
          <w:p>
            <w:pPr>
              <w:spacing w:after="0"/>
              <w:rPr>
                <w:sz w:val="13"/>
                <w:szCs w:val="13"/>
                <w:color w:val="auto"/>
              </w:rPr>
            </w:pPr>
          </w:p>
        </w:tc>
        <w:tc>
          <w:tcPr>
            <w:tcW w:w="2780" w:type="dxa"/>
            <w:vAlign w:val="bottom"/>
            <w:gridSpan w:val="3"/>
          </w:tcPr>
          <w:p>
            <w:pPr>
              <w:jc w:val="center"/>
              <w:ind w:right="80"/>
              <w:spacing w:after="0" w:line="150" w:lineRule="exact"/>
              <w:rPr>
                <w:sz w:val="20"/>
                <w:szCs w:val="20"/>
                <w:color w:val="auto"/>
              </w:rPr>
            </w:pPr>
            <w:r>
              <w:rPr>
                <w:rFonts w:ascii="Arial" w:cs="Arial" w:eastAsia="Arial" w:hAnsi="Arial"/>
                <w:sz w:val="16"/>
                <w:szCs w:val="16"/>
                <w:b w:val="1"/>
                <w:bCs w:val="1"/>
                <w:color w:val="auto"/>
                <w:w w:val="90"/>
              </w:rPr>
              <w:t>Gain (Loss) Recognized in OCI on</w:t>
            </w:r>
          </w:p>
        </w:tc>
      </w:tr>
      <w:tr>
        <w:trPr>
          <w:trHeight w:val="207"/>
        </w:trPr>
        <w:tc>
          <w:tcPr>
            <w:tcW w:w="5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900"/>
              <w:spacing w:after="0"/>
              <w:rPr>
                <w:sz w:val="20"/>
                <w:szCs w:val="20"/>
                <w:color w:val="auto"/>
              </w:rPr>
            </w:pPr>
            <w:r>
              <w:rPr>
                <w:rFonts w:ascii="Arial" w:cs="Arial" w:eastAsia="Arial" w:hAnsi="Arial"/>
                <w:sz w:val="16"/>
                <w:szCs w:val="16"/>
                <w:b w:val="1"/>
                <w:bCs w:val="1"/>
                <w:color w:val="auto"/>
                <w:w w:val="90"/>
              </w:rPr>
              <w:t>Earnings</w:t>
            </w:r>
          </w:p>
        </w:tc>
        <w:tc>
          <w:tcPr>
            <w:tcW w:w="1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Derivatives</w:t>
            </w:r>
          </w:p>
        </w:tc>
      </w:tr>
      <w:tr>
        <w:trPr>
          <w:trHeight w:val="20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89"/>
              </w:rPr>
              <w:t>July 31, 2020</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5"/>
        </w:trPr>
        <w:tc>
          <w:tcPr>
            <w:tcW w:w="52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8"/>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5,272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620</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(10,396)</w:t>
            </w:r>
          </w:p>
        </w:tc>
      </w:tr>
      <w:tr>
        <w:trPr>
          <w:trHeight w:val="20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698</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w:t>
            </w:r>
          </w:p>
        </w:tc>
      </w:tr>
      <w:tr>
        <w:trPr>
          <w:trHeight w:val="22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(9,265)</w:t>
            </w:r>
          </w:p>
        </w:tc>
        <w:tc>
          <w:tcPr>
            <w:tcW w:w="3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886</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(11,559)</w:t>
            </w: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company recognized immaterial losses within other income, net on the Condensed Consolidated Statements of Earnings during the third quarter and first nine months of fiscal 2021 and 2020 due to the discontinuance of cash flow hedge accounting on certain forward currency contracts designated as cash flow hedging instruments. As of July 30, 2021, the company expects to reclassify approximately $5.1 million of losses from AOCL to earnings during the next twelve months.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6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6"/>
                <w:szCs w:val="16"/>
                <w:b w:val="1"/>
                <w:bCs w:val="1"/>
                <w:color w:val="auto"/>
              </w:rPr>
              <w:t>July 30, 2021</w:t>
            </w:r>
          </w:p>
        </w:tc>
        <w:tc>
          <w:tcPr>
            <w:tcW w:w="3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3"/>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amounts in which the effects of cash flow hedging instruments are</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976,836</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(645,719)</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840,972</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(546,398)</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30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(3,113)</w:t>
            </w:r>
          </w:p>
        </w:tc>
        <w:tc>
          <w:tcPr>
            <w:tcW w:w="30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3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1,795</w:t>
            </w:r>
          </w:p>
        </w:tc>
        <w:tc>
          <w:tcPr>
            <w:tcW w:w="3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Gain on components excluded from effectiveness testing</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322</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191</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6"/>
                <w:szCs w:val="16"/>
                <w:b w:val="1"/>
                <w:bCs w:val="1"/>
                <w:color w:val="auto"/>
              </w:rPr>
              <w:t>July 30, 2021</w:t>
            </w:r>
          </w:p>
        </w:tc>
        <w:tc>
          <w:tcPr>
            <w:tcW w:w="3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20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6"/>
              </w:rPr>
              <w:t>Cost of Sales</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2"/>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amounts in which the effects of cash flow hedging instruments are</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2,998,929</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(1,949,823)</w:t>
            </w:r>
          </w:p>
        </w:tc>
        <w:tc>
          <w:tcPr>
            <w:tcW w:w="3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2,537,853</w:t>
            </w:r>
          </w:p>
        </w:tc>
        <w:tc>
          <w:tcPr>
            <w:tcW w:w="3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(1,648,474)</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30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5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(9,325)</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5,272</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Gain on components excluded from effectiveness testing</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784</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366</w:t>
            </w:r>
          </w:p>
        </w:tc>
        <w:tc>
          <w:tcPr>
            <w:tcW w:w="3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3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5"/>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July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7"/>
              </w:rPr>
              <w:t>July 31, 2020</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4"/>
              </w:rPr>
              <w:t>Gain (loss) on derivatives not designated as cash flow hedging instruments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(4,511)</w:t>
            </w:r>
          </w:p>
        </w:tc>
        <w:tc>
          <w:tcPr>
            <w:tcW w:w="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149"/>
        </w:trPr>
        <w:tc>
          <w:tcPr>
            <w:tcW w:w="5040" w:type="dxa"/>
            <w:vAlign w:val="bottom"/>
          </w:tcPr>
          <w:p>
            <w:pPr>
              <w:ind w:left="20"/>
              <w:spacing w:after="0" w:line="149" w:lineRule="exact"/>
              <w:rPr>
                <w:sz w:val="20"/>
                <w:szCs w:val="20"/>
                <w:color w:val="auto"/>
              </w:rPr>
            </w:pPr>
            <w:r>
              <w:rPr>
                <w:rFonts w:ascii="Arial" w:cs="Arial" w:eastAsia="Arial" w:hAnsi="Arial"/>
                <w:sz w:val="16"/>
                <w:szCs w:val="16"/>
                <w:color w:val="auto"/>
              </w:rPr>
              <w:t>Total gain (loss) on derivatives not designated as cash flow hedging</w:t>
            </w: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1,972</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(7,093)</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(4,511)</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(5,316)</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instruments</w:t>
            </w:r>
          </w:p>
        </w:tc>
        <w:tc>
          <w:tcPr>
            <w:tcW w:w="38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18 </w:t>
      </w: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three levels are defined as follows: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Observable inputs other than Level 1 prices, such as quoted prices for similar assets or liabilities in active markets; quoted prices for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reflecting management’s assumptions about the inputs used in pricing the asset or liability.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3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July 30, 2021, July 31, 2020, and October 31, 2020, according to the valuation technique utilized to determine their fair values: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July 30, 2021</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1,544</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1,544</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1,544</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1,544</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5,236</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5,236</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5,236</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5,236</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July 31, 2020</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108</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108</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6,097</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6,097</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6,097</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6,097</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2020</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933</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933</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2,484</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2,484</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2,484</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2,484</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when applicable. For additional information on the company's business combination and asset acquisitions and the related non-recurring fair value measurement of the assets acquired and liabilities assumed, refer to Note 2, </w:t>
      </w:r>
      <w:r>
        <w:rPr>
          <w:rFonts w:ascii="Arial" w:cs="Arial" w:eastAsia="Arial" w:hAnsi="Arial"/>
          <w:sz w:val="17"/>
          <w:szCs w:val="17"/>
          <w:i w:val="1"/>
          <w:iCs w:val="1"/>
          <w:color w:val="auto"/>
        </w:rPr>
        <w:t>Business Combination and Asset Acquisitions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July 30, 2021, July 31, 2020 and October 31, 2020, the company's long-term debt included $424.0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July 30, 2021, the estimated gross fair value of long-term debt with fixed interest rates was $525.9 million compared to its gross carrying amount of $424.0 million. As of July 31, 2020, the estimated gross fair value of long-term debt with fixed interest rates was $500.4 million compared to its gross carrying amount of $424.0 million. As of October 31, 2020, the estimated gross fair value of long-term debt with fixed interest rates was $508.2 million compared to its gross carrying amount of $424.0 million.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19 </w:t>
      </w:r>
      <w:r>
        <w:rPr>
          <w:rFonts w:ascii="Arial" w:cs="Arial" w:eastAsia="Arial" w:hAnsi="Arial"/>
          <w:sz w:val="18"/>
          <w:szCs w:val="18"/>
          <w:b w:val="1"/>
          <w:bCs w:val="1"/>
          <w:color w:val="auto"/>
        </w:rPr>
        <w:t>Subsequent Events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Company Overview</w:t>
      </w:r>
    </w:p>
    <w:p>
      <w:pPr>
        <w:spacing w:after="0" w:line="23"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Business Segments</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Position</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Non-GAAP Financial Measures</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1" w:lineRule="exact"/>
        <w:rPr>
          <w:rFonts w:ascii="Arial" w:cs="Arial" w:eastAsia="Arial" w:hAnsi="Arial"/>
          <w:sz w:val="17"/>
          <w:szCs w:val="17"/>
          <w:color w:val="auto"/>
        </w:rPr>
      </w:pPr>
    </w:p>
    <w:p>
      <w:pPr>
        <w:ind w:left="1240" w:hanging="306"/>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Forward-Looking Information</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2020.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Throughout this MD&amp;A, we have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this report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Reconciliations of non-GAAP financial measures to the most directly comparable reported U.S. GAAP financial measures are included in the section titled "Non-GAAP Financial Measures" within this MD&amp;A.</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Unless the context indicates otherwise, the terms "company," "TTC," "we," "our," or "us" refer to The Toro Company and its consolidated subsidiaries. Our purpose is to help our customers enrich the beauty, productivity, and sustainability of the land. Sustainability is the foundation of our enterprise strategic priorities of accelerating growth, driving productivity and operational excellence, and empowering our people, and our focus on alternative power, smart connected, and autonomous solutions are embedded as part of our "Sustainability Endures" strategy. Our Sustainability Endures strategy also provides transparency on our continued efforts to address sustainability-focused matters, including environmental, social, and governance priorities.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have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further described in Note 7, </w:t>
      </w:r>
      <w:r>
        <w:rPr>
          <w:rFonts w:ascii="Arial" w:cs="Arial" w:eastAsia="Arial" w:hAnsi="Arial"/>
          <w:sz w:val="17"/>
          <w:szCs w:val="17"/>
          <w:i w:val="1"/>
          <w:iCs w:val="1"/>
          <w:color w:val="auto"/>
        </w:rPr>
        <w:t>Divestiture</w:t>
      </w:r>
      <w:r>
        <w:rPr>
          <w:rFonts w:ascii="Arial" w:cs="Arial" w:eastAsia="Arial" w:hAnsi="Arial"/>
          <w:sz w:val="17"/>
          <w:szCs w:val="17"/>
          <w:color w:val="auto"/>
        </w:rPr>
        <w:t>, in the Notes to Condensed Consolidated Financial Statements included in Part I. Item 1 of this Quarterly Report on Form 10-Q, during the first quarter of fiscal 2021, we completed the sale of our Northeastern U.S. distribution company. As a result, for the three and nine month period ended July 30, 2021, our Other activities consisted of our remaining wholly-owned domestic distribution company, our corporate activities, and the elimination of intersegment revenues and expenses. For the three and nine month period ended July 31, 2020, our Other activities consisted of our wholly-owned domestic distribution companies, our corporate activities, and the elimination of intersegment revenues and expenses.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Venture Products, Inc. ("Venture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March 2, 2020, during the second quarter of fiscal 2020, we completed our acquisition of Venture Products, the manufacturer of Ventrac-branded products. Venture Products designs, manufactures, markets, and sells articulating turf, landscape, and snow and ice management equipment for grounds, landscape contractor, golf, municipal, and rural acreage customers and provides innovative product offerings that broadened and strengthened our Professional segment and expanded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our dealer network. The total acquisition consideration was $163.2 million, of which $10.0 million remains from an initial holdback of $29.5 million and is expected to be paid during the fourth quarter of fiscal 2021 to the former Venture Products shareholders, subject to any indemnification claims. Subsequent to the closing date, results of operations for Venture Products have been included within our Professional reportable segment within our Condensed Consolidated Financial Statements and had an incremental impact to our Professional reportable segment net sales and segment earnings for the nine month period ended July 30, 2021. Venture products did not have an incremental impact to our Professional reportable segment net sales and segment earnings for the three month period ended July 30, 2021. For additional information regarding the acquisition, refer to Note 2, </w:t>
      </w:r>
      <w:r>
        <w:rPr>
          <w:rFonts w:ascii="Arial" w:cs="Arial" w:eastAsia="Arial" w:hAnsi="Arial"/>
          <w:sz w:val="16"/>
          <w:szCs w:val="16"/>
          <w:i w:val="1"/>
          <w:iCs w:val="1"/>
          <w:color w:val="auto"/>
        </w:rPr>
        <w:t>Business Combination and Asset Acquisitions</w:t>
      </w:r>
      <w:r>
        <w:rPr>
          <w:rFonts w:ascii="Arial" w:cs="Arial" w:eastAsia="Arial" w:hAnsi="Arial"/>
          <w:sz w:val="16"/>
          <w:szCs w:val="16"/>
          <w:color w:val="auto"/>
        </w:rPr>
        <w:t>, in the Notes to Condensed Consolidated Financial Statements included in Part I. Item 1 of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March 2020, the World Health Organization declared the novel coronavirus ("COVID-19," "virus," or "the pandemic") outbreak a global pandemic. COVID-19 has negatively impacted public health and portions of the global economy, significantly disrupted global supply chains, and created volatility in financial markets. The global impact of the pandemic has had a material impact on parts of our business, as well as our employees, customers, and suppliers, and caused many challenges for our business and manufacturing operations. While we are seeing signs of recovery in the United States and certain other areas of the world, the continuing implications of COVID-19 on our business and manufacturing operations remain uncertain and will depend on certain future developments, including the duration of the pandemic; any adverse impact due to variants of the virus; its impact on market demand for our products; its impact on our employees, customers, and suppliers; the range of government mandated restrictions and other measures; and the success of the deployment of COVID-19 vaccines, their effectiveness against the novel strain and related variants, and their rate of adoption. As a result, the ultimate impact on our future business, operations, and Results of Operations, Financial Position, and Cash Flows as a result of COVID-19 is unknown at this time.</w:t>
      </w:r>
    </w:p>
    <w:p>
      <w:pPr>
        <w:spacing w:after="0" w:line="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curtailing certain non-essential travel, extensively and frequently disinfecting our facilities and workspaces, limiting certain non-essential visitors, and providing or accommodating the wearing of face coverings and other sanitary measures to those employees who are physically present at our facilities and sites to perform their job responsibilities and where face coverings are required by local government mandates. During the first quarter of fiscal 2021, we implemented an employee campaign in support of COVID-19 vaccine efforts. This employee campaign is designed to provide information about, and support and encourage our employees to receive, a COVID-19 vaccination. As part of this employee campaign, we facilitated the offering of the vaccine to our employees at certain of our facilities. We expect to continue certain applicable and appropriate safety measures until we determine that COVID-19 is adequately contained for purposes of our global manufacturing and business operations and we may take further actions as government authorities require or recommend or as we determine to be in the best interests of our employees, customers, suppliers, and communities.</w:t>
      </w:r>
    </w:p>
    <w:p>
      <w:pPr>
        <w:spacing w:after="0" w:line="7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addition to our vigilant safety measures, we have also maintained our focus on our responsibility to meet the needs of our customers as we supply products that are critical to maintaining essential global infrastructure, agricultural food production, and the enablement of safe areas for outdoor spaces. While our facilities have remained operational during the third quarter and first nine months of fiscal 2021, we continued to experience various degrees of manufacturing cost pressures and inefficiencies. However, such manufacturing cost pressures and inefficiencies were experienced to a lesser extent than those experienced during the third quarter and first nine months of fiscal 2020 when our manufacturing operations experienced intermittent partial or full factory closures, reduced levels of production at certain facilities, and manufacturing inefficiencies as a result of government mandated measures, reduced demand for products in certain of our Professional segment businesses, and the initial reconfiguration of certain of our manufacturing processes in order to implement social distancing protocols within our facilities. As a result, the improvement in our manufacturing operations experienced during the third quarter and first nine months of fiscal 2021 as compared to the fiscal 2020 comparable periods had a favorable impact on our gross margins for the three and nine month periods ended July 30, 2021.</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Although we regularly monitor the adequacy of supply and financial health of the companies in our supply chain and use alternative suppliers when necessary and available,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has and could continue to cause a disruption in our ability to procure the commodities, components, and parts required to manufacture our products. Ongoing communications continue with our suppliers in an attempt to identify and mitigate such risks and to proactively manage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inventory levels of commodities, components, and parts to align with anticipated demand for our products and other government actions. During the third quarter and first nine months of fiscal 2021, we experienced a greater level of disruption within our global supply chain that limited our ability to procure commodities, components, parts, and accessories in a timely manner to meet manufacturing production requirements than we experienced during the third quarter and first nine months of fiscal 2020. As a result, we experienced various degrees of product availability issues, which limited our ability to meet customer demand and adequately replenish certain raw materials, work in process, and finished goods inventory levels. We currently expect a greater level of supply chain disruptions throughout the remainder of fiscal 2021 as compared to prior periods due to a combination of our current challenges to source adequate amounts of certain component parts inventory and, in certain cases, the inability of our suppliers to meet our commodity and component parts demand requirements. Additionally, we experienced inflationary cost pressures on commodity, component parts, and other related costs during the third quarter and first nine months of fiscal 2021 when compared to the prior year comparable periods and we expect to continue to experience an inflationary environment for commodity, component parts, and other related costs throughout the remainder of fiscal 2021, which would put pressure on our gross margins.</w:t>
      </w:r>
    </w:p>
    <w:p>
      <w:pPr>
        <w:spacing w:after="0" w:line="5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During the third quarter and first nine months of fiscal 2021, we experienced a continued strong rebound in demand for many of the products in our Professional segment businesses that were adversely impacted by COVID-19 during the third quarter and first nine months of fiscal 2020. Most notably, our landscape contractor business continued to build upon the momentum generated during the fourth quarter of fiscal 2020 and we continued to experience strong retail demand from contractors and our channel partners worked to replenish their field inventory levels during the third quarter and first nine months of fiscal 2021. Additionally, our golf business continued to experience strong demand as golf course investments increased and spending patterns began to normalize as budgetary constraints moderated. Our rental and specialty construction business also experienced strong demand due to favorable construction industry trends. While these demand rebounds within our Professional segment are positive, we experienced a reduction of net sales within our underground construction business due to product availability issues that limited our ability to meet demand for our products. Our Residential segment continued to build on the momentum generated during fiscal 2020 and experienced strong retail demand across most product lines during the third quarter and first nine months of fiscal 2021 as a result of new and enhanced products, favorable weather conditions, expanded retail placement, and continued investments by homeowners in their properties. While the continued strong retail demand experienced in our Residential segment is a positive event, the shift to a greater percentage of Residential segment net sales as a percentage of consolidated net sales has had, and could continue to have, an adverse impact on our gross margins. However, for the three and nine month periods ended July 30, 2021, we experienced a shift to a greater percentage of Professional segment net sales as a percentage of consolidated net sales when compared to the prior year comparable periods and such shift resulted in a favorable impact to our gross margins. Further, as a result of strong business performance throughout the second half of fiscal 2020, many of the COVID-19 cost reduction measures enacted in fiscal 2020 were discontinued during the first quarter of fiscal 2021. Our balance sheet and liquidity profile remained strong as of July 30, 2021 and we expect to continue our historical practice of prudently managing our expenses and adjusting production levels as needed to align with anticipated sales volumes throughout the remainder of fiscal 2021. However, given our current expectation of a greater level of supply chain disruptions during the remainder of fiscal 2021 due to a combination of our current inability to source adequate amounts of component parts inventory and the inability of our suppliers to meet our commodity and component parts demand requirements, our ability to effectively and efficiently adjust production levels as needed may be limited.</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Significant uncertainty still exists concerning the duration of COVID-19 and variants of the virus. We will continue to monitor the situation and the guidance from global government authorities, as well as federal, state, local and foreign public health authorities, and may take additional meaningful actions based on their requirements and recommendations to attempt to protect the health and well-being of our employees, customers, suppliers, and communities. In these circumstances, there may be developments outside our control requiring us to adjust our operating plans and implement appropriate cost reduction measures and such developments could rapidly occur. If the adverse impacts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the section titled "Forward-Looking Information" located at the end of Part I, Item 2 of this Quarterly Report on Form 10-Q and also refer to Part I, Item 1A, "Risk Factors", within our Annual Report on From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Worldwide consolidated net sales for the third quarter of fiscal 2021 were $976.8 million, up 16.2 percent compared to $841.0 million in the third quarter of fiscal 2020. For the first nine months of fiscal 2021, worldwide consolidated net sales were $2,998.9 million, up 18.2 percent compared to $2,537.9 million from the same period in the prior fiscal year.</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Professional segment net sales for the third quarter of fiscal 2021 were $718.5 million, an increase of 15.2 percent compared to $623.6 million in the third quarter of the prior fiscal year. For the first nine months of fiscal 2021, Professional segment net sales were $2,197.1 million, an increase of 16.9 percent compared to $1,879.4 million in the prior fiscal year comparable period.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Residential segment net sales for the third quarter of fiscal 2021 were $252.1 million, an increase of 23.0 percent compared to $205.0 million in the third quarter of the prior fiscal year. For the first nine months of fiscal 2021, Residential segment net sales were $784.9 million, an increase of 24.0 percent compared to $632.8 million in the prior fiscal year comparable period.</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earnings for the third quarter of fiscal 2021 were $96.3 million, or $0.89 per diluted share, compared to $89.0 million, or $0.82 per diluted share, for the third quarter of fiscal 2020. Net earnings for the first nine months of fiscal 2021 were $349.8 million, or $3.21 per diluted share, compared to $257.5 million, or $2.37 per diluted share, in the comparable fiscal 2020 period. Non-GAAP net earnings for the third quarter of fiscal 2021 were $99.4 million, or $0.92 per diluted share, compared to $88.7 million, or $0.82 per diluted share, for the third quarter of fiscal 2020. Non-GAAP net earnings for the first nine months of fiscal 2021 were $333.0 million, or $3.06 per diluted share, compared to $258.6 million, or $2.38 per diluted share, in the comparable fiscal 2020 period. Reconciliations of non-GAAP financial measures to the most directly comparable reported U.S. GAAP financial measures are included in the section titled "Non-GAAP Financial Measures" within this MD&amp;A.</w:t>
      </w:r>
    </w:p>
    <w:p>
      <w:pPr>
        <w:spacing w:after="0" w:line="80"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We increased our cash dividend for the third quarter of fiscal 2021 by 5.0 percent to $0.2625 per share compared to $0.25 per share paid in the third quarter of fiscal 2020 and continued repurchasing shares of our common stock under our Board authorized repurchase plan during the third quarter of fiscal 2021.</w:t>
      </w:r>
    </w:p>
    <w:p>
      <w:pPr>
        <w:spacing w:after="0" w:line="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Field inventory levels were lower as of the end of the third quarter of fiscal 2021 compared to the third quarter of fiscal 2020 across the majority of our businesses as a result of continued strong retail demand for our products that has exceeded product availability, most notably for Professional segment landscape contractor zero-turn riding mowers; rental, specialty, and underground construction equipment; and Residential segment zero-turn riding mowers.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Worldwide consolidated net sales for the third quarter of fiscal 2021 were $976.8 million, up 16.2 percent compared to $841.0 million in the third quarter of fiscal 2020. This net sales increase was primarily due to continued strong demand for many of the products in our portfolio of Professional segment businesses, most notably the Professional segment businesses that were adversely impacted by COVID-19 during the third quarter of fiscal 2020, including increased sales of landscape contractor zero-turn riding mowers due to strong retail demand and low field inventory levels at the end of fiscal 2020 and increased shipments of golf equipment as a result of normalized golf course spending patterns and course investments. The net sales increase was also the result of price increases across our product lines and continued strong demand for the Residential segment zero-turn riding and walk power mowers due to new and enhanced products. The net sales increase for the third quarter comparison was partially offset by reduced sales of underground construction equipment as a result of product availability that limited our ability to meet construction industry demand.</w:t>
      </w:r>
    </w:p>
    <w:p>
      <w:pPr>
        <w:spacing w:after="0" w:line="76"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For the year-to-date period of fiscal 2021, worldwide consolidated net sales were $2,998.9 million, up 18.2 percent compared to $2,537.9 million from the same period in the prior fiscal year. Consistent with the net sales drivers for the quarter comparison, the increase in worldwide consolidated net sales for the year-to-date period of fiscal 2021 was primarily due to continued strong demand for many of the products in our portfolio of Professional segment businesses, most notably the Professional segment businesses that were adversely impacted by COVID-19 during the first nine months of fiscal 2020, including increased sales of landscape contractor zero-turn riding mowers due to strong retail demand and low field inventory levels at the end of fiscal 2020, increased shipments of golf equipment and irrigation products as a result of normalized golf course spending patterns and course investments, and strong demand for rental and specialty construction equipment due to favorable construction industry trends. The net sales increase was also the result of continued strong demand for Residential segment zero-turn riding and walk power mowers due to new and enhanced products, price increases across our product lines, and incremental net sales as a result of our acquisition of Venture Products. The net sales increase for the year-to-date comparison was partially offset by reduced sales of underground construction equipment as a result of product availability that limited our ability to meet construction industry demand and continued softened demand in the oil and gas industry.</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sales in international markets increased by 27.8 percent and 25.8 percent for the third quarter and year-to-date periods of fiscal 2021, respectively. Changes in foreign currency exchange rates resulted in an increase in our net sales of approximately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$6.9 million and $17.4 million for the third quarter and year-to-date periods of fiscal 2021, respectively. The international net sales increase for the quarter and year-to-date comparisons was mainly driven by increased shipments of golf equipment and irrigation products and strong demand for both Professional and Residential segment zero-turn riding products.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consolidated net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6"/>
                <w:szCs w:val="16"/>
                <w:b w:val="1"/>
                <w:bCs w:val="1"/>
                <w:color w:val="auto"/>
              </w:rPr>
              <w:t>Three Months Ended</w:t>
            </w:r>
          </w:p>
        </w:tc>
        <w:tc>
          <w:tcPr>
            <w:tcW w:w="300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6"/>
                <w:szCs w:val="16"/>
                <w:b w:val="1"/>
                <w:bCs w:val="1"/>
                <w:color w:val="auto"/>
              </w:rPr>
              <w:t>Nine Months Ended</w:t>
            </w:r>
          </w:p>
        </w:tc>
      </w:tr>
      <w:tr>
        <w:trPr>
          <w:trHeight w:val="201"/>
        </w:trPr>
        <w:tc>
          <w:tcPr>
            <w:tcW w:w="40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July 30, 2021</w:t>
            </w:r>
          </w:p>
        </w:tc>
        <w:tc>
          <w:tcPr>
            <w:tcW w:w="1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July 31, 2020</w:t>
            </w:r>
          </w:p>
        </w:tc>
        <w:tc>
          <w:tcPr>
            <w:tcW w:w="16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July 30, 2021</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July 31, 2020</w:t>
            </w:r>
          </w:p>
        </w:tc>
      </w:tr>
      <w:tr>
        <w:trPr>
          <w:trHeight w:val="200"/>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6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26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(66.1)</w:t>
            </w:r>
          </w:p>
        </w:tc>
        <w:tc>
          <w:tcPr>
            <w:tcW w:w="16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(65.0)</w:t>
            </w:r>
          </w:p>
        </w:tc>
        <w:tc>
          <w:tcPr>
            <w:tcW w:w="16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(65.0)</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(65.0)</w:t>
            </w:r>
          </w:p>
        </w:tc>
      </w:tr>
      <w:tr>
        <w:trPr>
          <w:trHeight w:val="201"/>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33.9</w:t>
            </w:r>
          </w:p>
        </w:tc>
        <w:tc>
          <w:tcPr>
            <w:tcW w:w="1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35.0</w:t>
            </w:r>
          </w:p>
        </w:tc>
        <w:tc>
          <w:tcPr>
            <w:tcW w:w="1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35.0</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35.0</w:t>
            </w:r>
          </w:p>
        </w:tc>
      </w:tr>
      <w:tr>
        <w:trPr>
          <w:trHeight w:val="205"/>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6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(21.4)</w:t>
            </w:r>
          </w:p>
        </w:tc>
        <w:tc>
          <w:tcPr>
            <w:tcW w:w="16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(21.2)</w:t>
            </w:r>
          </w:p>
        </w:tc>
        <w:tc>
          <w:tcPr>
            <w:tcW w:w="16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(20.2)</w:t>
            </w:r>
          </w:p>
        </w:tc>
        <w:tc>
          <w:tcPr>
            <w:tcW w:w="14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(21.9)</w:t>
            </w:r>
          </w:p>
        </w:tc>
      </w:tr>
      <w:tr>
        <w:trPr>
          <w:trHeight w:val="201"/>
        </w:trPr>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262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12.5</w:t>
            </w:r>
          </w:p>
        </w:tc>
        <w:tc>
          <w:tcPr>
            <w:tcW w:w="1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13.8</w:t>
            </w:r>
          </w:p>
        </w:tc>
        <w:tc>
          <w:tcPr>
            <w:tcW w:w="160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14.8</w:t>
            </w:r>
          </w:p>
        </w:tc>
        <w:tc>
          <w:tcPr>
            <w:tcW w:w="14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13.1</w:t>
            </w:r>
          </w:p>
        </w:tc>
      </w:tr>
      <w:tr>
        <w:trPr>
          <w:trHeight w:val="205"/>
        </w:trPr>
        <w:tc>
          <w:tcPr>
            <w:tcW w:w="4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20" w:type="dxa"/>
            <w:vAlign w:val="bottom"/>
          </w:tcPr>
          <w:p>
            <w:pPr>
              <w:jc w:val="right"/>
              <w:ind w:right="280"/>
              <w:spacing w:after="0"/>
              <w:rPr>
                <w:sz w:val="20"/>
                <w:szCs w:val="20"/>
                <w:color w:val="auto"/>
              </w:rPr>
            </w:pPr>
            <w:r>
              <w:rPr>
                <w:rFonts w:ascii="Arial" w:cs="Arial" w:eastAsia="Arial" w:hAnsi="Arial"/>
                <w:sz w:val="16"/>
                <w:szCs w:val="16"/>
                <w:color w:val="auto"/>
              </w:rPr>
              <w:t>(0.7)</w:t>
            </w:r>
          </w:p>
        </w:tc>
        <w:tc>
          <w:tcPr>
            <w:tcW w:w="1600" w:type="dxa"/>
            <w:vAlign w:val="bottom"/>
          </w:tcPr>
          <w:p>
            <w:pPr>
              <w:jc w:val="right"/>
              <w:ind w:right="280"/>
              <w:spacing w:after="0"/>
              <w:rPr>
                <w:sz w:val="20"/>
                <w:szCs w:val="20"/>
                <w:color w:val="auto"/>
              </w:rPr>
            </w:pPr>
            <w:r>
              <w:rPr>
                <w:rFonts w:ascii="Arial" w:cs="Arial" w:eastAsia="Arial" w:hAnsi="Arial"/>
                <w:sz w:val="16"/>
                <w:szCs w:val="16"/>
                <w:color w:val="auto"/>
              </w:rPr>
              <w:t>(1.0)</w:t>
            </w:r>
          </w:p>
        </w:tc>
        <w:tc>
          <w:tcPr>
            <w:tcW w:w="1600" w:type="dxa"/>
            <w:vAlign w:val="bottom"/>
          </w:tcPr>
          <w:p>
            <w:pPr>
              <w:jc w:val="right"/>
              <w:ind w:right="280"/>
              <w:spacing w:after="0"/>
              <w:rPr>
                <w:sz w:val="20"/>
                <w:szCs w:val="20"/>
                <w:color w:val="auto"/>
              </w:rPr>
            </w:pPr>
            <w:r>
              <w:rPr>
                <w:rFonts w:ascii="Arial" w:cs="Arial" w:eastAsia="Arial" w:hAnsi="Arial"/>
                <w:sz w:val="16"/>
                <w:szCs w:val="16"/>
                <w:color w:val="auto"/>
              </w:rPr>
              <w:t>(0.7)</w:t>
            </w:r>
          </w:p>
        </w:tc>
        <w:tc>
          <w:tcPr>
            <w:tcW w:w="1400" w:type="dxa"/>
            <w:vAlign w:val="bottom"/>
          </w:tcPr>
          <w:p>
            <w:pPr>
              <w:jc w:val="right"/>
              <w:ind w:right="80"/>
              <w:spacing w:after="0"/>
              <w:rPr>
                <w:sz w:val="20"/>
                <w:szCs w:val="20"/>
                <w:color w:val="auto"/>
              </w:rPr>
            </w:pPr>
            <w:r>
              <w:rPr>
                <w:rFonts w:ascii="Arial" w:cs="Arial" w:eastAsia="Arial" w:hAnsi="Arial"/>
                <w:sz w:val="16"/>
                <w:szCs w:val="16"/>
                <w:color w:val="auto"/>
              </w:rPr>
              <w:t>(1.0)</w:t>
            </w: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2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0.2</w:t>
            </w:r>
          </w:p>
        </w:tc>
        <w:tc>
          <w:tcPr>
            <w:tcW w:w="16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0.4</w:t>
            </w:r>
          </w:p>
        </w:tc>
        <w:tc>
          <w:tcPr>
            <w:tcW w:w="16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0.3</w:t>
            </w:r>
          </w:p>
        </w:tc>
        <w:tc>
          <w:tcPr>
            <w:tcW w:w="14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0.5</w:t>
            </w:r>
          </w:p>
        </w:tc>
      </w:tr>
      <w:tr>
        <w:trPr>
          <w:trHeight w:val="200"/>
        </w:trPr>
        <w:tc>
          <w:tcPr>
            <w:tcW w:w="402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620" w:type="dxa"/>
            <w:vAlign w:val="bottom"/>
          </w:tcPr>
          <w:p>
            <w:pPr>
              <w:jc w:val="right"/>
              <w:ind w:right="320"/>
              <w:spacing w:after="0"/>
              <w:rPr>
                <w:sz w:val="20"/>
                <w:szCs w:val="20"/>
                <w:color w:val="auto"/>
              </w:rPr>
            </w:pPr>
            <w:r>
              <w:rPr>
                <w:rFonts w:ascii="Arial" w:cs="Arial" w:eastAsia="Arial" w:hAnsi="Arial"/>
                <w:sz w:val="16"/>
                <w:szCs w:val="16"/>
                <w:color w:val="auto"/>
              </w:rPr>
              <w:t>12.0</w:t>
            </w:r>
          </w:p>
        </w:tc>
        <w:tc>
          <w:tcPr>
            <w:tcW w:w="1600" w:type="dxa"/>
            <w:vAlign w:val="bottom"/>
          </w:tcPr>
          <w:p>
            <w:pPr>
              <w:jc w:val="right"/>
              <w:ind w:right="320"/>
              <w:spacing w:after="0"/>
              <w:rPr>
                <w:sz w:val="20"/>
                <w:szCs w:val="20"/>
                <w:color w:val="auto"/>
              </w:rPr>
            </w:pPr>
            <w:r>
              <w:rPr>
                <w:rFonts w:ascii="Arial" w:cs="Arial" w:eastAsia="Arial" w:hAnsi="Arial"/>
                <w:sz w:val="16"/>
                <w:szCs w:val="16"/>
                <w:color w:val="auto"/>
              </w:rPr>
              <w:t>13.2</w:t>
            </w:r>
          </w:p>
        </w:tc>
        <w:tc>
          <w:tcPr>
            <w:tcW w:w="1600" w:type="dxa"/>
            <w:vAlign w:val="bottom"/>
          </w:tcPr>
          <w:p>
            <w:pPr>
              <w:jc w:val="right"/>
              <w:ind w:right="320"/>
              <w:spacing w:after="0"/>
              <w:rPr>
                <w:sz w:val="20"/>
                <w:szCs w:val="20"/>
                <w:color w:val="auto"/>
              </w:rPr>
            </w:pPr>
            <w:r>
              <w:rPr>
                <w:rFonts w:ascii="Arial" w:cs="Arial" w:eastAsia="Arial" w:hAnsi="Arial"/>
                <w:sz w:val="16"/>
                <w:szCs w:val="16"/>
                <w:color w:val="auto"/>
              </w:rPr>
              <w:t>14.4</w:t>
            </w:r>
          </w:p>
        </w:tc>
        <w:tc>
          <w:tcPr>
            <w:tcW w:w="1400" w:type="dxa"/>
            <w:vAlign w:val="bottom"/>
          </w:tcPr>
          <w:p>
            <w:pPr>
              <w:jc w:val="right"/>
              <w:ind w:right="120"/>
              <w:spacing w:after="0"/>
              <w:rPr>
                <w:sz w:val="20"/>
                <w:szCs w:val="20"/>
                <w:color w:val="auto"/>
              </w:rPr>
            </w:pPr>
            <w:r>
              <w:rPr>
                <w:rFonts w:ascii="Arial" w:cs="Arial" w:eastAsia="Arial" w:hAnsi="Arial"/>
                <w:sz w:val="16"/>
                <w:szCs w:val="16"/>
                <w:color w:val="auto"/>
              </w:rPr>
              <w:t>12.6</w:t>
            </w:r>
          </w:p>
        </w:tc>
      </w:tr>
      <w:tr>
        <w:trPr>
          <w:trHeight w:val="207"/>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2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(2.1)</w:t>
            </w:r>
          </w:p>
        </w:tc>
        <w:tc>
          <w:tcPr>
            <w:tcW w:w="16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(2.6)</w:t>
            </w:r>
          </w:p>
        </w:tc>
        <w:tc>
          <w:tcPr>
            <w:tcW w:w="160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(2.7)</w:t>
            </w:r>
          </w:p>
        </w:tc>
        <w:tc>
          <w:tcPr>
            <w:tcW w:w="14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w:t>
            </w:r>
          </w:p>
        </w:tc>
      </w:tr>
      <w:tr>
        <w:trPr>
          <w:trHeight w:val="200"/>
        </w:trPr>
        <w:tc>
          <w:tcPr>
            <w:tcW w:w="4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9.9 %</w:t>
            </w:r>
          </w:p>
        </w:tc>
        <w:tc>
          <w:tcPr>
            <w:tcW w:w="16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10.6 %</w:t>
            </w:r>
          </w:p>
        </w:tc>
        <w:tc>
          <w:tcPr>
            <w:tcW w:w="16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11.7 %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and Gross Margin</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Gross profit for the third quarter of fiscal 2021 was $331.1 million, up 12.4 percent compared to $294.6 million in the third quarter of fiscal 2020. Gross margin was 33.9 percent for the third quarter of fiscal 2021 compared to 35.0 percent for the third quarter of fiscal 2020, a decrease of 110 basis points. Non-GAAP gross profit for the third quarter of fiscal 2021 was $331.1 million, up 12.0 percent compared to $295.7 million in the third quarter of fiscal 2020. Non-GAAP gross margin was 33.9 percent for the third quarter of fiscal 2021 compared to 35.2 percent for the third quarter of fiscal 2020, a decrease of 130 basis points. The decrease in gross margin and non-GAAP gross margin for the third quarter comparison was primarily due to the macroeconomic inflationary environment resulting in higher commodity and component parts and freight costs, which were partially offset by improved net price realization as a result of price increases across our product lines, productivity improvements, and charges incurred for inventory write-downs in the third quarter of fiscal 2020 that did not repeat in the third quarter of fiscal 2021.</w:t>
      </w:r>
    </w:p>
    <w:p>
      <w:pPr>
        <w:spacing w:after="0" w:line="76"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Gross profit for the year-to-date period of fiscal 2021 was $1,049.1 million, up 18.0 percent compared to $889.4 million in the same period of fiscal 2020. For the year-to-date periods of fiscal 2021 and fiscal 2020, gross margin was flat at 35.0 percent. Non-GAAP gross profit for the year-to-date period of fiscal 2021 was $1,049.1 million, up 17.3 percent compared to $894.2 million in the same period of fiscal 2020. Non-GAAP gross margin was 35.0 percent for the year-to-date period of fiscal 2021 compared to 35.2 percent for the prior year comparable period, a decrease of 20 basis points. Gross margin and non-GAAP gross margin for the year-to-date period of fiscal 2021 was adversely impacted primarily by the macroeconomic inflationary environment that resulted in higher commodity and component parts and freight costs. This negative impact was largely offset by improved net price realization as a result of price increases across our Professional and Residential segment product lines; productivity improvements, including COVID-19 driven production downtime and manufacturing inefficiencies in the first nine months of fiscal 2020 that were experienced to a lesser degree in the first nine months of fiscal 2021; and favorable product mix.</w:t>
      </w:r>
    </w:p>
    <w:p>
      <w:pPr>
        <w:spacing w:after="0" w:line="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Non-GAAP gross profit and non-GAAP gross margin exclude the impact of acquisition-related costs for our acquisitions of Venture Products and The Charles Machine Works, Inc. ("CMW"), including charges incurred for the take-down of the inventory fair value step-up amounts resulting from purchase accounting adjustments, and the impact of management actions, including charges incurred for inventory write-downs related to the wind down of our Toro-branded large horizontal directional drill and riding trencher product line ("Toro underground wind down"). 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SG&amp;A expense increased $30.6 million, or 17.1 percent, for the third quarter of fiscal 2021. As a percentage of net sales, SG&amp;A expense increased 20 basis points for the third quarter of fiscal 2021. The increase in SG&amp;A expense as a percentage of net sales for the third quarter comparison was primarily due to higher administrative expense as a result of increases in compensation costs resulting from the removal of certain fiscal 2020 COVID-19 cost-reduction measures, as well as a charge incurred for a legal settlement related to a series of ongoing patent infringement disputes, largely offset by decreased indirect marketing expenses as a result of lower meeting, travel, and entertainment costs and reduced incentive compensation costs in the third quarter of fiscal 2021 due to more normalized business performance as compared to the third quarter of fiscal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where we experienced an incentive compensation increase due to improved business performance after the initial onset of the pandemic.</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SG&amp;A expense increased $48.5 million, or 8.7 percent, for the year-to-date period of fiscal 2021. As a percentage of net sales, SG&amp;A expense decreased 170 basis points for the year-to-date period of fiscal 2021. The decrease in SG&amp;A expense as a percentage of net sales for the year-to-date comparison was primarily the result of leveraging expense over higher sales volumes, which further benefited from a favorable net legal settlement with Briggs &amp; Stratton ("BGG") and decreased indirect marketing expenses as a result of lower meeting, travel, and entertainment costs. These decreases for the year-to-date comparison were partially offset by increased incentive compensation costs as a result of strong business performance.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expense decreased $1.3 million and $3.5 million for the third quarter and year-to-date periods of fiscal 2021 compared to the comparable periods of fiscal 2020. These decreases were driven by lower average outstanding borrowings under our debt arrangements and lower average interest rates due to the reduction in LIBOR.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Other income, net for the third quarter of fiscal 2021 decreased $0.8 million compared to the third quarter of fiscal 2020. This slight decrease was primarily due to lower income from our Red Iron joint venture as a result of lower field inventory levels and increased inventory turnover at our channel partners due to strong retail demand during the third quarter of fiscal 2021 as compared to the third quarter of fiscal 2020, partially offset by the favorable impact of foreign currency exchange rates. Other income, net for the year-to-date period of fiscal 2021 decreased $2.7 million compared to the same period in fiscal 2020. This decrease was primarily due to lower income from our Red Iron joint venture as a result of lower field inventory levels and increased inventory turnover at our channel partners due to strong retail demand during the first nine months of fiscal 2021 as compared to the first nine months of fiscal 2020, partially offset by a settlement charge incurred for the termination of our U.S. defined benefit pension plan recognized in fiscal 2020 that did not reoccur in fiscal 2021.</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1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effective tax rate for the third quarter of fiscal 2021 was 18.0 percent compared to 19.8 percent in the third quarter of fiscal 2020. The decrease in the effective tax rate for the quarter comparison was primarily driven by one-time adjustments related to prior years, partially offset by the geographic mix of earnings. The effective tax rate for the year-to-date period of fiscal 2021 was 18.8 percent compared to 19.2 percent in the same period of fiscal 2020. The decrease in the effective tax rate for the year-to-date comparison was primarily driven by increased tax benefits from excess tax deductions for stock-based compensation.</w:t>
      </w:r>
    </w:p>
    <w:p>
      <w:pPr>
        <w:spacing w:after="0" w:line="4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non-GAAP effective tax rate for the third quarter of fiscal 2021 was 19.3 percent, compared to a non-GAAP effective tax rate of 20.9 percent in the third quarter of fiscal 2020. The decrease in the non-GAAP effective tax rate for the quarter comparison was primarily driven by one-time adjustments related to prior years, partially offset by the geographic mix of earnings. The non-GAAP effective tax rate for the year-to-date periods of fiscal 2021 and 2020 was 20.6 percent. The non-GAAP effective tax rate excludes the impact of discrete tax benefits recorded as excess tax deductions for stock-based compensation. Reconciliations of non-GAAP financial measures to the most directly comparable reported U.S. GAAP financial measures are included in the section titled "Non-GAAP Financial Measures."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Earnings</w:t>
      </w:r>
    </w:p>
    <w:p>
      <w:pPr>
        <w:spacing w:after="0" w:line="121"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Net earnings for the third quarter of fiscal 2021 were $96.3 million, or $0.89 per diluted share, compared to $89.0 million, or $0.82 per diluted share, for the third quarter of fiscal 2020. Non-GAAP net earnings for the third quarter of fiscal 2021 were $99.4 million, or $0.92 per diluted share, compared to $88.7 million, or $0.82 per diluted share, for the third quarter of fiscal 2020, an increase of 12.2 percent per diluted share. The increase in net earnings and non-GAAP net earnings for the third quarter comparison was primarily driven by higher sales volumes and improved net price realization as a result of price increases across our product lines; productivity improvements; and charges incurred for inventory write-downs in the third quarter of fiscal 2020 that did not repeat in the third quarter of fiscal 2021. These increases were partially offset by the macroeconomic inflationary environment resulting in higher commodity and component parts and freight costs.</w:t>
      </w:r>
    </w:p>
    <w:p>
      <w:pPr>
        <w:spacing w:after="0" w:line="5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Net earnings for the first nine months of fiscal 2021 were $349.8 million, or $3.21 per diluted share, compared to $257.5 million, or $2.37 per diluted share, for the same period of fiscal 2020. The increase in net earnings for the year-to-date comparison was primarily driven by higher sales volumes and improved net price realization as a result of price increases across our product lines; productivity improvements, including COVID-19 driven production downtime and manufacturing inefficiencies in the first nine months of fiscal 2020 that were experienced to a lesser degree in the first nine months of fiscal 2021; a favorable net legal settlement with BGG; and favorable product mix. These increases were partially offset by the macroeconomic inflationary environment resulting in higher commodity and component parts and freight costs. Non-GAAP net earnings for the first nine months of fiscal 2021 were $333.0 million, or $3.06 per diluted share, compared to $258.6 million, or $2.38 per diluted share, for the same year-to-date period of fiscal 2020, an increase of 28.6 percent per diluted share.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increase in non-GAAP net earnings for the year-to-date comparison was primarily driven by higher sales volumes and improved net price realization as a result of price increases across our product lines; productivity improvements, including COVID-19 driven production downtime and manufacturing inefficiencies in the first nine months of fiscal 2020 that were experienced to a lesser degree in the first nine months of fiscal 2021; and favorable product mix. These increases were partially offset by the macroeconomic inflationary environment resulting in higher commodity and component parts and freight costs.</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Non-GAAP net earnings and non-GAAP net earnings per diluted share exclude the net impact of certain litigation settlements; acquisition-related costs related to our acquisitions of Venture Products and CMW, including transaction and integration costs and charges incurred related to certain purchase accounting adjustments; the impact of discrete tax benefits recorded as excess tax deductions for stock-based compensation; and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We operate in two reportable business segments: Professional and Residential. Segment earnings for our Professional and Residential segments are defined as earnings from operations plus other income, net. Our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we completed the sale of our Northeastern U.S. distribution company. As a result, for the three and nine 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ended July 30, 2021, operating loss for our Other activities included earnings (loss) from our wholly-owned domestic distribution company, Red Iron joint venture, corporate activities, other income, and interest expense. For the three and nine month periods ended July 31, 2020, operating loss for our Other activities included earnings (loss) from our wholly-owned domestic distribution companies,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net sales for our reportable business segments and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60" w:type="dxa"/>
            <w:vAlign w:val="bottom"/>
          </w:tcPr>
          <w:p>
            <w:pPr>
              <w:spacing w:after="0"/>
              <w:rPr>
                <w:sz w:val="13"/>
                <w:szCs w:val="13"/>
                <w:color w:val="auto"/>
              </w:rPr>
            </w:pPr>
          </w:p>
        </w:tc>
        <w:tc>
          <w:tcPr>
            <w:tcW w:w="122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w w:val="95"/>
              </w:rPr>
              <w:t>July 30, 2021</w:t>
            </w:r>
          </w:p>
        </w:tc>
        <w:tc>
          <w:tcPr>
            <w:tcW w:w="26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95"/>
              </w:rPr>
              <w:t>July 31, 2020</w:t>
            </w:r>
          </w:p>
        </w:tc>
        <w:tc>
          <w:tcPr>
            <w:tcW w:w="24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Arial" w:cs="Arial" w:eastAsia="Arial" w:hAnsi="Arial"/>
                <w:sz w:val="16"/>
                <w:szCs w:val="16"/>
                <w:b w:val="1"/>
                <w:bCs w:val="1"/>
                <w:color w:val="auto"/>
              </w:rPr>
              <w:t>Dollar</w:t>
            </w: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718,477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623,615</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94,862</w:t>
            </w:r>
          </w:p>
        </w:tc>
        <w:tc>
          <w:tcPr>
            <w:tcW w:w="150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88"/>
              </w:rPr>
              <w:t>15.2 %</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66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252,117</w:t>
            </w:r>
          </w:p>
        </w:tc>
        <w:tc>
          <w:tcPr>
            <w:tcW w:w="26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204,961</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47,156</w:t>
            </w:r>
          </w:p>
        </w:tc>
        <w:tc>
          <w:tcPr>
            <w:tcW w:w="1500" w:type="dxa"/>
            <w:vAlign w:val="bottom"/>
          </w:tcPr>
          <w:p>
            <w:pPr>
              <w:ind w:left="104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6,242</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12,396</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(6,154)</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976,836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840,972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135,864</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16.2 %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7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*Includes international net sales of:</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191,665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150,014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41,651</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27.8 %</w:t>
            </w: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Nine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6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95"/>
              </w:rPr>
              <w:t>July 30, 2021</w:t>
            </w:r>
          </w:p>
        </w:tc>
        <w:tc>
          <w:tcPr>
            <w:tcW w:w="240" w:type="dxa"/>
            <w:vAlign w:val="bottom"/>
          </w:tcPr>
          <w:p>
            <w:pPr>
              <w:spacing w:after="0"/>
              <w:rPr>
                <w:sz w:val="13"/>
                <w:szCs w:val="13"/>
                <w:color w:val="auto"/>
              </w:rPr>
            </w:pPr>
          </w:p>
        </w:tc>
        <w:tc>
          <w:tcPr>
            <w:tcW w:w="12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97"/>
              </w:rPr>
              <w:t>July 31, 2020</w:t>
            </w:r>
          </w:p>
        </w:tc>
        <w:tc>
          <w:tcPr>
            <w:tcW w:w="240" w:type="dxa"/>
            <w:vAlign w:val="bottom"/>
          </w:tcPr>
          <w:p>
            <w:pPr>
              <w:spacing w:after="0"/>
              <w:rPr>
                <w:sz w:val="13"/>
                <w:szCs w:val="13"/>
                <w:color w:val="auto"/>
              </w:rPr>
            </w:pPr>
          </w:p>
        </w:tc>
        <w:tc>
          <w:tcPr>
            <w:tcW w:w="1320" w:type="dxa"/>
            <w:vAlign w:val="bottom"/>
          </w:tcPr>
          <w:p>
            <w:pPr>
              <w:jc w:val="right"/>
              <w:ind w:right="500"/>
              <w:spacing w:after="0" w:line="150" w:lineRule="exact"/>
              <w:rPr>
                <w:sz w:val="20"/>
                <w:szCs w:val="20"/>
                <w:color w:val="auto"/>
              </w:rPr>
            </w:pPr>
            <w:r>
              <w:rPr>
                <w:rFonts w:ascii="Arial" w:cs="Arial" w:eastAsia="Arial" w:hAnsi="Arial"/>
                <w:sz w:val="16"/>
                <w:szCs w:val="16"/>
                <w:b w:val="1"/>
                <w:bCs w:val="1"/>
                <w:color w:val="auto"/>
              </w:rPr>
              <w:t>Dollar</w:t>
            </w: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2"/>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2,197,058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1,879,423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317,635</w:t>
            </w:r>
          </w:p>
        </w:tc>
        <w:tc>
          <w:tcPr>
            <w:tcW w:w="150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88"/>
              </w:rPr>
              <w:t>16.9 %</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66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784,852</w:t>
            </w:r>
          </w:p>
        </w:tc>
        <w:tc>
          <w:tcPr>
            <w:tcW w:w="2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632,807</w:t>
            </w:r>
          </w:p>
        </w:tc>
        <w:tc>
          <w:tcPr>
            <w:tcW w:w="240" w:type="dxa"/>
            <w:vAlign w:val="bottom"/>
          </w:tcPr>
          <w:p>
            <w:pPr>
              <w:spacing w:after="0"/>
              <w:rPr>
                <w:sz w:val="17"/>
                <w:szCs w:val="17"/>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152,045</w:t>
            </w:r>
          </w:p>
        </w:tc>
        <w:tc>
          <w:tcPr>
            <w:tcW w:w="1500" w:type="dxa"/>
            <w:vAlign w:val="bottom"/>
          </w:tcPr>
          <w:p>
            <w:pPr>
              <w:ind w:left="104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17,019</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25,623</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(8,604)</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2,998,929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2,537,853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461,076</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18.2 %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37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*Includes international net sales of:</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638,921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508,001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130,920</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25.8 %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segment earnings for our reportable business segments and operating (loss) for our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80" w:type="dxa"/>
            <w:vAlign w:val="bottom"/>
          </w:tcPr>
          <w:p>
            <w:pPr>
              <w:spacing w:after="0"/>
              <w:rPr>
                <w:sz w:val="13"/>
                <w:szCs w:val="13"/>
                <w:color w:val="auto"/>
              </w:rPr>
            </w:pPr>
          </w:p>
        </w:tc>
        <w:tc>
          <w:tcPr>
            <w:tcW w:w="124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w w:val="95"/>
              </w:rPr>
              <w:t>July 30, 2021</w:t>
            </w:r>
          </w:p>
        </w:tc>
        <w:tc>
          <w:tcPr>
            <w:tcW w:w="240" w:type="dxa"/>
            <w:vAlign w:val="bottom"/>
          </w:tcPr>
          <w:p>
            <w:pPr>
              <w:spacing w:after="0"/>
              <w:rPr>
                <w:sz w:val="13"/>
                <w:szCs w:val="13"/>
                <w:color w:val="auto"/>
              </w:rPr>
            </w:pPr>
          </w:p>
        </w:tc>
        <w:tc>
          <w:tcPr>
            <w:tcW w:w="12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95"/>
              </w:rPr>
              <w:t>July 31, 2020</w:t>
            </w:r>
          </w:p>
        </w:tc>
        <w:tc>
          <w:tcPr>
            <w:tcW w:w="220" w:type="dxa"/>
            <w:vAlign w:val="bottom"/>
          </w:tcPr>
          <w:p>
            <w:pPr>
              <w:spacing w:after="0"/>
              <w:rPr>
                <w:sz w:val="13"/>
                <w:szCs w:val="13"/>
                <w:color w:val="auto"/>
              </w:rPr>
            </w:pPr>
          </w:p>
        </w:tc>
        <w:tc>
          <w:tcPr>
            <w:tcW w:w="1340" w:type="dxa"/>
            <w:vAlign w:val="bottom"/>
          </w:tcPr>
          <w:p>
            <w:pPr>
              <w:jc w:val="center"/>
              <w:ind w:right="180"/>
              <w:spacing w:after="0" w:line="150" w:lineRule="exact"/>
              <w:rPr>
                <w:sz w:val="20"/>
                <w:szCs w:val="20"/>
                <w:color w:val="auto"/>
              </w:rPr>
            </w:pPr>
            <w:r>
              <w:rPr>
                <w:rFonts w:ascii="Arial" w:cs="Arial" w:eastAsia="Arial" w:hAnsi="Arial"/>
                <w:sz w:val="16"/>
                <w:szCs w:val="16"/>
                <w:b w:val="1"/>
                <w:bCs w:val="1"/>
                <w:color w:val="auto"/>
                <w:w w:val="96"/>
              </w:rPr>
              <w:t>Dollar</w:t>
            </w: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Percentage Change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8"/>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122,331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113,652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center"/>
              <w:ind w:left="600"/>
              <w:spacing w:after="0"/>
              <w:rPr>
                <w:sz w:val="20"/>
                <w:szCs w:val="20"/>
                <w:color w:val="auto"/>
              </w:rPr>
            </w:pPr>
            <w:r>
              <w:rPr>
                <w:rFonts w:ascii="Arial" w:cs="Arial" w:eastAsia="Arial" w:hAnsi="Arial"/>
                <w:sz w:val="16"/>
                <w:szCs w:val="16"/>
                <w:color w:val="auto"/>
                <w:w w:val="84"/>
              </w:rPr>
              <w:t>8,679</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31,548</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28,545</w:t>
            </w:r>
          </w:p>
        </w:tc>
        <w:tc>
          <w:tcPr>
            <w:tcW w:w="220" w:type="dxa"/>
            <w:vAlign w:val="bottom"/>
          </w:tcPr>
          <w:p>
            <w:pPr>
              <w:spacing w:after="0"/>
              <w:rPr>
                <w:sz w:val="17"/>
                <w:szCs w:val="17"/>
                <w:color w:val="auto"/>
              </w:rPr>
            </w:pPr>
          </w:p>
        </w:tc>
        <w:tc>
          <w:tcPr>
            <w:tcW w:w="1340" w:type="dxa"/>
            <w:vAlign w:val="bottom"/>
          </w:tcPr>
          <w:p>
            <w:pPr>
              <w:jc w:val="center"/>
              <w:ind w:left="600"/>
              <w:spacing w:after="0"/>
              <w:rPr>
                <w:sz w:val="20"/>
                <w:szCs w:val="20"/>
                <w:color w:val="auto"/>
              </w:rPr>
            </w:pPr>
            <w:r>
              <w:rPr>
                <w:rFonts w:ascii="Arial" w:cs="Arial" w:eastAsia="Arial" w:hAnsi="Arial"/>
                <w:sz w:val="16"/>
                <w:szCs w:val="16"/>
                <w:color w:val="auto"/>
                <w:w w:val="84"/>
              </w:rPr>
              <w:t>3,003</w:t>
            </w:r>
          </w:p>
        </w:tc>
        <w:tc>
          <w:tcPr>
            <w:tcW w:w="1500" w:type="dxa"/>
            <w:vAlign w:val="bottom"/>
          </w:tcPr>
          <w:p>
            <w:pPr>
              <w:jc w:val="right"/>
              <w:ind w:right="1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(36,428)</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(31,204)</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0"/>
              </w:rPr>
              <w:t>(5,224)</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117,451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110,993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center"/>
              <w:ind w:left="600"/>
              <w:spacing w:after="0"/>
              <w:rPr>
                <w:sz w:val="20"/>
                <w:szCs w:val="20"/>
                <w:color w:val="auto"/>
              </w:rPr>
            </w:pPr>
            <w:r>
              <w:rPr>
                <w:rFonts w:ascii="Arial" w:cs="Arial" w:eastAsia="Arial" w:hAnsi="Arial"/>
                <w:sz w:val="16"/>
                <w:szCs w:val="16"/>
                <w:color w:val="auto"/>
                <w:w w:val="84"/>
              </w:rPr>
              <w:t>6,458</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Nine Months Ended</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8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July 30, 2021</w:t>
            </w:r>
          </w:p>
        </w:tc>
        <w:tc>
          <w:tcPr>
            <w:tcW w:w="240" w:type="dxa"/>
            <w:vAlign w:val="bottom"/>
          </w:tcPr>
          <w:p>
            <w:pPr>
              <w:spacing w:after="0"/>
              <w:rPr>
                <w:sz w:val="13"/>
                <w:szCs w:val="13"/>
                <w:color w:val="auto"/>
              </w:rPr>
            </w:pPr>
          </w:p>
        </w:tc>
        <w:tc>
          <w:tcPr>
            <w:tcW w:w="12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95"/>
              </w:rPr>
              <w:t>July 31, 2020</w:t>
            </w:r>
          </w:p>
        </w:tc>
        <w:tc>
          <w:tcPr>
            <w:tcW w:w="220" w:type="dxa"/>
            <w:vAlign w:val="bottom"/>
          </w:tcPr>
          <w:p>
            <w:pPr>
              <w:spacing w:after="0"/>
              <w:rPr>
                <w:sz w:val="13"/>
                <w:szCs w:val="13"/>
                <w:color w:val="auto"/>
              </w:rPr>
            </w:pPr>
          </w:p>
        </w:tc>
        <w:tc>
          <w:tcPr>
            <w:tcW w:w="1320" w:type="dxa"/>
            <w:vAlign w:val="bottom"/>
          </w:tcPr>
          <w:p>
            <w:pPr>
              <w:jc w:val="right"/>
              <w:ind w:right="480"/>
              <w:spacing w:after="0" w:line="150" w:lineRule="exact"/>
              <w:rPr>
                <w:sz w:val="20"/>
                <w:szCs w:val="20"/>
                <w:color w:val="auto"/>
              </w:rPr>
            </w:pPr>
            <w:r>
              <w:rPr>
                <w:rFonts w:ascii="Arial" w:cs="Arial" w:eastAsia="Arial" w:hAnsi="Arial"/>
                <w:sz w:val="16"/>
                <w:szCs w:val="16"/>
                <w:b w:val="1"/>
                <w:bCs w:val="1"/>
                <w:color w:val="auto"/>
              </w:rPr>
              <w:t>Dollar</w:t>
            </w:r>
          </w:p>
        </w:tc>
        <w:tc>
          <w:tcPr>
            <w:tcW w:w="15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5"/>
              </w:rPr>
              <w:t>Percentage Change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vMerge w:val="continue"/>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4"/>
              </w:rPr>
              <w:t>Value Change</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406,279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322,385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83,894</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80" w:type="dxa"/>
            <w:vAlign w:val="bottom"/>
          </w:tcPr>
          <w:p>
            <w:pPr>
              <w:spacing w:after="0"/>
              <w:rPr>
                <w:sz w:val="17"/>
                <w:szCs w:val="17"/>
                <w:color w:val="auto"/>
              </w:rPr>
            </w:pPr>
          </w:p>
        </w:tc>
        <w:tc>
          <w:tcPr>
            <w:tcW w:w="1240" w:type="dxa"/>
            <w:vAlign w:val="bottom"/>
          </w:tcPr>
          <w:p>
            <w:pPr>
              <w:ind w:left="600"/>
              <w:spacing w:after="0"/>
              <w:rPr>
                <w:sz w:val="20"/>
                <w:szCs w:val="20"/>
                <w:color w:val="auto"/>
              </w:rPr>
            </w:pPr>
            <w:r>
              <w:rPr>
                <w:rFonts w:ascii="Arial" w:cs="Arial" w:eastAsia="Arial" w:hAnsi="Arial"/>
                <w:sz w:val="16"/>
                <w:szCs w:val="16"/>
                <w:color w:val="auto"/>
              </w:rPr>
              <w:t>109,642</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87,233</w:t>
            </w:r>
          </w:p>
        </w:tc>
        <w:tc>
          <w:tcPr>
            <w:tcW w:w="22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22,409</w:t>
            </w:r>
          </w:p>
        </w:tc>
        <w:tc>
          <w:tcPr>
            <w:tcW w:w="1520" w:type="dxa"/>
            <w:vAlign w:val="bottom"/>
          </w:tcPr>
          <w:p>
            <w:pPr>
              <w:jc w:val="right"/>
              <w:ind w:right="1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(85,401)</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(91,115)</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5,714</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430,520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318,503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112,017</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Worldwide net sales for our Professional segment for the third quarter of fiscal 2021 increased 15.2 percent compared to the third quarter of fiscal 2020. Worldwide net sales for our Professional segment for the year-to-date period of fiscal 2021 increased 16.9 percent compared to the same period of fiscal 2020. The increase in Professional segment net sales for the third quarter of fiscal 2021 was primarily due to continued strong demand for many of the products in our portfolio of Professional segment businesses, most notably the Professional segment businesses that were adversely impacted by COVID-19 during the third quarter of fiscal 2020, including increased sales of landscape contractor zero-turn riding mowers due to strong retail demand and low field inventory levels at the end of fiscal 2020 and increased shipments of golf equipment as a result of normalized golf course spending patterns and course investments. Additionally, the net sales increase was driven by price increases across our Professional segment product lines, partially offset by reduced sales of underground construction equipment as a result of product availability that limited our ability to meet construction industry demand.</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Consistent with the net sales drivers for the quarter comparison, the increase in Professional segment net sales for the first nine months of fiscal 2021 was primarily due to continued strong demand for many of the products in our portfolio of Professional segment businesses, most notably the Professional segment businesses that were adversely impacted by COVID-19 during the first nine months of fiscal 2020, including increased sales of landscape contractor zero-turn riding mowers due to strong retail demand and low field inventory levels at the end of fiscal 2020, increased shipments of golf equipment and irrigation products as a result of the normalization of golf course spending patterns and course investments, and strong demand for rental and specialty construction equipment due to favorable construction industry trends. Additionally, the net sales increase was driven by price increases across our Professional segment product lines and incremental net sales as a result of our acquisition of Venture Products, partially offset by reduced sales of underground construction equipment as a result of product availability that limited our ability to meet construction industry demand and continued softened demand in the oil and gas industry.</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Professional segment earnings for the third quarter of fiscal 2021 increased 7.6 percent compared to the third quarter of fiscal 2020, and when expressed as a percentage of net sales, decreased to 17.0 percent from 18.2 percent. As a percentage of net sales, the Professional segment earnings decrease for the third quarter comparison was primarily due to the macroeconomic inflationary environment resulting in higher commodity and component parts and freight costs, partially offset by improved net price realization as a result of price increases across our product lines, productivity improvements, charges incurred for inventory write-downs in the third quarter of fiscal 2020 that did not repeat in the third quarter of fiscal 2021, and favorable product mix.</w:t>
      </w:r>
    </w:p>
    <w:p>
      <w:pPr>
        <w:spacing w:after="0" w:line="6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Professional segment earnings for the year-to-date period of fiscal 2021 increased 26.0 percent compared to the same period of fiscal 2020, and when expressed as a percentage of net sales, increased to 18.5 percent from 17.2 percent. As a percentage of net sales, the Professional segment earnings increase for the year-to-date comparison was primarily driven by improved net price realization as a result of price increases across our Professional segment product lines; productivity improvements, including COVID-19 driven production downtime and manufacturing inefficiencies in the first nine months of fiscal 2020 that were experienced to a lesser degree in the first nine months of fiscal 2021; reduced SG&amp;A expense as a percentage of net sales due to leveraging expense over higher sales volumes; partially offset by the macroeconomic inflationary environment resulting in higher commodity and component parts and freight costs.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Worldwide net sales for our Residential segment for the third quarter of fiscal 2021 increased 23.0 percent compared to the third quarter of fiscal 2020. The Residential segment net sales increase for the third quarter comparison was mainly driven by continued strong retail demand for zero-turn riding and walk power mowers due to new and enhanced products and price increases across our Residential segment product lines.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Worldwide net sales for our Residential segment for the year-to-date period of fiscal 2021 increased 24.0 percent compared to the same period of fiscal 2020. The Residential segment net sales increase for the year-to-date comparison was mainly driven by continued strong retail demand for zero-turn riding and walk power mowers due to new and enhanced products, strong retail demand for snow thrower products as a result of favorable winter weather conditions in key regions and enhanced retail placement, increased sales of our 60V Flex-Force battery-powered home solutions products primarily due to successful new product introductions, and price increases across our Residential segment product lines.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Residential segment earnings for the third quarter of fiscal 2021 increased 10.5 percent compared to the third quarter of fiscal 2020, and when expressed as a percentage of net sales, decreased to 12.5 percent from 13.9 percent. As a percentage of net sales, the Residential segment net earnings decrease for the third quarter comparison was primarily due to the macroeconomic inflationary environment resulting in higher commodity and component parts and freight costs, partially offset by improved net price realization as a result of price increases across our Residential segment product lines, productivity improvements, and favorable product mix.</w:t>
      </w:r>
    </w:p>
    <w:p>
      <w:pPr>
        <w:spacing w:after="0" w:line="7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Residential segment earnings for the year-to-date period of fiscal 2021 increased 25.7 percent compared to the same period of fiscal 2020, and when expressed as a percentage of net sales, increased to 14.0 percent from 13.8 percent. As a percentage of net sales, the Residential segment net earnings increase for the year-to-date comparison was driven by improved net price realization as a result of price increases across our Residential segment product lines; productivity improvements, including COVID-19 driven production downtime and manufacturing inefficiencies in the first nine months of fiscal 2020 that were experienced to a lesser degree in the first nine months of fiscal 2021; and reduced SG&amp;A expense as a percentage of net sales due to leveraging expense over higher sales volumes; partially offset by the macroeconomic inflationary environment resulting in higher commodity and component parts and freight costs.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Net Sales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third quarter and year-to-date periods of fiscal 2021, net sales for our Other activities included sales from our wholly-owned domestic distribution company less sales from the Professional and Residential segments to the distribution company. For the third quarter and year-to-date periods of fiscal 2020, net sales for our Other activities included sales from our wholly-owned domestic distribution companies less sales from the Professional and Residential segments to the distribution companies. Net sales for our Other activities in the third quarter and year-to-date periods of fiscal 2021 decreased by $6.2 million and $8.6 million, respectively, compared to the same periods in fiscal 2020. These net sales decreases were due to the sale of our Northeastern U.S. distribution company during the first quarter of fiscal 2021, partially offset by reduced intercompany sales eliminations for sales from our Professional and Residential segments to our remaining wholly-owned domestic distribution company as a result of the sale of our Northeastern U.S. distribution company and increased sales from our remaining wholly-owned domestic distribution company driven by strong retail demand.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Loss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operating loss for our Other activities for the third quarter of fiscal 2021 increased $5.2 million compared to the third quarter of fiscal 2020. This operating loss increase was primarily due to a charge incurred for a legal settlement related to a series of ongoing patent infringement disputes, partially offset by reduced incentive compensation costs in the third quarter of fiscal 2021 due to more normalized business performance as compared to the third quarter of fiscal 2020 where we experienced an incentive compensation expense increase due to improved business performance after the initial onset of the pandemic.</w:t>
      </w:r>
    </w:p>
    <w:p>
      <w:pPr>
        <w:spacing w:after="0" w:line="5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 xml:space="preserve">The operating loss for our Other activities decreased $5.7 million for the year-to-date period of fiscal 2021. This operating loss decrease was primarily driven by a favorable net legal settlement with BGG, reduced SG&amp;A expense as a result of the sale of our Northeastern U.S. distribution company, and reduced interest expense as a result of lower average outstanding borrowings under our debt arrangements and lower average interest rates due to the reduction in LIBOR. The operating loss decrease was partially offset by a charge incurred for a legal settlement related to a series of ongoing patent infringement disputes and increased incentive compensation costs as a result of strong business performance. For additional information regarding the favorable net legal settlement with BGG, refer to Note 15, </w:t>
      </w:r>
      <w:r>
        <w:rPr>
          <w:rFonts w:ascii="Arial" w:cs="Arial" w:eastAsia="Arial" w:hAnsi="Arial"/>
          <w:sz w:val="15"/>
          <w:szCs w:val="15"/>
          <w:i w:val="1"/>
          <w:iCs w:val="1"/>
          <w:color w:val="auto"/>
        </w:rPr>
        <w:t>Contingencies</w:t>
      </w:r>
      <w:r>
        <w:rPr>
          <w:rFonts w:ascii="Arial" w:cs="Arial" w:eastAsia="Arial" w:hAnsi="Arial"/>
          <w:sz w:val="15"/>
          <w:szCs w:val="15"/>
          <w:color w:val="auto"/>
        </w:rPr>
        <w:t>, within the Notes to Condensed Consolidated Financial Statements included within Part I of this Quarterly Report on Form 10-Q.</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working capital strategy continues to place emphasis on improving asset utilization with a focus on reducing the amount of working capital in the supply chain, adjusting production plans, and maintaining or improving order replenishment and service levels to end-users. However, executing on certain aspects of our working capital strategy has been difficult given the current macroeconomic environment has created supply chain disruptions and more specifically, resulted in current challenges in our ability to source adequate amounts of certain component parts inventory and, in certain cases, the inability of our suppliers to meet our commodity and component parts demand requirements. Accounts receivable as of the end of the third quarter of fiscal 2021 increased $6.6 million, or 2.2 percent, compared to the end of the third quarter of fiscal 2020, mainly due to higher sales to channels not financed through our Red Iron joint venture. Inventory levels were up $9.4 million, or 1.4 percent, as of the third quarter of fiscal 2021 compared to the third quarter of fiscal 2020, primarily due to higher raw materials and work in process inventories in certain of our Residential and Professional business segments due to supply chain challenges that prevented the conversion of raw materials and work in process inventories into finished goods, as well as the timing of component parts purchases. This increase to our inventory levels was partially offset by lower finished goods inventories in certain of our Professional segment businesses as a result of strong demand for our products that has exceeded product availability. Accounts payable increased $142.7 million, or 53.1 percent, as of the end of the third quarter of fiscal 2021 compared to the end of the third quarter of fiscal 2020, mainly due to largely normalized corporate spending activity in the third quarter of fiscal 2021 as compared to the lower corporate spending activity in the third quarter of fiscal 2020 as a result of COVID-19, as well as timing of invoice payments.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Cash provided by operating activities for the first nine months of fiscal 2021 was $477.1 million compared to $305.9 million for the first nine months of fiscal 2020. This increase was primarily due to a higher cash benefit from accounts payable due to largely normalized corporate spending activity and timing of invoice payments, as well as higher net earnings. The increase to cash provided by operating activities was partially offset by more cash utilized for inventory purchases in our Professional and Residential segment businesses as a result of strong demand for our products and timing of component parts purchases.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used in investing activities decreased $114.0 million during the first nine months of fiscal 2021 compared to the first nine months of fiscal 2020. This decrease was primarily due to less cash utilized for the partial holdback release for our business combination of Venture Products during the first nine months of fiscal 2021 than was used for the initial cash consideration transferred on the acquisition date during the first nine months of fiscal 2020, as well as cash proceeds from the sale of our Northeastern U.S. distribution company. The decrease to cash used in investing activities was partially offset by higher cash used for our asset 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used in financing activities for the first nine months of fiscal 2021 was $351.2 million compared to cash provided by financing activities for the first nine months of fiscal 2020 of $119.2 million. This increase in cash used in financing activities was mainly due to cash provided by borrowings under our debt arrangements during the first nine months of fiscal 2020 that did not repeat during the first nine months of fiscal 2021 and more cash used for repurchases of shares of our common stock under our Board authorized repurchase program as we resumed repurchase activity during the first nine months of fiscal 2021, partially offset by lower cash used for repayments of outstanding indebtedness.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 historically increases between January and April as a result of typically higher sales volumes and extended payment terms made available to our customers, and typically decreases between May and December when payments are received.</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We currently believe that our existing liquidity position, including the funds available through existing, and potential future, financing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July 30, 2021, we had available liquidity of $1,132.2 million, consisting of cash and cash equivalents of $535.3 million, of which $115.1 million was held by our foreign subsidiaries, and availability under our revolving credit facility of $596.9 million.</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debt arrangements are described in further detail within our most recently filed Annual Report on Form 10-K for the fiscal year ended October 31, 2020. The following is a summary of our indebtedness: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7"/>
              </w:rPr>
              <w:t>July 31,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June 2023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$200 million term loan, due April 2022</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$300 million term loan, due April 2024</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$190 million term loan, due June 2023</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6.625% senior notes, due May 2037</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124,024</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123,962</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123,978</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2,462</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3,057</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00"/>
        </w:trPr>
        <w:tc>
          <w:tcPr>
            <w:tcW w:w="564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28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691,562</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890,905</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791,123</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104,217</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108,869</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99,873</w:t>
            </w:r>
          </w:p>
        </w:tc>
      </w:tr>
      <w:tr>
        <w:trPr>
          <w:trHeight w:val="20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less current portion</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587,345</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782,036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691,250</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During the first nine months of fiscal 2021, we prepaid the remaining $90.0 million of outstanding borrowings under the $190.0 million three-year unsecured senior term loan facility and prepaid $10.0 million of the remaining outstanding borrowings under the $300.0 million five-year unsecured senior term loan facility. As of July 30, 2021, we reclassified the remaining $100.0 million outstanding balance under the $200.0 million three-year unsecured senior term loan facility, net of the related proportionate share of deferred debt issuance costs, to current portion of long-term debt within the Condensed Consolidated Balance Sheets as the maturity date of the $200.0 million three-year unsecured senior term loan facility is April 1, 2022 and is within the next twelve months. Additionally, as of July 30, 2021, we reclassified $4.2 million of the outstanding balance under the $300.0 million five-year unsecured senior term loan facility, net of the related proportionate share of deferred debt issuance costs, to current portion of long-term debt within the Condensed Consolidated Balance Sheets as we are required to begin making quarterly amortization payments on the $300.0 million five-year unsecured senior term loan facility within the next twelve months.</w:t>
      </w:r>
    </w:p>
    <w:p>
      <w:pPr>
        <w:spacing w:after="0" w:line="5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July 30, 2021, we were in compliance with all covenants related to our financing arrangements and were not limited in the amount for payments of cash dividends and common stock repurchases. We expect to be in compliance with all covenants related to our financing arrangements during the remainder of fiscal 2021. If we were out of compliance with any covenant required by our financing arrangements following the applicable cure period, our term loan facilities, long-term senior notes, debentures, and any amounts outstanding under the revolving credit facility could become due and payable if we were unable to obtain a covenant waiver or refinance our borrowings under our financing arrangements.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third quarter of fiscal 2021, we announced that we increased our planned capital expenditures for fiscal 2021 to approximately $130.0 million due to our strong Condensed Consolidated Balance Sheet and future growth expectations, up from $115.0 million indicated in the MD&amp;A included in Part II, Item 7 of our Annual Report on Form 10-K for the fiscal year ended October 31, 2020. This increase reflects our priorities of investing in key technology areas and ensuring we have capacity to meet our future growth expectations.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Board of Directors approved a cash dividend of $0.2625 per share for the third quarter of fiscal 2021 that was paid on July 14, 2021. This was an increase of 5 percent over our cash dividend of $0.25 per share for the third quarter of fiscal 2020. We currently expect to continue paying our quarterly cash dividend to shareholders for the remainder of fiscal 2021.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During the first nine months of fiscal 2021, we repurchased 1,733,477 shares of our common stock in the open market under our Board authorized repurchase program, thereby reducing our total shares outstanding. As of July 30, 2021, 5,308,779 shares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remained available for repurchase under our Board authorized repurchase program. We currently expect to continue repurchasing shares of our common stock throughout the remainder of fiscal 2021, depending on our cash balance, debt repayments, market conditions, our anticipated working capital needs, the price of our common stock, and/or other factors.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customer financing arrangements, including both wholesale financing and end-user financing arrangements, are described in further detail within our most recently filed Annual Report on Form 10-K for the fiscal year ended October 31, 2020. There have been no material changes to our end-user customer financing arrangements during the first nine months of fiscal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Financing</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party to a joint venture with TCF Inventory Finance, Inc. ("TCFIF"), established as Red Iron, a subsidiary of The Huntington National Bank,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nine month period ended July 30, 2021 and July 31, 2020 was $1,733.0 million and $1,374.3 million, respectively.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These third-party financial institutions and TCFCFC financed $323.2 million and $308.3 million of receivables for such dealers and distributors during the nine month periods ended July 30, 2021 and July 31, 2020, respectively. As of July 30, 2021 and July 31, 2020, $129.7 million and $175.6 million, respectively, of receivables financed by the third-party financing companies and TCFCFC, excluding Red Iron, were outstanding.</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July 30, 2021 and July 31, 2020, we were contingently liable to repurchase up to a maximum amount of $93.8 million and $140.0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during the nine month period ended July 30, 2021 and July 31, 2020.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for the fiscal year ended October 31, 2020. There have been no material changes to such contractual obligations during the first nine months of fiscal 2021, with the exception of the repayment of the remaining outstanding borrowings under the $190.0 million term loan during the first quarter of fiscal 2021 and the prepayment of $10.0 million of the remaining outstanding borrowings under the $300.0 million five-year unsecured senior term loan facility during the second quarter of fiscal 2021.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off-balance sheet arrangements with Red Iron and other third-party financial institutions in which inventory receivables for certain dealers and distributors are financed by Red Iron, TCFCFC, or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for the fiscal year ended October 31, 2020. There have been no material changes to such off-balance sheet arrangements during the first nine months of fiscal 2021 with the exception of those described in the section titled "Wholesale Financing" within this MD&amp;A.</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Performance Measures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provides a reconciliation of financial performance measures calculated and reported in accordance with U.S. GAAP to the most directly comparable non-GAAP financial performance measures for the three and nine month periods ended July 30, 2021 and July 31,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6"/>
                <w:szCs w:val="16"/>
                <w:b w:val="1"/>
                <w:bCs w:val="1"/>
                <w:color w:val="auto"/>
              </w:rPr>
              <w:t>Nine Months Ended</w:t>
            </w:r>
          </w:p>
        </w:tc>
      </w:tr>
      <w:tr>
        <w:trPr>
          <w:trHeight w:val="20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 except per share data)</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5"/>
              </w:rPr>
              <w:t>July 30, 2021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7"/>
              </w:rPr>
              <w:t>July 31, 2020</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w w:val="95"/>
              </w:rPr>
              <w:t>July 31, 2020</w:t>
            </w:r>
          </w:p>
        </w:tc>
      </w:tr>
      <w:tr>
        <w:trPr>
          <w:trHeight w:val="202"/>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331,117</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294,574</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1,049,106</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889,379</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1,087</w:t>
            </w:r>
          </w:p>
        </w:tc>
        <w:tc>
          <w:tcPr>
            <w:tcW w:w="26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3,950</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gross profit</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331,117</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295,661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1,049,106</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894,186</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33.9 %</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35.0 %</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gross margin</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33.9 %</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35.2 %</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35.0 %</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35.2 %</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earnings</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121,939</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115,952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444,120</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332,876</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settlements,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5,750</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(11,325)</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1,161</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6,183</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operating earnings</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127,689</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117,113</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432,795</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339,916</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117,451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110,993</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430,520</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318,503</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settlements,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5,750</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(11,325)</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1,161</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6,183</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earnings before income taxes</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123,201</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112,154</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419,195</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325,543</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96,320</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88,968</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349,772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257,505</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settlements,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4,525</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(8,947)</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924</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4,922</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682</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(1,397)</w:t>
            </w:r>
          </w:p>
        </w:tc>
        <w:tc>
          <w:tcPr>
            <w:tcW w:w="2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(1,173)</w:t>
            </w:r>
          </w:p>
        </w:tc>
        <w:tc>
          <w:tcPr>
            <w:tcW w:w="2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(7,846)</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(4,550)</w:t>
            </w: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net earnings</w:t>
            </w: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99,448</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88,719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332,979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258,559</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0"/>
        </w:trPr>
        <w:tc>
          <w:tcPr>
            <w:tcW w:w="39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diluted share</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0.89</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0.82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3.21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2.37</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settlements,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0.04</w:t>
            </w:r>
          </w:p>
        </w:tc>
        <w:tc>
          <w:tcPr>
            <w:tcW w:w="26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0.05</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(0.01)</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(0.07)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(0.04)</w:t>
            </w:r>
          </w:p>
        </w:tc>
      </w:tr>
      <w:tr>
        <w:trPr>
          <w:trHeight w:val="222"/>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net earnings per diluted share</w:t>
            </w:r>
          </w:p>
        </w:tc>
        <w:tc>
          <w:tcPr>
            <w:tcW w:w="1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0.92</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0.82</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3.06</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2.38</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2"/>
          </w:tcPr>
          <w:p>
            <w:pPr>
              <w:jc w:val="right"/>
              <w:ind w:right="942"/>
              <w:spacing w:after="0"/>
              <w:rPr>
                <w:sz w:val="20"/>
                <w:szCs w:val="20"/>
                <w:color w:val="auto"/>
              </w:rPr>
            </w:pPr>
            <w:r>
              <w:rPr>
                <w:rFonts w:ascii="Arial" w:cs="Arial" w:eastAsia="Arial" w:hAnsi="Arial"/>
                <w:sz w:val="16"/>
                <w:szCs w:val="16"/>
                <w:b w:val="1"/>
                <w:bCs w:val="1"/>
                <w:color w:val="auto"/>
              </w:rPr>
              <w:t>Three Months Ended</w:t>
            </w:r>
          </w:p>
        </w:tc>
        <w:tc>
          <w:tcPr>
            <w:tcW w:w="3000" w:type="dxa"/>
            <w:vAlign w:val="bottom"/>
            <w:tcBorders>
              <w:bottom w:val="single" w:sz="8" w:color="auto"/>
            </w:tcBorders>
            <w:gridSpan w:val="2"/>
          </w:tcPr>
          <w:p>
            <w:pPr>
              <w:jc w:val="right"/>
              <w:ind w:right="802"/>
              <w:spacing w:after="0"/>
              <w:rPr>
                <w:sz w:val="20"/>
                <w:szCs w:val="20"/>
                <w:color w:val="auto"/>
              </w:rPr>
            </w:pPr>
            <w:r>
              <w:rPr>
                <w:rFonts w:ascii="Arial" w:cs="Arial" w:eastAsia="Arial" w:hAnsi="Arial"/>
                <w:sz w:val="16"/>
                <w:szCs w:val="16"/>
                <w:b w:val="1"/>
                <w:bCs w:val="1"/>
                <w:color w:val="auto"/>
              </w:rPr>
              <w:t>Nine Months Ended</w:t>
            </w:r>
          </w:p>
        </w:tc>
      </w:tr>
      <w:tr>
        <w:trPr>
          <w:trHeight w:val="200"/>
        </w:trPr>
        <w:tc>
          <w:tcPr>
            <w:tcW w:w="40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July 30, 2021</w:t>
            </w:r>
          </w:p>
        </w:tc>
        <w:tc>
          <w:tcPr>
            <w:tcW w:w="16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July 31, 2020</w:t>
            </w:r>
          </w:p>
        </w:tc>
        <w:tc>
          <w:tcPr>
            <w:tcW w:w="160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July 30, 2021</w:t>
            </w: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July 31, 2020</w:t>
            </w:r>
          </w:p>
        </w:tc>
      </w:tr>
      <w:tr>
        <w:trPr>
          <w:trHeight w:val="20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6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18.0 %</w:t>
            </w:r>
          </w:p>
        </w:tc>
        <w:tc>
          <w:tcPr>
            <w:tcW w:w="16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19.8 %</w:t>
            </w:r>
          </w:p>
        </w:tc>
        <w:tc>
          <w:tcPr>
            <w:tcW w:w="16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18.8 %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07"/>
        </w:trPr>
        <w:tc>
          <w:tcPr>
            <w:tcW w:w="400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26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1.3 %</w:t>
            </w:r>
          </w:p>
        </w:tc>
        <w:tc>
          <w:tcPr>
            <w:tcW w:w="1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1.1 %</w:t>
            </w:r>
          </w:p>
        </w:tc>
        <w:tc>
          <w:tcPr>
            <w:tcW w:w="16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1.8 %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22"/>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effective tax rate</w:t>
            </w:r>
          </w:p>
        </w:tc>
        <w:tc>
          <w:tcPr>
            <w:tcW w:w="26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19.3 %</w:t>
            </w:r>
          </w:p>
        </w:tc>
        <w:tc>
          <w:tcPr>
            <w:tcW w:w="16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20.9 %</w:t>
            </w:r>
          </w:p>
        </w:tc>
        <w:tc>
          <w:tcPr>
            <w:tcW w:w="16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20.6 %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20.6 %</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240" w:right="160" w:hanging="159"/>
        <w:spacing w:after="0" w:line="267" w:lineRule="auto"/>
        <w:tabs>
          <w:tab w:leader="none" w:pos="266"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Additionally, during the third quarter of fiscal 2021, we recorded a charge related to a legal settlement for a series of ongoing patent infringement disputes within selling, general and administrative expense in the Condensed Consolidated Statements of Earnings. Accordingly, litigation settlements, net represents the charge incurred for the settlement of the patent infringement disputes for the three month period ended July 30, 2021. Litigation settlements, net for the nine month period ended July 30, 2021 represents the net amount recorded for the settlement of the Infringement Action, as well as the charge incurred for the settlement of the patent infringement disputes. Refer to Note 15, </w:t>
      </w:r>
      <w:r>
        <w:rPr>
          <w:rFonts w:ascii="Arial" w:cs="Arial" w:eastAsia="Arial" w:hAnsi="Arial"/>
          <w:sz w:val="13"/>
          <w:szCs w:val="13"/>
          <w:i w:val="1"/>
          <w:iCs w:val="1"/>
          <w:color w:val="auto"/>
        </w:rPr>
        <w:t>Contingencies</w:t>
      </w:r>
      <w:r>
        <w:rPr>
          <w:rFonts w:ascii="Arial" w:cs="Arial" w:eastAsia="Arial" w:hAnsi="Arial"/>
          <w:sz w:val="13"/>
          <w:szCs w:val="13"/>
          <w:color w:val="auto"/>
        </w:rPr>
        <w:t>, for additional information regarding the settlement of the Infringement Action.</w:t>
      </w:r>
    </w:p>
    <w:p>
      <w:pPr>
        <w:spacing w:after="0" w:line="74" w:lineRule="exact"/>
        <w:rPr>
          <w:sz w:val="20"/>
          <w:szCs w:val="20"/>
          <w:color w:val="auto"/>
        </w:rPr>
      </w:pPr>
    </w:p>
    <w:p>
      <w:pPr>
        <w:jc w:val="both"/>
        <w:ind w:left="240" w:right="160" w:hanging="159"/>
        <w:spacing w:after="0" w:line="246" w:lineRule="auto"/>
        <w:tabs>
          <w:tab w:leader="none" w:pos="2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On March 2, 2020, we completed the acquisition of Venture Products and on April 1, 2019, we completed the acquisition of CMW. Acquisition-related costs for the three month period ended July 31, 2020 represent integration costs and charges incurred for the take-down of the inventory fair value step-up amount resulting from purchase accounting adjustments related to the acquisition of Venture Products. Acquisition-related costs for the nine month period ended July 31, 2020 represent transaction costs incurred for the acquisition of Venture Products, as well as integration costs and charges incurred for the take-down of the inventory fair value step-up amount resulting from purchase accounting adjustments related to the acquisitions of Venture Products and CMW. No acquisition-related costs were incurred during the three and nine month periods ended July 30, 2021. For additional information regarding the acquisition of Venture Products, refer to Note 2, </w:t>
      </w:r>
      <w:r>
        <w:rPr>
          <w:rFonts w:ascii="Arial" w:cs="Arial" w:eastAsia="Arial" w:hAnsi="Arial"/>
          <w:sz w:val="14"/>
          <w:szCs w:val="14"/>
          <w:i w:val="1"/>
          <w:iCs w:val="1"/>
          <w:color w:val="auto"/>
        </w:rPr>
        <w:t>Business Combination and Asset Acquisitions</w:t>
      </w:r>
      <w:r>
        <w:rPr>
          <w:rFonts w:ascii="Arial" w:cs="Arial" w:eastAsia="Arial" w:hAnsi="Arial"/>
          <w:sz w:val="14"/>
          <w:szCs w:val="14"/>
          <w:color w:val="auto"/>
        </w:rPr>
        <w:t xml:space="preserve">, within the Notes to Condensed Consolidated Financial Statements included within Part I, Item 1, "Financial Statements" of this Quarterly Report on Form 10-Q. For additional information regarding the acquisition of CMW, refer to Note 2,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Combinations</w:t>
      </w:r>
      <w:r>
        <w:rPr>
          <w:rFonts w:ascii="Arial" w:cs="Arial" w:eastAsia="Arial" w:hAnsi="Arial"/>
          <w:sz w:val="14"/>
          <w:szCs w:val="14"/>
          <w:color w:val="auto"/>
        </w:rPr>
        <w:t>, of the Notes to Consolidated Financial Statements included in Part II, Item 8, "Financial Statements and Supplementary Data," of our most recent Annual Report on</w:t>
      </w:r>
      <w:r>
        <w:rPr>
          <w:rFonts w:ascii="Arial" w:cs="Arial" w:eastAsia="Arial" w:hAnsi="Arial"/>
          <w:sz w:val="14"/>
          <w:szCs w:val="14"/>
          <w:i w:val="1"/>
          <w:iCs w:val="1"/>
          <w:color w:val="auto"/>
        </w:rPr>
        <w:t xml:space="preserve"> </w:t>
      </w:r>
      <w:r>
        <w:rPr>
          <w:rFonts w:ascii="Arial" w:cs="Arial" w:eastAsia="Arial" w:hAnsi="Arial"/>
          <w:sz w:val="14"/>
          <w:szCs w:val="14"/>
          <w:color w:val="auto"/>
        </w:rPr>
        <w:t>Form 10- K for the fiscal year ended October 31, 2020.</w:t>
      </w:r>
    </w:p>
    <w:p>
      <w:pPr>
        <w:spacing w:after="0" w:line="83" w:lineRule="exact"/>
        <w:rPr>
          <w:sz w:val="20"/>
          <w:szCs w:val="20"/>
          <w:color w:val="auto"/>
        </w:rPr>
      </w:pPr>
    </w:p>
    <w:p>
      <w:pPr>
        <w:jc w:val="both"/>
        <w:ind w:left="240" w:right="160" w:hanging="159"/>
        <w:spacing w:after="0" w:line="242" w:lineRule="auto"/>
        <w:tabs>
          <w:tab w:leader="none" w:pos="25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During the third quarter of fiscal 2019, we announced the wind down of our Toro-branded large horizontal directional drill and riding trencher product line ("Toro underground wind down"). Management actions represent inventory write-down charges incurred during the nine month period ended July 31, 2020 for the Toro underground wind down. No charges were incurred for the Toro underground wind down for the three month period ended July 31, 2020 and the three and nine month periods ended July 30, 2021. For additional information regarding the Toro underground wind down, refer to Note 7, </w:t>
      </w:r>
      <w:r>
        <w:rPr>
          <w:rFonts w:ascii="Arial" w:cs="Arial" w:eastAsia="Arial" w:hAnsi="Arial"/>
          <w:sz w:val="14"/>
          <w:szCs w:val="14"/>
          <w:i w:val="1"/>
          <w:iCs w:val="1"/>
          <w:color w:val="auto"/>
        </w:rPr>
        <w:t>Management Actions</w:t>
      </w:r>
      <w:r>
        <w:rPr>
          <w:rFonts w:ascii="Arial" w:cs="Arial" w:eastAsia="Arial" w:hAnsi="Arial"/>
          <w:sz w:val="14"/>
          <w:szCs w:val="14"/>
          <w:color w:val="auto"/>
        </w:rPr>
        <w:t>, of the Notes to Consolidated Financial Statements included in Part II, Item 8, "Financial Statements and Supplementary Data," of our most recent Annual Report on Form 10- K for the fiscal year ended October 31, 2020.</w:t>
      </w:r>
    </w:p>
    <w:p>
      <w:pPr>
        <w:spacing w:after="0" w:line="85" w:lineRule="exact"/>
        <w:rPr>
          <w:sz w:val="20"/>
          <w:szCs w:val="20"/>
          <w:color w:val="auto"/>
        </w:rPr>
      </w:pPr>
    </w:p>
    <w:p>
      <w:pPr>
        <w:jc w:val="both"/>
        <w:ind w:left="240" w:right="160" w:hanging="159"/>
        <w:spacing w:after="0" w:line="262" w:lineRule="auto"/>
        <w:tabs>
          <w:tab w:leader="none" w:pos="266"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our net earnings, net earnings per diluted share, and effective tax rate. These amounts represent the discrete tax benefits recorded as excess tax deductions for stock-based compensation during the three and nine month periods ended July 30, 2021 and July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Liquidity Measures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non-GAAP free cash flow as net cash provided by operating activities less purchases of property, plant and equipment. Non-GAAP free cash flow conversion percentage represents non-GAAP free cash flow as a percentage of net earnings. We consider non-GAAP free cash flow and non-GAAP free cash flow conversion percentage to be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 The following table provides a reconciliation of net cash provided by operating activities, the most directly comparable GAAP financial measure, to non-GAAP free cash flow for the nine month periods ended July 30, 2021 and July 31, 2020:</w:t>
      </w:r>
    </w:p>
    <w:p>
      <w:pPr>
        <w:spacing w:after="0" w:line="117"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Nine Months Ended</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5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w w:val="97"/>
              </w:rPr>
              <w:t>July 30, 2021</w:t>
            </w:r>
          </w:p>
        </w:tc>
        <w:tc>
          <w:tcPr>
            <w:tcW w:w="2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7"/>
              </w:rPr>
              <w:t>July 31, 2020</w:t>
            </w:r>
          </w:p>
        </w:tc>
      </w:tr>
      <w:tr>
        <w:trPr>
          <w:trHeight w:val="20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5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477,135</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305,876</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Purchases of property, plant and equipment</w:t>
            </w:r>
          </w:p>
        </w:tc>
        <w:tc>
          <w:tcPr>
            <w:tcW w:w="25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47,961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46,627</w:t>
            </w:r>
          </w:p>
        </w:tc>
      </w:tr>
      <w:tr>
        <w:trPr>
          <w:trHeight w:val="20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free cash flow</w:t>
            </w:r>
          </w:p>
        </w:tc>
        <w:tc>
          <w:tcPr>
            <w:tcW w:w="2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429,174</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259,249</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349,772</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257,505</w:t>
            </w:r>
          </w:p>
        </w:tc>
      </w:tr>
      <w:tr>
        <w:trPr>
          <w:trHeight w:val="225"/>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free cash flow conversion percentage</w:t>
            </w:r>
          </w:p>
        </w:tc>
        <w:tc>
          <w:tcPr>
            <w:tcW w:w="2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122.7 %</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There have been no material changes to our critical accounting policies and estimates since our most recent Annual Report on Form 10-K for the fiscal year ended October 31, 2020. Refer to Part II, Item 7, "Management’s Discussion and Analysis of Financial Condition and Results of Operations", and Part II, Item 8, Note 1, </w:t>
      </w:r>
      <w:r>
        <w:rPr>
          <w:rFonts w:ascii="Arial" w:cs="Arial" w:eastAsia="Arial" w:hAnsi="Arial"/>
          <w:sz w:val="17"/>
          <w:szCs w:val="17"/>
          <w:i w:val="1"/>
          <w:iCs w:val="1"/>
          <w:color w:val="auto"/>
        </w:rPr>
        <w:t>Summary of Significant Accounting Policies and Related Data</w:t>
      </w:r>
      <w:r>
        <w:rPr>
          <w:rFonts w:ascii="Arial" w:cs="Arial" w:eastAsia="Arial" w:hAnsi="Arial"/>
          <w:sz w:val="17"/>
          <w:szCs w:val="17"/>
          <w:color w:val="auto"/>
        </w:rPr>
        <w:t>, within our Annual Report on Form 10-K for the fiscal year ended October 31, 2020 for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our critical accounting policies and estimates.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 condition, and anticipated impacts of COVID-19; our business strategies and goals; and the effect of laws, rules, policies, regulations, tax reform, new accounting pronouncements, and outstanding litigation on our business and future performance.</w:t>
      </w:r>
    </w:p>
    <w:p>
      <w:pPr>
        <w:spacing w:after="0" w:line="8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34" w:lineRule="exact"/>
        <w:rPr>
          <w:sz w:val="20"/>
          <w:szCs w:val="20"/>
          <w:color w:val="auto"/>
        </w:rPr>
      </w:pPr>
    </w:p>
    <w:p>
      <w:pPr>
        <w:jc w:val="both"/>
        <w:ind w:left="620" w:hanging="307"/>
        <w:spacing w:after="0" w:line="256"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Adverse economic conditions and outlook in the United States and in other countries in which we conduct business, including as a result of COVID-19, have and could continue to impact demand for our products, and ultimately, our net sales and earnings. These include but are not limited to business closures; slowdowns, suspensions or delays of production and commercial activity; recessionary conditions; slow or negative economic growth rates; slowdowns or reductions in levels of golf course activity, including development, renovation, and improvement; golf course closures; reduced governmental or municipal spending; reduced levels of home ownership, construction, and sales; home foreclosures; negative consumer confidence; reduced consumer spending levels; increased unemployment rates; prolonged high unemployment rates; higher costs and reduced availability of commodities, components, parts, and accessories and/or transportation-related costs, including as a result of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these factors have caused our distributors, dealers, and end-user customers to reduce spending and delay or forego purchases of our products, which have had an adverse effect on our net sales and earnings.</w:t>
      </w:r>
    </w:p>
    <w:p>
      <w:pPr>
        <w:spacing w:after="0" w:line="1" w:lineRule="exact"/>
        <w:rPr>
          <w:sz w:val="20"/>
          <w:szCs w:val="20"/>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COVID-19 has materially adversely impacted portions of our business, financial condition and operating results and will likely continue to adversely impact portions of our business and such impact could continue to be material and will depend on numerous evolving factors, including: the duration of the impacts of COVID-19; governmental, business and individual actions that have been, and continue to be, taken in response to COVID-19; the success of the deployment of approved COVID-19 vaccines, their effectiveness against COVID-19 variants and their rate of adoption; the effect of COVID-19 on our dealers, distributors, mass retailers and other channel partners and customers, including reduced or constrained budgets and cash preservation efforts; our ability during COVID-19 to continue operations without disruption and/or adjust our production schedules; significant reductions or volatility in demand for one or more of our products or services; the effect of COVID-19 on our suppliers and companies throughout our supply chain and any such supplier's ability to meet supply commitments, requirements, and/or demands and our ability to continue to obtain commodities, components, parts, and accessories on a timely basis through our supply chain and at anticipated costs; logistics costs and challenges; costs incurred as a result of necessary actions and preparedness plans we have enacted and may enact in the future to help ensure the health and safety of our employees and continued operations; potential future restructuring, impairment or other charges; availability of employees, their ability to conduct work away from normal working locations and/or under revised work environment protocols; our ability to establish and maintain appropriate estimates and assumptions used to prepare the Condensed Consolidated Financial Statements; the continued impact of COVID-19 on the financial and credit markets and economic activity generally; our ability to access lending, capital markets, and other sources of liquidity when needed on reasonable terms or at all; our ability to comply with the financial covenants in our debt agreements if the material economic conditions resulting from COVID-19 lead to substantially increased indebtedness and/or lower EBITDA for us; and the continued exacerbation of negative impacts as a result of the occurrence of a global or national recession, depression or other sustained adverse market event as a result of COVID-19. In addition, the impacts from COVID-19 and efforts to contain it have heightened the other risks described herein.</w:t>
      </w:r>
    </w:p>
    <w:p>
      <w:pPr>
        <w:spacing w:after="0" w:line="9" w:lineRule="exact"/>
        <w:rPr>
          <w:rFonts w:ascii="Arial" w:cs="Arial" w:eastAsia="Arial" w:hAnsi="Arial"/>
          <w:sz w:val="16"/>
          <w:szCs w:val="16"/>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Professional segment net sales are dependent upon certain and varied factors. 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Among other things, any one of a combination of the following factors, many of which have been adversely impacted by COVID-19, could result in a decrease in spending and demand for our products and have an adverse effect on our Professional segment net sales: golf course revenues; reduced levels of investment in golf course renovations and improvements; the level of new golf course development and golf course closures; reduced consumer and business spending on property maintenance, including lawn care and snow removal activities; construction activity; low or reduced levels of infrastructure improvements; decreased oil and gas construction activities; a decline in acceptance of, and demand for, ag-irrigation solutions for agricultural production; availability of cash or credit for our customers to finance new product purchases; and customer and/or government budgetary constraints, resulting in reduced spending for grounds maintenance or construction equipment.</w:t>
      </w:r>
    </w:p>
    <w:p>
      <w:pPr>
        <w:spacing w:after="0" w:line="5" w:lineRule="exact"/>
        <w:rPr>
          <w:rFonts w:ascii="Arial" w:cs="Arial" w:eastAsia="Arial" w:hAnsi="Arial"/>
          <w:sz w:val="16"/>
          <w:szCs w:val="16"/>
          <w:color w:val="auto"/>
        </w:rPr>
      </w:pPr>
    </w:p>
    <w:p>
      <w:pPr>
        <w:jc w:val="both"/>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as well as develop and market new products, that respond to customer needs and preferences and achieve market acceptance, including by incorporating new, emerging, and/or disruptive technologies that may become preferred by our customers, we may experience a decrease in demand for our products, and our net sales, which have historically benefited from the introduction of new products, may be adversely affected.</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the cost of commodities, components, parts and accessories that we purchase and/or increases in other costs of doing business have, and could continue to, adversely affect our profit margins and businesses. 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Increased costs, including as a result of COVID-19 and/or inflation,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United States from China, or the inability of suppliers to continue operations or otherwise remain in business as a result of COVID-19, financial difficulties, or otherwise, have affected our profit margins, operating results and businesses and could continue to result in declines in our profit margins, operating results and businesses.</w:t>
      </w:r>
    </w:p>
    <w:p>
      <w:pPr>
        <w:spacing w:after="0" w:line="4" w:lineRule="exact"/>
        <w:rPr>
          <w:rFonts w:ascii="Arial" w:cs="Arial" w:eastAsia="Arial" w:hAnsi="Arial"/>
          <w:sz w:val="16"/>
          <w:szCs w:val="16"/>
          <w:color w:val="auto"/>
        </w:rPr>
      </w:pPr>
    </w:p>
    <w:p>
      <w:pPr>
        <w:ind w:left="620" w:hanging="307"/>
        <w:spacing w:after="0" w:line="267"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 and/or shortages in the availability of commodities, components, parts, or accessories used in our products has, and could continue to, adversely affect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left="62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disruption at any of our facilities or in our manufacturing or other operations, or those of our distribution channel customers or suppliers, or our inability to cost-effectively expand existing facilities, open and manage new or acquired facilities, and/or move production between manufacturing facilities could adversely affect our business and operating results.</w:t>
      </w: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underestimate and overestimate demand for our products and do not maintain appropriate inventory levels, our net sales and/or working capital could be negatively impacted. Our ability to manage our inventory levels to meet our customers' demand for our products is important for our business. Managing inventory levels in the current COVID-19 commercial environment is particularly difficult as a result of changes to production operations, locations and schedules as well as demand volatility and availability of supply of commodities, components, parts or accessories used in our products. Such manufacturing inefficiencies have resulted in unfavorable manufacturing variances that have negatively impacted our financial results. If such manufacturing inefficiencies continue,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4"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composition of, financial viability of, and/or the relationships with, our distribution channel customers could negatively impact our business and operating results.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and operating results are subject to the inventory management decisions of our distribution channel customers. Adjustments in the carrying amount of inventories by our distribution channel customers have impacted and may continue to impact our inventory management and working capital goals as well as operating results.</w:t>
      </w:r>
    </w:p>
    <w:p>
      <w:pPr>
        <w:spacing w:after="0" w:line="2"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Weather conditions, including conditions exacerbated by global climate changes, have previously impacted demand for some of our products and/or caused disruptions in our operations, including as a result of disruption in our supply chain, and may impact such items in the future which may adversely affect our net sales or otherwise adversely affect our operating results.</w:t>
      </w:r>
    </w:p>
    <w:p>
      <w:pPr>
        <w:spacing w:after="0" w:line="2"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foreign currency exchange rates have in the past affected our operating results and could continue to result in declines in our net sales and net earnings.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financial performance, including our profit margins and net earnings, have been impacted and will continue to be impacted depending on the mix of products we sell during a given period, as our Professional segment products generally have higher profit margins than our Residential segment products. Similarly, within each segment, lower sales of products that generally carry higher profit margins, have impacted our financial performance, including profit margins and net earnings, and such financial performance could continue to be negatively impacted.</w:t>
      </w:r>
    </w:p>
    <w:p>
      <w:pPr>
        <w:spacing w:after="0" w:line="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intend to grow our business in part through acquisitions and alliances, strong customer relations, and new joint ventures, investments, and partnerships, which could be risky and may harm our business, reputation, financial condition, and operating results.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July 30, 2021, we had goodwill of $422.0 million and other intangible assets of $426.5 million. These amounts are maintained in various reporting units and together comprise 28.6 percent of our total assets as of July 30, 2021. If we determine that our goodwill or other intangible assets have become impaired, we will be required to record a charge resulting from the impairment. Impairment charges could be significant and could adversely affect our results of operations and financial condition.</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successfully complete divestitures or other restructuring activities could negatively affect our operations.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jc w:val="both"/>
        <w:ind w:left="620" w:hanging="307"/>
        <w:spacing w:after="0" w:line="272"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United States from China, pandemics and/or epidemics, including COVID-19,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left="620" w:hanging="307"/>
        <w:spacing w:after="0" w:line="272"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disruption, including as a result of natural or man-made disasters, inclement weather, including as a result of climate change-related events, work slowdowns, strikes, pandemics and/or epidemics, including COVID-19, protests and/or social unrest, or other events, at or in proximity to any of our facilities or in our manufacturing or other operations, or those of our distribution channel customers, mass retailers or home centers where our products are sold, or suppliers, or our inability to cost-effectively expand existing facilities, open and manage new facilities, and/or move production between manufacturing facilities has and could continue to adversely affect our business and operating results.</w:t>
      </w:r>
    </w:p>
    <w:p>
      <w:pPr>
        <w:spacing w:after="0" w:line="3" w:lineRule="exact"/>
        <w:rPr>
          <w:rFonts w:ascii="Arial" w:cs="Arial" w:eastAsia="Arial" w:hAnsi="Arial"/>
          <w:sz w:val="16"/>
          <w:szCs w:val="16"/>
          <w:color w:val="auto"/>
        </w:rPr>
      </w:pPr>
    </w:p>
    <w:p>
      <w:pPr>
        <w:jc w:val="both"/>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labor needs, and those of our suppliers and distribution channel partners, fluctuate throughout the year and by region. During all periods presented in this Quarterly Report on Form 10-Q, such labor needs were negatively impacted by COVID-19 and such impact is expected to continue. Any failure by us, or our suppliers and/or distribution partners, to hire and/or retain a labor force, including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3"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labor force, and those of our suppliers and distribution channel partners, have been impacted by COVID-19 and such impact will likely continue, including as a result of global governmental, business and individual actions that have been, and continue to be, taken in response to COVID-19.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2" w:lineRule="exact"/>
        <w:rPr>
          <w:rFonts w:ascii="Arial" w:cs="Arial" w:eastAsia="Arial" w:hAnsi="Arial"/>
          <w:sz w:val="16"/>
          <w:szCs w:val="16"/>
          <w:color w:val="auto"/>
        </w:rPr>
      </w:pPr>
    </w:p>
    <w:p>
      <w:pPr>
        <w:jc w:val="both"/>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 phishing, denial of service attacks, power loss or other disruptive events, our business, reputation, financial condition, and operating results could be adversely affected.</w:t>
      </w:r>
    </w:p>
    <w:p>
      <w:pPr>
        <w:spacing w:after="0" w:line="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In addition, our products may infringe the valid proprietary rights of others.</w:t>
      </w:r>
    </w:p>
    <w:p>
      <w:pPr>
        <w:spacing w:after="0" w:line="1"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company, business, properties, and products are subject to laws, rules, policies, and regulations, with which compliance may require us to incur expenses or modify our products or operations and non-compliance may result in harm to our reputation and/or expose us to penalties. Laws, rules, policies, and regulations may also adversely affect the demand for some of our products and our operating results. In addition, changes in laws, rules, policies, and regulations in the U.S. or other countries in which we conduct business also may adversely affect our financial results, including as a result of: (1) adoption of laws and regulations to address COVID-19, (ii) taxation and tax policy changes, tax rate changes, new tax laws, new or revised tax law interpretations or guidance, including as a result of the Tax Act, (iii) changes to, or adoption of new, healthcare laws or regulations, or (iv) changes to U.S. or international policies or trade agreements or trade regulation and/or industry activity, including antidumping and countervailing duty petitions on certain products imported from foreign countries, including certain engines imported into the United States from China, that could result in additional duties or other charges on commodities, components, parts, or accessories we import.</w:t>
      </w:r>
    </w:p>
    <w:p>
      <w:pPr>
        <w:spacing w:after="0" w:line="4"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accounting or tax standards, policies, or assumptions in applying accounting or tax policies could adversely affect our financial statements, including our financial results and financial condition.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Climate change legislation, regulations, or accords may adversely impact our operations.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Legislative enactments could impact the competitive landscape within our markets and affect demand for our products.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subject to product quality issues, product liability claims, and other litigation from time to time that could adversely affect our business, reputation, operating results, or financial condition.</w:t>
      </w:r>
    </w:p>
    <w:p>
      <w:pPr>
        <w:spacing w:after="0" w:line="1" w:lineRule="exact"/>
        <w:rPr>
          <w:rFonts w:ascii="Arial" w:cs="Arial" w:eastAsia="Arial" w:hAnsi="Arial"/>
          <w:sz w:val="17"/>
          <w:szCs w:val="17"/>
          <w:color w:val="auto"/>
        </w:rPr>
      </w:pPr>
    </w:p>
    <w:p>
      <w:pPr>
        <w:ind w:left="620" w:hanging="307"/>
        <w:spacing w:after="0" w:line="287" w:lineRule="auto"/>
        <w:tabs>
          <w:tab w:leader="none" w:pos="6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jc w:val="both"/>
        <w:ind w:left="620" w:hanging="307"/>
        <w:spacing w:after="0" w:line="260"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dependent upon the availability of floor plan financing to provide competitive inventory financing programs to certain distributors and dealers of our products. Any material change in the availability or terms of credit offered to our customers by our floor plan arrangements, challenges or delays in transferring new distributors and dealers from any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1" w:lineRule="exact"/>
        <w:rPr>
          <w:sz w:val="20"/>
          <w:szCs w:val="20"/>
          <w:color w:val="auto"/>
        </w:rPr>
      </w:pPr>
    </w:p>
    <w:p>
      <w:pPr>
        <w:jc w:val="both"/>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3"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downgrade to our credit ratings could increase our cost of funding and/or adversely affect our access to capital markets or the availability of funding from a variety of lenders.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expected phase out of LIBOR could impact the interest rates paid on our variable rate indebtedness and cause our interest expense to increase.</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are expanding and renovating our corporate and other facilities and could experience disruptions to our operations in connection with such efforts.</w:t>
      </w:r>
    </w:p>
    <w:p>
      <w:pPr>
        <w:spacing w:after="0" w:line="2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Brexit and the uncertainty regarding its implementation and effect could disrupt our operations and adversely affect our operating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6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ITEM 3. QUANTITATIVE AND QUALITATIVE DISCLOSURES ABOUT MARKET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2020. Refer to Part II, Item 7A, "Quantitative and Qualitative Disclosures about Market Risk", within our Annual Report on Form 10-K for the fiscal year ended October 31, 2020 for a complete discussion of our market risk. Refer below for further discussion on foreign currency exchange rate risk, interest rate risk, and commodity cost risk.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17,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 in our Notes to Condensed Consolidated Financial Statements included in Item 1 of this Quarterly Report on Form 10-Q.</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foreign currency exchange contracts in the table below have maturity dates in fiscal 2021 through fiscal 2024. All items are non-trading and stated in U.S. dollars. As of July 30, 2021, the average contracted rate, notional amount, fair value, and the gain (loss) at fair value of outstanding derivative instruments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(Dollars in thousands, except average contracted rate)</w:t>
            </w:r>
          </w:p>
        </w:tc>
        <w:tc>
          <w:tcPr>
            <w:tcW w:w="22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auto"/>
                <w:w w:val="91"/>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300"/>
              <w:spacing w:after="0"/>
              <w:rPr>
                <w:sz w:val="20"/>
                <w:szCs w:val="20"/>
                <w:color w:val="auto"/>
              </w:rPr>
            </w:pPr>
            <w:r>
              <w:rPr>
                <w:rFonts w:ascii="Arial" w:cs="Arial" w:eastAsia="Arial" w:hAnsi="Arial"/>
                <w:sz w:val="16"/>
                <w:szCs w:val="16"/>
                <w:b w:val="1"/>
                <w:bCs w:val="1"/>
                <w:color w:val="auto"/>
              </w:rPr>
              <w:t>Fair Value</w:t>
            </w:r>
          </w:p>
        </w:tc>
        <w:tc>
          <w:tcPr>
            <w:tcW w:w="150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rPr>
              <w:t>Gain (Loss) at Fair</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Rate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0.7245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98,226</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96,362</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1.2918</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34,759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33,901</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1.1875</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133,575</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132,790</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British pound</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1.3402</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42,069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40,498</w:t>
            </w:r>
          </w:p>
        </w:tc>
        <w:tc>
          <w:tcPr>
            <w:tcW w:w="4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22.1157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22,262</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23,648</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interest rate risk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July 30, 2021 includes $424.0 million of gross fixed-rate long-term debt that is not subject to variable interest rate fluctuations and $270.0 million of gross LIBOR-based borrowings under our term loan credit agreements. As of July 30, 2021, we did not have an outstanding balance on our LIBOR-based revolving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Cost Risk</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duty petitions on certain products imported from foreign countries, including current petitions regarding certain engines imported into the U.S. from China.</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primary cost exposures for commodities, components, parts, and accessories are with steel, aluminum, petroleum and natural gas-based resins, copper, lead, rubber, linerboard, engines, transmissions, transaxles, hydraulics, electric motors, and others,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any given period, we strategically work to mitigate any potential unfavorable impact as a result of changes to the cost of commodities, components, parts, and accessories that affect our product lines. Historically, we have mitigated, and we currently expect that we would continue to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However, to the extent that commodity and component costs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nine months of fiscal 2021, the average cost of commodities,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components, parts, and accessories purchased, including the impact of inflation and tariff costs, was significantly higher compared to the first nine months of fiscal 2020. We anticipate that the average cost of commodities, components, parts, and accessories purchased, including the impact of inflation and tariff costs, for the remainder of fiscal 2021 will continue to be significantly higher than the average costs experienced during the comparable period of fiscal 2020.</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On March 2, 2020, during the second quarter of fiscal 2020, we completed the acquisition of Venture Products. Prior to this acquisition, Venture Products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Venture Products that we believe are appropriate and necessary to account for the acquisition and to consolidate and report our financial results. We expect to complete our integration activities related to internal control over financial reporting for Venture Products during fiscal 2021. Accordingly, we expect to include Venture Products within our assessment of internal control over financial reporting as of October 31, 2021.</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the exception of internal control related integration activities associated with the company's acquisition of Venture Products, there was no change in our internal control over financial reporting that occurred during the three month period ended July 30, 2021 that has materially affected, or is reasonably likely to materially affect, our internal control over financial reporting.</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LEGAL PROCEEDINGS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see Note 15, </w:t>
      </w:r>
      <w:r>
        <w:rPr>
          <w:rFonts w:ascii="Arial" w:cs="Arial" w:eastAsia="Arial" w:hAnsi="Arial"/>
          <w:sz w:val="16"/>
          <w:szCs w:val="16"/>
          <w:i w:val="1"/>
          <w:iCs w:val="1"/>
          <w:color w:val="auto"/>
        </w:rPr>
        <w:t>Contingencies</w:t>
      </w:r>
      <w:r>
        <w:rPr>
          <w:rFonts w:ascii="Arial" w:cs="Arial" w:eastAsia="Arial" w:hAnsi="Arial"/>
          <w:sz w:val="16"/>
          <w:szCs w:val="16"/>
          <w:color w:val="auto"/>
        </w:rPr>
        <w:t>, in our Notes to Condensed Consolidated Financial Statements under the headings titled "Litigation" and "Litigation Settlement" included in Item 1</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Quarterly Report on Form 10-Q, which is incorporated into this Part II. Item 1 by reference.</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ITEM 1A. RISK FACTORS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information with respect to shares of the company's common stock purchased by the company during each of the three fiscal months in the company's third quarter ended July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tcBorders>
              <w:top w:val="single" w:sz="8" w:color="auto"/>
            </w:tcBorders>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Maximum Number of</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w w:val="85"/>
              </w:rPr>
              <w:t>Average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720" w:type="dxa"/>
            <w:vAlign w:val="bottom"/>
            <w:vMerge w:val="restart"/>
          </w:tcPr>
          <w:p>
            <w:pPr>
              <w:jc w:val="center"/>
              <w:ind w:left="1140"/>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6"/>
              </w:rPr>
              <w:t>Purchased As</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Shares (or Units) that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27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Price Paid</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Part of Publicly</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5"/>
        </w:trPr>
        <w:tc>
          <w:tcPr>
            <w:tcW w:w="3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720" w:type="dxa"/>
            <w:vAlign w:val="bottom"/>
          </w:tcPr>
          <w:p>
            <w:pPr>
              <w:jc w:val="center"/>
              <w:ind w:left="1140"/>
              <w:spacing w:after="0" w:line="155" w:lineRule="exact"/>
              <w:rPr>
                <w:sz w:val="20"/>
                <w:szCs w:val="20"/>
                <w:color w:val="auto"/>
              </w:rPr>
            </w:pPr>
            <w:r>
              <w:rPr>
                <w:rFonts w:ascii="Arial" w:cs="Arial" w:eastAsia="Arial" w:hAnsi="Arial"/>
                <w:sz w:val="16"/>
                <w:szCs w:val="16"/>
                <w:b w:val="1"/>
                <w:bCs w:val="1"/>
                <w:color w:val="auto"/>
                <w:w w:val="88"/>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89"/>
              </w:rPr>
              <w:t>per Share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auto"/>
            </w:tcBorders>
            <w:vMerge w:val="continue"/>
          </w:tcPr>
          <w:p>
            <w:pPr>
              <w:spacing w:after="0"/>
              <w:rPr>
                <w:sz w:val="17"/>
                <w:szCs w:val="17"/>
                <w:color w:val="auto"/>
              </w:rPr>
            </w:pPr>
          </w:p>
        </w:tc>
        <w:tc>
          <w:tcPr>
            <w:tcW w:w="2720" w:type="dxa"/>
            <w:vAlign w:val="bottom"/>
            <w:tcBorders>
              <w:bottom w:val="single" w:sz="8" w:color="auto"/>
            </w:tcBorders>
          </w:tcPr>
          <w:p>
            <w:pPr>
              <w:jc w:val="center"/>
              <w:ind w:left="1160"/>
              <w:spacing w:after="0" w:line="207" w:lineRule="exact"/>
              <w:rPr>
                <w:sz w:val="20"/>
                <w:szCs w:val="20"/>
                <w:color w:val="auto"/>
              </w:rPr>
            </w:pPr>
            <w:r>
              <w:rPr>
                <w:rFonts w:ascii="Arial" w:cs="Arial" w:eastAsia="Arial" w:hAnsi="Arial"/>
                <w:sz w:val="16"/>
                <w:szCs w:val="16"/>
                <w:b w:val="1"/>
                <w:bCs w:val="1"/>
                <w:color w:val="auto"/>
                <w:w w:val="83"/>
              </w:rPr>
              <w:t>Purchased</w:t>
            </w:r>
            <w:r>
              <w:rPr>
                <w:rFonts w:ascii="Arial" w:cs="Arial" w:eastAsia="Arial" w:hAnsi="Arial"/>
                <w:sz w:val="20"/>
                <w:szCs w:val="20"/>
                <w:b w:val="1"/>
                <w:bCs w:val="1"/>
                <w:color w:val="auto"/>
                <w:w w:val="83"/>
                <w:vertAlign w:val="superscript"/>
              </w:rPr>
              <w:t>1,2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3"/>
              </w:rPr>
              <w:t>(or Unit)</w:t>
            </w:r>
          </w:p>
        </w:tc>
        <w:tc>
          <w:tcPr>
            <w:tcW w:w="18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180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0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 2021 through June 4, 2021</w:t>
            </w:r>
          </w:p>
        </w:tc>
        <w:tc>
          <w:tcPr>
            <w:tcW w:w="27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5,968,761</w:t>
            </w:r>
          </w:p>
        </w:tc>
        <w:tc>
          <w:tcPr>
            <w:tcW w:w="0" w:type="dxa"/>
            <w:vAlign w:val="bottom"/>
          </w:tcPr>
          <w:p>
            <w:pPr>
              <w:spacing w:after="0"/>
              <w:rPr>
                <w:sz w:val="1"/>
                <w:szCs w:val="1"/>
                <w:color w:val="auto"/>
              </w:rPr>
            </w:pPr>
          </w:p>
        </w:tc>
      </w:tr>
      <w:tr>
        <w:trPr>
          <w:trHeight w:val="205"/>
        </w:trPr>
        <w:tc>
          <w:tcPr>
            <w:tcW w:w="3620" w:type="dxa"/>
            <w:vAlign w:val="bottom"/>
          </w:tcPr>
          <w:p>
            <w:pPr>
              <w:ind w:left="20"/>
              <w:spacing w:after="0"/>
              <w:rPr>
                <w:sz w:val="20"/>
                <w:szCs w:val="20"/>
                <w:color w:val="auto"/>
              </w:rPr>
            </w:pPr>
            <w:r>
              <w:rPr>
                <w:rFonts w:ascii="Arial" w:cs="Arial" w:eastAsia="Arial" w:hAnsi="Arial"/>
                <w:sz w:val="16"/>
                <w:szCs w:val="16"/>
                <w:color w:val="auto"/>
              </w:rPr>
              <w:t>June 5, 2021 through July 2, 2021</w:t>
            </w:r>
          </w:p>
        </w:tc>
        <w:tc>
          <w:tcPr>
            <w:tcW w:w="2720" w:type="dxa"/>
            <w:vAlign w:val="bottom"/>
          </w:tcPr>
          <w:p>
            <w:pPr>
              <w:jc w:val="right"/>
              <w:ind w:right="20"/>
              <w:spacing w:after="0"/>
              <w:rPr>
                <w:sz w:val="20"/>
                <w:szCs w:val="20"/>
                <w:color w:val="auto"/>
              </w:rPr>
            </w:pPr>
            <w:r>
              <w:rPr>
                <w:rFonts w:ascii="Arial" w:cs="Arial" w:eastAsia="Arial" w:hAnsi="Arial"/>
                <w:sz w:val="16"/>
                <w:szCs w:val="16"/>
                <w:color w:val="auto"/>
              </w:rPr>
              <w:t>659,982</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106.06</w:t>
            </w:r>
          </w:p>
        </w:tc>
        <w:tc>
          <w:tcPr>
            <w:tcW w:w="1860" w:type="dxa"/>
            <w:vAlign w:val="bottom"/>
          </w:tcPr>
          <w:p>
            <w:pPr>
              <w:jc w:val="right"/>
              <w:ind w:right="60"/>
              <w:spacing w:after="0"/>
              <w:rPr>
                <w:sz w:val="20"/>
                <w:szCs w:val="20"/>
                <w:color w:val="auto"/>
              </w:rPr>
            </w:pPr>
            <w:r>
              <w:rPr>
                <w:rFonts w:ascii="Arial" w:cs="Arial" w:eastAsia="Arial" w:hAnsi="Arial"/>
                <w:sz w:val="16"/>
                <w:szCs w:val="16"/>
                <w:color w:val="auto"/>
              </w:rPr>
              <w:t>659,982</w:t>
            </w:r>
          </w:p>
        </w:tc>
        <w:tc>
          <w:tcPr>
            <w:tcW w:w="1800" w:type="dxa"/>
            <w:vAlign w:val="bottom"/>
          </w:tcPr>
          <w:p>
            <w:pPr>
              <w:jc w:val="right"/>
              <w:spacing w:after="0"/>
              <w:rPr>
                <w:sz w:val="20"/>
                <w:szCs w:val="20"/>
                <w:color w:val="auto"/>
              </w:rPr>
            </w:pPr>
            <w:r>
              <w:rPr>
                <w:rFonts w:ascii="Arial" w:cs="Arial" w:eastAsia="Arial" w:hAnsi="Arial"/>
                <w:sz w:val="16"/>
                <w:szCs w:val="16"/>
                <w:color w:val="auto"/>
              </w:rPr>
              <w:t>5,308,779</w:t>
            </w:r>
          </w:p>
        </w:tc>
        <w:tc>
          <w:tcPr>
            <w:tcW w:w="0" w:type="dxa"/>
            <w:vAlign w:val="bottom"/>
          </w:tcPr>
          <w:p>
            <w:pPr>
              <w:spacing w:after="0"/>
              <w:rPr>
                <w:sz w:val="1"/>
                <w:szCs w:val="1"/>
                <w:color w:val="auto"/>
              </w:rPr>
            </w:pPr>
          </w:p>
        </w:tc>
      </w:tr>
      <w:tr>
        <w:trPr>
          <w:trHeight w:val="207"/>
        </w:trPr>
        <w:tc>
          <w:tcPr>
            <w:tcW w:w="3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July 3, 2021 through July 30, 2021</w:t>
            </w:r>
          </w:p>
        </w:tc>
        <w:tc>
          <w:tcPr>
            <w:tcW w:w="2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836</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111.06</w:t>
            </w: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5,308,779</w:t>
            </w:r>
          </w:p>
        </w:tc>
        <w:tc>
          <w:tcPr>
            <w:tcW w:w="0" w:type="dxa"/>
            <w:vAlign w:val="bottom"/>
          </w:tcPr>
          <w:p>
            <w:pPr>
              <w:spacing w:after="0"/>
              <w:rPr>
                <w:sz w:val="1"/>
                <w:szCs w:val="1"/>
                <w:color w:val="auto"/>
              </w:rPr>
            </w:pPr>
          </w:p>
        </w:tc>
      </w:tr>
      <w:tr>
        <w:trPr>
          <w:trHeight w:val="20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660,818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106.07</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659,982</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160" w:hanging="157"/>
        <w:spacing w:after="0" w:line="226" w:lineRule="auto"/>
        <w:tabs>
          <w:tab w:leader="none" w:pos="148"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The company repurchased 659,982 shares under this authorized stock repurchase program during the period indicated above and 5,308,779 shares remained available to repurchase under this authorized stock repurchase program as of July 30, 2021.</w:t>
      </w:r>
    </w:p>
    <w:p>
      <w:pPr>
        <w:spacing w:after="0" w:line="88" w:lineRule="exact"/>
        <w:rPr>
          <w:sz w:val="20"/>
          <w:szCs w:val="20"/>
          <w:color w:val="auto"/>
        </w:rPr>
      </w:pPr>
    </w:p>
    <w:p>
      <w:pPr>
        <w:jc w:val="both"/>
        <w:ind w:left="160" w:hanging="157"/>
        <w:spacing w:after="0" w:line="222" w:lineRule="auto"/>
        <w:tabs>
          <w:tab w:leader="none" w:pos="212" w:val="left"/>
        </w:tabs>
        <w:numPr>
          <w:ilvl w:val="0"/>
          <w:numId w:val="22"/>
        </w:numPr>
        <w:rPr>
          <w:rFonts w:ascii="Arial" w:cs="Arial" w:eastAsia="Arial" w:hAnsi="Arial"/>
          <w:sz w:val="19"/>
          <w:szCs w:val="19"/>
          <w:color w:val="auto"/>
          <w:vertAlign w:val="superscript"/>
        </w:rPr>
      </w:pPr>
      <w:r>
        <w:rPr>
          <w:rFonts w:ascii="Arial" w:cs="Arial" w:eastAsia="Arial" w:hAnsi="Arial"/>
          <w:sz w:val="15"/>
          <w:szCs w:val="15"/>
          <w:color w:val="auto"/>
        </w:rPr>
        <w:t>Includes 836 shares of the company’s common stock purchased in open-market transactions at an average price of $111.06 per share on behalf of a rabbi trust formed to pay benefit obligations of the company to participants in the company's deferred compensation plans. These 836 shares were not repurchased under the company’s authorized stock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ITEM 6. EXHIBITS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0" w:type="dxa"/>
            <w:vAlign w:val="bottom"/>
          </w:tcPr>
          <w:p>
            <w:pPr>
              <w:spacing w:after="0"/>
              <w:rPr>
                <w:sz w:val="20"/>
                <w:szCs w:val="20"/>
                <w:color w:val="auto"/>
              </w:rPr>
            </w:pPr>
            <w:r>
              <w:rPr>
                <w:rFonts w:ascii="Arial" w:cs="Arial" w:eastAsia="Arial" w:hAnsi="Arial"/>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 No.</w:t>
            </w:r>
          </w:p>
        </w:tc>
        <w:tc>
          <w:tcPr>
            <w:tcW w:w="3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420" w:type="dxa"/>
            <w:vAlign w:val="bottom"/>
            <w:tcBorders>
              <w:top w:val="single" w:sz="8" w:color="auto"/>
              <w:bottom w:val="single" w:sz="8" w:color="auto"/>
            </w:tcBorders>
            <w:gridSpan w:val="16"/>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2.1</w:t>
            </w:r>
          </w:p>
        </w:tc>
        <w:tc>
          <w:tcPr>
            <w:tcW w:w="9760" w:type="dxa"/>
            <w:vAlign w:val="bottom"/>
            <w:gridSpan w:val="21"/>
          </w:tcPr>
          <w:p>
            <w:pPr>
              <w:spacing w:after="0" w:line="161"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Agreement and Plan of Merger dated as of February 14, 2019, by and among The Toro Company, The Charles Machine Works, Inc., Helix</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bottom w:val="single" w:sz="8" w:color="0000FF"/>
            </w:tcBorders>
            <w:gridSpan w:val="16"/>
          </w:tcPr>
          <w:p>
            <w:pPr>
              <w:spacing w:after="0" w:line="135" w:lineRule="exact"/>
              <w:rPr>
                <w:rFonts w:ascii="Arial" w:cs="Arial" w:eastAsia="Arial" w:hAnsi="Arial"/>
                <w:sz w:val="15"/>
                <w:szCs w:val="15"/>
                <w:color w:val="0000FF"/>
              </w:rPr>
            </w:pPr>
            <w:hyperlink r:id="rId60">
              <w:r>
                <w:rPr>
                  <w:rFonts w:ascii="Arial" w:cs="Arial" w:eastAsia="Arial" w:hAnsi="Arial"/>
                  <w:sz w:val="15"/>
                  <w:szCs w:val="15"/>
                  <w:color w:val="0000FF"/>
                </w:rPr>
                <w:t>Company, Inc., and Agent 186 LLC as Shareholders’ Agent (incorporated by reference to Exhibit 2.1 to Registrant’s Current Report on Form 8-K</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700" w:type="dxa"/>
            <w:vAlign w:val="bottom"/>
            <w:tcBorders>
              <w:bottom w:val="single" w:sz="8" w:color="0000FF"/>
            </w:tcBorders>
            <w:gridSpan w:val="4"/>
          </w:tcPr>
          <w:p>
            <w:pPr>
              <w:spacing w:after="0" w:line="135" w:lineRule="exact"/>
              <w:rPr>
                <w:rFonts w:ascii="Arial" w:cs="Arial" w:eastAsia="Arial" w:hAnsi="Arial"/>
                <w:sz w:val="15"/>
                <w:szCs w:val="15"/>
                <w:color w:val="0000FF"/>
                <w:w w:val="99"/>
              </w:rPr>
            </w:pPr>
            <w:hyperlink r:id="rId60">
              <w:r>
                <w:rPr>
                  <w:rFonts w:ascii="Arial" w:cs="Arial" w:eastAsia="Arial" w:hAnsi="Arial"/>
                  <w:sz w:val="15"/>
                  <w:szCs w:val="15"/>
                  <w:color w:val="0000FF"/>
                  <w:w w:val="99"/>
                </w:rPr>
                <w:t>dated February 14, 2019, Commission File No. 1-8649).</w:t>
              </w:r>
            </w:hyperlink>
          </w:p>
        </w:tc>
        <w:tc>
          <w:tcPr>
            <w:tcW w:w="6040" w:type="dxa"/>
            <w:vAlign w:val="bottom"/>
            <w:gridSpan w:val="1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 and 4.1</w:t>
            </w:r>
          </w:p>
        </w:tc>
        <w:tc>
          <w:tcPr>
            <w:tcW w:w="9760" w:type="dxa"/>
            <w:vAlign w:val="bottom"/>
            <w:gridSpan w:val="21"/>
          </w:tcPr>
          <w:p>
            <w:pPr>
              <w:spacing w:after="0"/>
              <w:rPr>
                <w:rFonts w:ascii="Arial" w:cs="Arial" w:eastAsia="Arial" w:hAnsi="Arial"/>
                <w:sz w:val="16"/>
                <w:szCs w:val="16"/>
                <w:color w:val="0000FF"/>
                <w:w w:val="95"/>
              </w:rPr>
            </w:pPr>
            <w:hyperlink r:id="rId61">
              <w:r>
                <w:rPr>
                  <w:rFonts w:ascii="Arial" w:cs="Arial" w:eastAsia="Arial" w:hAnsi="Arial"/>
                  <w:sz w:val="16"/>
                  <w:szCs w:val="16"/>
                  <w:color w:val="0000FF"/>
                  <w:w w:val="95"/>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20" w:type="dxa"/>
            <w:vAlign w:val="bottom"/>
            <w:tcBorders>
              <w:top w:val="single" w:sz="8" w:color="0000FF"/>
            </w:tcBorders>
            <w:gridSpan w:val="14"/>
          </w:tcPr>
          <w:p>
            <w:pPr>
              <w:spacing w:after="0" w:line="135" w:lineRule="exact"/>
              <w:rPr>
                <w:rFonts w:ascii="Arial" w:cs="Arial" w:eastAsia="Arial" w:hAnsi="Arial"/>
                <w:sz w:val="15"/>
                <w:szCs w:val="15"/>
                <w:color w:val="0000FF"/>
              </w:rPr>
            </w:pPr>
            <w:hyperlink r:id="rId61">
              <w:r>
                <w:rPr>
                  <w:rFonts w:ascii="Arial" w:cs="Arial" w:eastAsia="Arial" w:hAnsi="Arial"/>
                  <w:sz w:val="15"/>
                  <w:szCs w:val="15"/>
                  <w:color w:val="0000FF"/>
                </w:rPr>
                <w:t>dated June 17, 2008, Commission File No. 1-8649).</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3.2 and 4.2</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5"/>
              </w:rPr>
            </w:pPr>
            <w:hyperlink r:id="rId62">
              <w:r>
                <w:rPr>
                  <w:rFonts w:ascii="Arial" w:cs="Arial" w:eastAsia="Arial" w:hAnsi="Arial"/>
                  <w:sz w:val="16"/>
                  <w:szCs w:val="16"/>
                  <w:color w:val="0000FF"/>
                  <w:w w:val="95"/>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80" w:type="dxa"/>
            <w:vAlign w:val="bottom"/>
            <w:tcBorders>
              <w:top w:val="single" w:sz="8" w:color="0000FF"/>
            </w:tcBorders>
            <w:gridSpan w:val="17"/>
          </w:tcPr>
          <w:p>
            <w:pPr>
              <w:spacing w:after="0" w:line="135" w:lineRule="exact"/>
              <w:rPr>
                <w:rFonts w:ascii="Arial" w:cs="Arial" w:eastAsia="Arial" w:hAnsi="Arial"/>
                <w:sz w:val="15"/>
                <w:szCs w:val="15"/>
                <w:color w:val="0000FF"/>
              </w:rPr>
            </w:pPr>
            <w:hyperlink r:id="rId62">
              <w:r>
                <w:rPr>
                  <w:rFonts w:ascii="Arial" w:cs="Arial" w:eastAsia="Arial" w:hAnsi="Arial"/>
                  <w:sz w:val="15"/>
                  <w:szCs w:val="15"/>
                  <w:color w:val="0000FF"/>
                </w:rPr>
                <w:t>Current Report on Form 8-K dated March 12,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3.3 and 4.3</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9"/>
              </w:rPr>
            </w:pPr>
            <w:hyperlink r:id="rId63">
              <w:r>
                <w:rPr>
                  <w:rFonts w:ascii="Arial" w:cs="Arial" w:eastAsia="Arial" w:hAnsi="Arial"/>
                  <w:sz w:val="16"/>
                  <w:szCs w:val="16"/>
                  <w:color w:val="0000FF"/>
                  <w:w w:val="99"/>
                </w:rPr>
                <w:t>Amended and Restated Bylaws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w w:val="99"/>
              </w:rPr>
            </w:pPr>
            <w:hyperlink r:id="rId63">
              <w:r>
                <w:rPr>
                  <w:rFonts w:ascii="Arial" w:cs="Arial" w:eastAsia="Arial" w:hAnsi="Arial"/>
                  <w:sz w:val="15"/>
                  <w:szCs w:val="15"/>
                  <w:color w:val="0000FF"/>
                  <w:w w:val="99"/>
                </w:rPr>
                <w:t>dated July 19, 2016, Commission File No. 1-8649).</w:t>
              </w:r>
            </w:hyperlink>
          </w:p>
        </w:tc>
        <w:tc>
          <w:tcPr>
            <w:tcW w:w="614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4.4</w:t>
            </w:r>
          </w:p>
        </w:tc>
        <w:tc>
          <w:tcPr>
            <w:tcW w:w="9760" w:type="dxa"/>
            <w:vAlign w:val="bottom"/>
            <w:gridSpan w:val="21"/>
          </w:tcPr>
          <w:p>
            <w:pPr>
              <w:spacing w:after="0"/>
              <w:rPr>
                <w:sz w:val="20"/>
                <w:szCs w:val="20"/>
                <w:color w:val="auto"/>
              </w:rPr>
            </w:pPr>
            <w:r>
              <w:rPr>
                <w:rFonts w:ascii="Arial" w:cs="Arial" w:eastAsia="Arial" w:hAnsi="Arial"/>
                <w:sz w:val="16"/>
                <w:szCs w:val="16"/>
                <w:color w:val="auto"/>
                <w:w w:val="99"/>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Company’s 7.80% Debentures due June 15, 2027 (incorporated by reference to Exhibit 4(a) to Registrant’s Current Report on Form 8-K dated</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auto"/>
              </w:rPr>
              <w:t>June 24, 1997, Commission File No. 1-8649). (Filed on paper - hyperlink is not required pursuant to Rule 105 of Regulation S-T).</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4.5</w:t>
            </w:r>
          </w:p>
        </w:tc>
        <w:tc>
          <w:tcPr>
            <w:tcW w:w="9760" w:type="dxa"/>
            <w:vAlign w:val="bottom"/>
            <w:gridSpan w:val="21"/>
          </w:tcPr>
          <w:p>
            <w:pPr>
              <w:spacing w:after="0"/>
              <w:rPr>
                <w:rFonts w:ascii="Arial" w:cs="Arial" w:eastAsia="Arial" w:hAnsi="Arial"/>
                <w:sz w:val="16"/>
                <w:szCs w:val="16"/>
                <w:color w:val="0000FF"/>
                <w:w w:val="96"/>
              </w:rPr>
            </w:pPr>
            <w:hyperlink r:id="rId64">
              <w:r>
                <w:rPr>
                  <w:rFonts w:ascii="Arial" w:cs="Arial" w:eastAsia="Arial" w:hAnsi="Arial"/>
                  <w:sz w:val="16"/>
                  <w:szCs w:val="16"/>
                  <w:color w:val="0000FF"/>
                  <w:w w:val="96"/>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11"/>
          </w:tcPr>
          <w:p>
            <w:pPr>
              <w:spacing w:after="0" w:line="135" w:lineRule="exact"/>
              <w:rPr>
                <w:rFonts w:ascii="Arial" w:cs="Arial" w:eastAsia="Arial" w:hAnsi="Arial"/>
                <w:sz w:val="15"/>
                <w:szCs w:val="15"/>
                <w:color w:val="0000FF"/>
              </w:rPr>
            </w:pPr>
            <w:hyperlink r:id="rId64">
              <w:r>
                <w:rPr>
                  <w:rFonts w:ascii="Arial" w:cs="Arial" w:eastAsia="Arial" w:hAnsi="Arial"/>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0" w:type="dxa"/>
            <w:vAlign w:val="bottom"/>
            <w:gridSpan w:val="13"/>
          </w:tcPr>
          <w:p>
            <w:pPr>
              <w:spacing w:after="0" w:line="135" w:lineRule="exact"/>
              <w:rPr>
                <w:rFonts w:ascii="Arial" w:cs="Arial" w:eastAsia="Arial" w:hAnsi="Arial"/>
                <w:sz w:val="15"/>
                <w:szCs w:val="15"/>
                <w:color w:val="0000FF"/>
              </w:rPr>
            </w:pPr>
            <w:hyperlink r:id="rId64">
              <w:r>
                <w:rPr>
                  <w:rFonts w:ascii="Arial" w:cs="Arial" w:eastAsia="Arial" w:hAnsi="Arial"/>
                  <w:sz w:val="15"/>
                  <w:szCs w:val="15"/>
                  <w:color w:val="0000FF"/>
                </w:rPr>
                <w:t>filed with the Securities and Exchange Commission on April 23, 2007, Registration No. 333-142282).</w:t>
              </w:r>
            </w:hyperlink>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4.6</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9"/>
              </w:rPr>
            </w:pPr>
            <w:hyperlink r:id="rId65">
              <w:r>
                <w:rPr>
                  <w:rFonts w:ascii="Arial" w:cs="Arial" w:eastAsia="Arial" w:hAnsi="Arial"/>
                  <w:sz w:val="16"/>
                  <w:szCs w:val="16"/>
                  <w:color w:val="0000FF"/>
                  <w:w w:val="99"/>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18"/>
          </w:tcPr>
          <w:p>
            <w:pPr>
              <w:spacing w:after="0" w:line="135" w:lineRule="exact"/>
              <w:rPr>
                <w:rFonts w:ascii="Arial" w:cs="Arial" w:eastAsia="Arial" w:hAnsi="Arial"/>
                <w:sz w:val="15"/>
                <w:szCs w:val="15"/>
                <w:color w:val="0000FF"/>
              </w:rPr>
            </w:pPr>
            <w:hyperlink r:id="rId65">
              <w:r>
                <w:rPr>
                  <w:rFonts w:ascii="Arial" w:cs="Arial" w:eastAsia="Arial" w:hAnsi="Arial"/>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80" w:type="dxa"/>
            <w:vAlign w:val="bottom"/>
            <w:tcBorders>
              <w:top w:val="single" w:sz="8" w:color="0000FF"/>
            </w:tcBorders>
            <w:gridSpan w:val="12"/>
          </w:tcPr>
          <w:p>
            <w:pPr>
              <w:spacing w:after="0" w:line="135" w:lineRule="exact"/>
              <w:rPr>
                <w:rFonts w:ascii="Arial" w:cs="Arial" w:eastAsia="Arial" w:hAnsi="Arial"/>
                <w:sz w:val="15"/>
                <w:szCs w:val="15"/>
                <w:color w:val="0000FF"/>
              </w:rPr>
            </w:pPr>
            <w:hyperlink r:id="rId65">
              <w:r>
                <w:rPr>
                  <w:rFonts w:ascii="Arial" w:cs="Arial" w:eastAsia="Arial" w:hAnsi="Arial"/>
                  <w:sz w:val="15"/>
                  <w:szCs w:val="15"/>
                  <w:color w:val="0000FF"/>
                </w:rPr>
                <w:t>on Form 8-K dated April 23, 2007, Commission File No. 1-8649).</w:t>
              </w:r>
            </w:hyperlink>
          </w:p>
        </w:tc>
        <w:tc>
          <w:tcPr>
            <w:tcW w:w="6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4.7</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w w:val="95"/>
              </w:rPr>
            </w:pPr>
            <w:hyperlink r:id="rId66">
              <w:r>
                <w:rPr>
                  <w:rFonts w:ascii="Arial" w:cs="Arial" w:eastAsia="Arial" w:hAnsi="Arial"/>
                  <w:sz w:val="16"/>
                  <w:szCs w:val="16"/>
                  <w:color w:val="0000FF"/>
                  <w:w w:val="95"/>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20" w:type="dxa"/>
            <w:vAlign w:val="bottom"/>
            <w:tcBorders>
              <w:top w:val="single" w:sz="8" w:color="0000FF"/>
            </w:tcBorders>
            <w:gridSpan w:val="19"/>
          </w:tcPr>
          <w:p>
            <w:pPr>
              <w:spacing w:after="0" w:line="135" w:lineRule="exact"/>
              <w:rPr>
                <w:rFonts w:ascii="Arial" w:cs="Arial" w:eastAsia="Arial" w:hAnsi="Arial"/>
                <w:sz w:val="15"/>
                <w:szCs w:val="15"/>
                <w:color w:val="0000FF"/>
              </w:rPr>
            </w:pPr>
            <w:hyperlink r:id="rId66">
              <w:r>
                <w:rPr>
                  <w:rFonts w:ascii="Arial" w:cs="Arial" w:eastAsia="Arial" w:hAnsi="Arial"/>
                  <w:sz w:val="15"/>
                  <w:szCs w:val="15"/>
                  <w:color w:val="0000FF"/>
                </w:rPr>
                <w:t>dated April 23, 2007, Commission File No. 1-8649).</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31.1</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60" w:type="dxa"/>
            <w:vAlign w:val="bottom"/>
            <w:gridSpan w:val="21"/>
          </w:tcPr>
          <w:p>
            <w:pPr>
              <w:spacing w:after="0"/>
              <w:rPr>
                <w:rFonts w:ascii="Arial" w:cs="Arial" w:eastAsia="Arial" w:hAnsi="Arial"/>
                <w:sz w:val="16"/>
                <w:szCs w:val="16"/>
                <w:color w:val="0000FF"/>
              </w:rPr>
            </w:pPr>
            <w:hyperlink w:anchor="page51">
              <w:r>
                <w:rPr>
                  <w:rFonts w:ascii="Arial" w:cs="Arial" w:eastAsia="Arial" w:hAnsi="Arial"/>
                  <w:sz w:val="16"/>
                  <w:szCs w:val="16"/>
                  <w:color w:val="0000FF"/>
                </w:rPr>
                <w:t>Certification of Chief Executive Officer Pursuant to Rule 13a-14(a) (Section 302 of the Sarbanes-Oxley Act of 2002) (filed herewith).</w:t>
              </w:r>
            </w:hyperlink>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31.2</w:t>
            </w:r>
          </w:p>
        </w:tc>
        <w:tc>
          <w:tcPr>
            <w:tcW w:w="874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94"/>
              </w:rPr>
            </w:pPr>
            <w:hyperlink w:anchor="page52">
              <w:r>
                <w:rPr>
                  <w:rFonts w:ascii="Arial" w:cs="Arial" w:eastAsia="Arial" w:hAnsi="Arial"/>
                  <w:sz w:val="16"/>
                  <w:szCs w:val="16"/>
                  <w:color w:val="0000FF"/>
                  <w:w w:val="94"/>
                </w:rPr>
                <w:t>Certification of Chief Financial Officer Pursuant to Rule 13a-14(a) (Section 302 of the Sarbanes-Oxley Act of 2002) (filed herewith).</w:t>
              </w:r>
            </w:hyperlink>
          </w:p>
        </w:tc>
        <w:tc>
          <w:tcPr>
            <w:tcW w:w="40" w:type="dxa"/>
            <w:vAlign w:val="bottom"/>
            <w:tcBorders>
              <w:top w:val="single" w:sz="8" w:color="0000FF"/>
            </w:tcBorders>
          </w:tcPr>
          <w:p>
            <w:pPr>
              <w:spacing w:after="0"/>
              <w:rPr>
                <w:sz w:val="20"/>
                <w:szCs w:val="20"/>
                <w:color w:val="auto"/>
              </w:rPr>
            </w:pPr>
          </w:p>
        </w:tc>
        <w:tc>
          <w:tcPr>
            <w:tcW w:w="98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32</w:t>
            </w:r>
          </w:p>
        </w:tc>
        <w:tc>
          <w:tcPr>
            <w:tcW w:w="9760" w:type="dxa"/>
            <w:vAlign w:val="bottom"/>
            <w:gridSpan w:val="21"/>
          </w:tcPr>
          <w:p>
            <w:pPr>
              <w:spacing w:after="0"/>
              <w:rPr>
                <w:rFonts w:ascii="Arial" w:cs="Arial" w:eastAsia="Arial" w:hAnsi="Arial"/>
                <w:sz w:val="16"/>
                <w:szCs w:val="16"/>
                <w:color w:val="0000FF"/>
                <w:w w:val="97"/>
              </w:rPr>
            </w:pPr>
            <w:hyperlink w:anchor="page53">
              <w:r>
                <w:rPr>
                  <w:rFonts w:ascii="Arial" w:cs="Arial" w:eastAsia="Arial" w:hAnsi="Arial"/>
                  <w:sz w:val="16"/>
                  <w:szCs w:val="16"/>
                  <w:color w:val="0000FF"/>
                  <w:w w:val="97"/>
                </w:rPr>
                <w:t>Certification of Chief Executive Officer and Chief Financial Officer Pursuant to 18 U.S.C. Section 1350, as Adopted Pursuant to Section 906 of</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w w:val="99"/>
              </w:rPr>
            </w:pPr>
            <w:hyperlink w:anchor="page53">
              <w:r>
                <w:rPr>
                  <w:rFonts w:ascii="Arial" w:cs="Arial" w:eastAsia="Arial" w:hAnsi="Arial"/>
                  <w:sz w:val="15"/>
                  <w:szCs w:val="15"/>
                  <w:color w:val="0000FF"/>
                  <w:w w:val="99"/>
                </w:rPr>
                <w:t>the Sarbanes-Oxley Act of 2002 (furnished herewith).</w:t>
              </w:r>
            </w:hyperlink>
          </w:p>
        </w:tc>
        <w:tc>
          <w:tcPr>
            <w:tcW w:w="6100" w:type="dxa"/>
            <w:vAlign w:val="bottom"/>
            <w:tcBorders>
              <w:top w:val="single" w:sz="8" w:color="0000FF"/>
            </w:tcBorders>
            <w:gridSpan w:val="12"/>
          </w:tcPr>
          <w:p>
            <w:pPr>
              <w:spacing w:after="0"/>
              <w:rPr>
                <w:sz w:val="11"/>
                <w:szCs w:val="11"/>
                <w:color w:val="auto"/>
              </w:rPr>
            </w:pPr>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101</w:t>
            </w:r>
          </w:p>
        </w:tc>
        <w:tc>
          <w:tcPr>
            <w:tcW w:w="9760" w:type="dxa"/>
            <w:vAlign w:val="bottom"/>
            <w:gridSpan w:val="21"/>
          </w:tcPr>
          <w:p>
            <w:pPr>
              <w:spacing w:after="0"/>
              <w:rPr>
                <w:sz w:val="20"/>
                <w:szCs w:val="20"/>
                <w:color w:val="auto"/>
              </w:rPr>
            </w:pPr>
            <w:r>
              <w:rPr>
                <w:rFonts w:ascii="Arial" w:cs="Arial" w:eastAsia="Arial" w:hAnsi="Arial"/>
                <w:sz w:val="16"/>
                <w:szCs w:val="16"/>
                <w:color w:val="auto"/>
                <w:w w:val="99"/>
              </w:rPr>
              <w:t>The following financial information from The Toro Company’s Quarterly Report on Form 10-Q for the quarterly period ended July 30, 2021,</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rPr>
              <w:t>filed with the SEC on September 2, 2021, formatted in Inline eXtensible Business Reporting Language (Inline XBRL): (i) Condensed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5"/>
              </w:rPr>
              <w:t>Consolidated Statements of Earnings for the three and nine month periods ended July 30, 2021 and July 31, 2020, (ii) Condensed Consolidated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4"/>
              </w:rPr>
              <w:t>Statements of Comprehensive Income for the three and nine month periods ended July 30, 2021 and July 31, 2020, (iii) Condensed Consolidated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Balance Sheets as of July 30, 2021, July 31, 2020, and October 31, 2020, (iv) Condensed Consolidated Statement of Cash Flows for the nine</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60" w:type="dxa"/>
            <w:vAlign w:val="bottom"/>
            <w:gridSpan w:val="21"/>
          </w:tcPr>
          <w:p>
            <w:pPr>
              <w:spacing w:after="0" w:line="155" w:lineRule="exact"/>
              <w:rPr>
                <w:sz w:val="20"/>
                <w:szCs w:val="20"/>
                <w:color w:val="auto"/>
              </w:rPr>
            </w:pPr>
            <w:r>
              <w:rPr>
                <w:rFonts w:ascii="Arial" w:cs="Arial" w:eastAsia="Arial" w:hAnsi="Arial"/>
                <w:sz w:val="16"/>
                <w:szCs w:val="16"/>
                <w:color w:val="auto"/>
                <w:w w:val="97"/>
              </w:rPr>
              <w:t>month periods ended July 30, 2021 and July 31, 2020, (v) Condensed Consolidated Statements of Stockholders' Equity for the three and nine</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60" w:type="dxa"/>
            <w:vAlign w:val="bottom"/>
            <w:gridSpan w:val="21"/>
          </w:tcPr>
          <w:p>
            <w:pPr>
              <w:spacing w:after="0"/>
              <w:rPr>
                <w:sz w:val="20"/>
                <w:szCs w:val="20"/>
                <w:color w:val="auto"/>
              </w:rPr>
            </w:pPr>
            <w:r>
              <w:rPr>
                <w:rFonts w:ascii="Arial" w:cs="Arial" w:eastAsia="Arial" w:hAnsi="Arial"/>
                <w:sz w:val="16"/>
                <w:szCs w:val="16"/>
                <w:color w:val="auto"/>
              </w:rPr>
              <w:t>month periods ended July 30, 2021 and July 31, 2020, and (vi) Notes to Condensed Consolidated Financial Statements (filed herewith).</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104</w:t>
            </w:r>
          </w:p>
        </w:tc>
        <w:tc>
          <w:tcPr>
            <w:tcW w:w="9760" w:type="dxa"/>
            <w:vAlign w:val="bottom"/>
            <w:gridSpan w:val="21"/>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8000" w:type="dxa"/>
            <w:vAlign w:val="bottom"/>
            <w:gridSpan w:val="2"/>
          </w:tcPr>
          <w:p>
            <w:pPr>
              <w:jc w:val="center"/>
              <w:ind w:right="3134"/>
              <w:spacing w:after="0"/>
              <w:rPr>
                <w:sz w:val="20"/>
                <w:szCs w:val="20"/>
                <w:color w:val="auto"/>
              </w:rPr>
            </w:pPr>
            <w:r>
              <w:rPr>
                <w:rFonts w:ascii="Arial" w:cs="Arial" w:eastAsia="Arial" w:hAnsi="Arial"/>
                <w:sz w:val="17"/>
                <w:szCs w:val="17"/>
                <w:color w:val="auto"/>
                <w:w w:val="97"/>
              </w:rPr>
              <w:t>THE TORO COMPANY</w:t>
            </w:r>
          </w:p>
        </w:tc>
      </w:tr>
      <w:tr>
        <w:trPr>
          <w:trHeight w:val="219"/>
        </w:trPr>
        <w:tc>
          <w:tcPr>
            <w:tcW w:w="3220" w:type="dxa"/>
            <w:vAlign w:val="bottom"/>
          </w:tcPr>
          <w:p>
            <w:pPr>
              <w:spacing w:after="0"/>
              <w:rPr>
                <w:sz w:val="19"/>
                <w:szCs w:val="19"/>
                <w:color w:val="auto"/>
              </w:rPr>
            </w:pPr>
          </w:p>
        </w:tc>
        <w:tc>
          <w:tcPr>
            <w:tcW w:w="8000" w:type="dxa"/>
            <w:vAlign w:val="bottom"/>
            <w:gridSpan w:val="2"/>
          </w:tcPr>
          <w:p>
            <w:pPr>
              <w:jc w:val="center"/>
              <w:ind w:right="3134"/>
              <w:spacing w:after="0"/>
              <w:rPr>
                <w:sz w:val="20"/>
                <w:szCs w:val="20"/>
                <w:color w:val="auto"/>
              </w:rPr>
            </w:pPr>
            <w:r>
              <w:rPr>
                <w:rFonts w:ascii="Arial" w:cs="Arial" w:eastAsia="Arial" w:hAnsi="Arial"/>
                <w:sz w:val="17"/>
                <w:szCs w:val="17"/>
                <w:color w:val="auto"/>
                <w:w w:val="92"/>
              </w:rPr>
              <w:t>(Registrant)</w:t>
            </w:r>
          </w:p>
        </w:tc>
      </w:tr>
      <w:tr>
        <w:trPr>
          <w:trHeight w:val="400"/>
        </w:trPr>
        <w:tc>
          <w:tcPr>
            <w:tcW w:w="3220" w:type="dxa"/>
            <w:vAlign w:val="bottom"/>
          </w:tcPr>
          <w:p>
            <w:pPr>
              <w:spacing w:after="0"/>
              <w:rPr>
                <w:sz w:val="20"/>
                <w:szCs w:val="20"/>
                <w:color w:val="auto"/>
              </w:rPr>
            </w:pPr>
            <w:r>
              <w:rPr>
                <w:rFonts w:ascii="Arial" w:cs="Arial" w:eastAsia="Arial" w:hAnsi="Arial"/>
                <w:sz w:val="17"/>
                <w:szCs w:val="17"/>
                <w:color w:val="auto"/>
              </w:rPr>
              <w:t>Date: September 2, 2021</w:t>
            </w:r>
          </w:p>
        </w:tc>
        <w:tc>
          <w:tcPr>
            <w:tcW w:w="8000" w:type="dxa"/>
            <w:vAlign w:val="bottom"/>
            <w:gridSpan w:val="2"/>
          </w:tcPr>
          <w:p>
            <w:pPr>
              <w:ind w:left="2340"/>
              <w:spacing w:after="0"/>
              <w:rPr>
                <w:sz w:val="20"/>
                <w:szCs w:val="20"/>
                <w:color w:val="auto"/>
              </w:rPr>
            </w:pPr>
            <w:r>
              <w:rPr>
                <w:rFonts w:ascii="Arial" w:cs="Arial" w:eastAsia="Arial" w:hAnsi="Arial"/>
                <w:sz w:val="17"/>
                <w:szCs w:val="17"/>
                <w:color w:val="auto"/>
              </w:rPr>
              <w:t>By:   /s/ Renee J. Peterson</w:t>
            </w:r>
          </w:p>
        </w:tc>
      </w:tr>
      <w:tr>
        <w:trPr>
          <w:trHeight w:val="213"/>
        </w:trPr>
        <w:tc>
          <w:tcPr>
            <w:tcW w:w="32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Renee J. Peterson</w:t>
            </w:r>
          </w:p>
        </w:tc>
      </w:tr>
      <w:tr>
        <w:trPr>
          <w:trHeight w:val="220"/>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Vice President, Chief Financial Officer</w:t>
            </w:r>
          </w:p>
        </w:tc>
      </w:tr>
      <w:tr>
        <w:trPr>
          <w:trHeight w:val="168"/>
        </w:trPr>
        <w:tc>
          <w:tcPr>
            <w:tcW w:w="3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160" w:type="dxa"/>
            <w:vAlign w:val="bottom"/>
          </w:tcPr>
          <w:p>
            <w:pPr>
              <w:ind w:left="20"/>
              <w:spacing w:after="0" w:line="168" w:lineRule="exact"/>
              <w:rPr>
                <w:sz w:val="20"/>
                <w:szCs w:val="20"/>
                <w:color w:val="auto"/>
              </w:rPr>
            </w:pPr>
            <w:r>
              <w:rPr>
                <w:rFonts w:ascii="Arial" w:cs="Arial" w:eastAsia="Arial" w:hAnsi="Arial"/>
                <w:sz w:val="17"/>
                <w:szCs w:val="17"/>
                <w:color w:val="auto"/>
              </w:rPr>
              <w:t>(duly authorized officer, principal financial officer, and principal</w:t>
            </w:r>
          </w:p>
        </w:tc>
      </w:tr>
      <w:tr>
        <w:trPr>
          <w:trHeight w:val="219"/>
        </w:trPr>
        <w:tc>
          <w:tcPr>
            <w:tcW w:w="32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17"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 2021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43"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2, 2021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July 30, 2021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77"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September 2, 2021</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September 2, 2021</w:t>
      </w:r>
    </w:p>
    <w:p>
      <w:pPr>
        <w:spacing w:after="0" w:line="200" w:lineRule="exact"/>
        <w:rPr>
          <w:sz w:val="20"/>
          <w:szCs w:val="20"/>
          <w:color w:val="auto"/>
        </w:rPr>
      </w:pP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bullet"/>
      <w:start w:val="1"/>
    </w:lvl>
  </w:abstractNum>
  <w:abstractNum w:abstractNumId="3">
    <w:nsid w:val="7FDCC233"/>
    <w:multiLevelType w:val="hybridMultilevel"/>
    <w:lvl w:ilvl="0">
      <w:lvlJc w:val="left"/>
      <w:lvlText w:val="2"/>
      <w:numFmt w:val="bullet"/>
      <w:start w:val="1"/>
    </w:lvl>
  </w:abstractNum>
  <w:abstractNum w:abstractNumId="4">
    <w:nsid w:val="1BEFD79F"/>
    <w:multiLevelType w:val="hybridMultilevel"/>
    <w:lvl w:ilvl="0">
      <w:lvlJc w:val="left"/>
      <w:lvlText w:val="3"/>
      <w:numFmt w:val="bullet"/>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5"/>
      <w:numFmt w:val="bullet"/>
      <w:start w:val="1"/>
    </w:lvl>
  </w:abstractNum>
  <w:abstractNum w:abstractNumId="7">
    <w:nsid w:val="4E6AFB66"/>
    <w:multiLevelType w:val="hybridMultilevel"/>
    <w:lvl w:ilvl="0">
      <w:lvlJc w:val="left"/>
      <w:lvlText w:val="7"/>
      <w:numFmt w:val="bullet"/>
      <w:start w:val="1"/>
    </w:lvl>
  </w:abstractNum>
  <w:abstractNum w:abstractNumId="8">
    <w:nsid w:val="25E45D32"/>
    <w:multiLevelType w:val="hybridMultilevel"/>
    <w:lvl w:ilvl="0">
      <w:lvlJc w:val="left"/>
      <w:lvlText w:val="8"/>
      <w:numFmt w:val="bullet"/>
      <w:start w:val="1"/>
    </w:lvl>
  </w:abstractNum>
  <w:abstractNum w:abstractNumId="9">
    <w:nsid w:val="519B500D"/>
    <w:multiLevelType w:val="hybridMultilevel"/>
    <w:lvl w:ilvl="0">
      <w:lvlJc w:val="left"/>
      <w:lvlText w:val="9"/>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bullet"/>
      <w:start w:val="1"/>
    </w:lvl>
  </w:abstractNum>
  <w:abstractNum w:abstractNumId="12">
    <w:nsid w:val="7C83E458"/>
    <w:multiLevelType w:val="hybridMultilevel"/>
    <w:lvl w:ilvl="0">
      <w:lvlJc w:val="left"/>
      <w:lvlText w:val="2"/>
      <w:numFmt w:val="bullet"/>
      <w:start w:val="1"/>
    </w:lvl>
  </w:abstractNum>
  <w:abstractNum w:abstractNumId="13">
    <w:nsid w:val="257130A3"/>
    <w:multiLevelType w:val="hybridMultilevel"/>
    <w:lvl w:ilvl="0">
      <w:lvlJc w:val="left"/>
      <w:lvlText w:val="3"/>
      <w:numFmt w:val="bullet"/>
      <w:start w:val="1"/>
    </w:lvl>
  </w:abstractNum>
  <w:abstractNum w:abstractNumId="14">
    <w:nsid w:val="62BBD95A"/>
    <w:multiLevelType w:val="hybridMultilevel"/>
    <w:lvl w:ilvl="0">
      <w:lvlJc w:val="left"/>
      <w:lvlText w:val="4"/>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bullet"/>
      <w:start w:val="1"/>
    </w:lvl>
  </w:abstractNum>
  <w:abstractNum w:abstractNumId="21">
    <w:nsid w:val="6763845E"/>
    <w:multiLevelType w:val="hybridMultilevel"/>
    <w:lvl w:ilvl="0">
      <w:lvlJc w:val="left"/>
      <w:lvlText w:val="2"/>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60" Type="http://schemas.openxmlformats.org/officeDocument/2006/relationships/hyperlink" Target="http://www.sec.gov/Archives/edgar/data/737758/000156459019003064/ttc-ex21_6.htm" TargetMode="External"/><Relationship Id="rId61" Type="http://schemas.openxmlformats.org/officeDocument/2006/relationships/hyperlink" Target="http://www.sec.gov/Archives/edgar/data/737758/000073775808000033/form8-k06172008exhibitcert.htm" TargetMode="External"/><Relationship Id="rId62" Type="http://schemas.openxmlformats.org/officeDocument/2006/relationships/hyperlink" Target="http://www.sec.gov/Archives/edgar/data/737758/000119312513105223/d501846dex31.htm" TargetMode="External"/><Relationship Id="rId63" Type="http://schemas.openxmlformats.org/officeDocument/2006/relationships/hyperlink" Target="http://www.sec.gov/Archives/edgar/data/737758/000110465916133324/a16-15127_1ex3d1.htm" TargetMode="External"/><Relationship Id="rId64" Type="http://schemas.openxmlformats.org/officeDocument/2006/relationships/hyperlink" Target="http://www.sec.gov/Archives/edgar/data/737758/000110465907030051/a07-10570_1ex4d3.htm" TargetMode="External"/><Relationship Id="rId65" Type="http://schemas.openxmlformats.org/officeDocument/2006/relationships/hyperlink" Target="http://www.sec.gov/Archives/edgar/data/737758/000110465907031757/a07-10570_5ex4d1.htm" TargetMode="External"/><Relationship Id="rId66"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2021-09-02T08:10:57Z</dcterms:created>
  <dcterms:modified xsi:type="dcterms:W3CDTF">2021-09-02T08:10:57Z</dcterms:modified>
</cp:coreProperties>
</file>