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HAMILTON BRADLEY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7"/>
          <w:szCs w:val="17"/>
          <w:color w:val="0000FF"/>
        </w:rPr>
        <w:t>Group VP, Comm, Intl &amp; Irrig</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3,480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14.112</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5,330.72</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3,480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80.479</w:t>
            </w:r>
            <w:r>
              <w:rPr>
                <w:rFonts w:ascii="Times New Roman" w:cs="Times New Roman" w:eastAsia="Times New Roman" w:hAnsi="Times New Roman"/>
                <w:sz w:val="21"/>
                <w:szCs w:val="21"/>
                <w:color w:val="008000"/>
                <w:w w:val="90"/>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1,850.72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1,005.507</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6,587.285</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14.1125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09/08/2020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3,480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12/07/2021</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3,480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$80.47 to 80.49,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10.864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70.421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7, 2011.</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7576"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2020-09-10T16:19:08Z</dcterms:created>
  <dcterms:modified xsi:type="dcterms:W3CDTF">2020-09-10T16:19:08Z</dcterms:modified>
</cp:coreProperties>
</file>