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3957320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533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33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Rodier Richard W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34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Group VP, Construction &amp; RLC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55420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3,978.95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24,535.195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1,218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86.5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23,317.195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2,796.077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Performance Share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6,076.562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3,978.95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3,978.95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-1652270</wp:posOffset>
            </wp:positionV>
            <wp:extent cx="28575" cy="1657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April 1, 2022, which was the third anniversary of the date of grant.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/s/ Timothy C. Quist,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2022-04-05T15:16:45Z</dcterms:created>
  <dcterms:modified xsi:type="dcterms:W3CDTF">2022-04-05T15:16:45Z</dcterms:modified>
</cp:coreProperties>
</file>