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12/08/2009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Share Units</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12/08/2009</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482</w:t>
            </w:r>
            <w:r>
              <w:rPr>
                <w:rFonts w:ascii="Arial" w:cs="Arial" w:eastAsia="Arial" w:hAnsi="Arial"/>
                <w:sz w:val="22"/>
                <w:szCs w:val="22"/>
                <w:color w:val="008000"/>
                <w:vertAlign w:val="superscript"/>
              </w:rPr>
              <w:t>(1)</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Borders>
              <w:bottom w:val="single" w:sz="8" w:color="2C2C2C"/>
            </w:tcBorders>
          </w:tcPr>
          <w:p>
            <w:pPr>
              <w:jc w:val="right"/>
              <w:ind w:right="373"/>
              <w:spacing w:after="0"/>
              <w:rPr>
                <w:sz w:val="20"/>
                <w:szCs w:val="20"/>
                <w:color w:val="auto"/>
              </w:rPr>
            </w:pPr>
            <w:r>
              <w:rPr>
                <w:rFonts w:ascii="Arial" w:cs="Arial" w:eastAsia="Arial" w:hAnsi="Arial"/>
                <w:sz w:val="18"/>
                <w:szCs w:val="18"/>
                <w:color w:val="0000FF"/>
              </w:rPr>
              <w:t>482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0000FF"/>
              </w:rPr>
              <w:t>5,964.391</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payout of Performance Share Awards for the Fiscal 2007 to Fiscal 2009 Performance Period under The Toro Company Performance Share Plan (the "PSP"), as approved by the registrant's Compensation &amp; Human Resources Committee of its Board of Directors and conditioned upon and subject to confirmation by the registrant's Fiscal 2009 financial results released on December 8, 2009. The reporting person has deferred the payout of his Performance Share Awards under The Toro Company Deferred Compensation Plan for Officers and, accordingly, the reporting person's Performance Share Awards are paid in Performance Share Units under The Toro Company Deferred Compensation Plan for Officers.</w:t>
      </w:r>
    </w:p>
    <w:tbl>
      <w:tblPr>
        <w:tblLayout w:type="fixed"/>
        <w:tblInd w:w="6860" w:type="dxa"/>
        <w:tblCellMar>
          <w:top w:w="0" w:type="dxa"/>
          <w:left w:w="0" w:type="dxa"/>
          <w:bottom w:w="0" w:type="dxa"/>
          <w:right w:w="0" w:type="dxa"/>
        </w:tblCellMar>
      </w:tblPr>
      <w:tr>
        <w:trPr>
          <w:trHeight w:val="222"/>
        </w:trPr>
        <w:tc>
          <w:tcPr>
            <w:tcW w:w="212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12/10/2009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2019-12-17T00:08:03Z</dcterms:created>
  <dcterms:modified xsi:type="dcterms:W3CDTF">2019-12-17T00:08:03Z</dcterms:modified>
</cp:coreProperties>
</file>