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90" w:lineRule="exact"/>
        <w:rPr>
          <w:sz w:val="24"/>
          <w:szCs w:val="24"/>
          <w:color w:val="auto"/>
        </w:rPr>
      </w:pPr>
    </w:p>
    <w:p>
      <w:pPr>
        <w:ind w:left="4120" w:right="2520" w:hanging="1614"/>
        <w:spacing w:after="0" w:line="286" w:lineRule="auto"/>
        <w:tabs>
          <w:tab w:leader="none" w:pos="282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October 31, 2021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 w:lineRule="exact"/>
        <w:rPr>
          <w:sz w:val="24"/>
          <w:szCs w:val="24"/>
          <w:color w:val="auto"/>
        </w:rPr>
      </w:pPr>
    </w:p>
    <w:p>
      <w:pPr>
        <w:ind w:left="2720" w:hanging="319"/>
        <w:spacing w:after="0"/>
        <w:tabs>
          <w:tab w:leader="none" w:pos="2720" w:val="left"/>
        </w:tabs>
        <w:numPr>
          <w:ilvl w:val="0"/>
          <w:numId w:val="2"/>
        </w:numPr>
        <w:rPr>
          <w:rFonts w:ascii="MS PGothic" w:cs="MS PGothic" w:eastAsia="MS PGothic" w:hAnsi="MS PGothic"/>
          <w:sz w:val="1"/>
          <w:szCs w:val="1"/>
          <w:color w:val="auto"/>
        </w:rPr>
      </w:pPr>
      <w:r>
        <w:rPr>
          <w:rFonts w:ascii="Arial" w:cs="Arial" w:eastAsia="Arial" w:hAnsi="Arial"/>
          <w:sz w:val="1"/>
          <w:szCs w:val="1"/>
          <w:b w:val="1"/>
          <w:bCs w:val="1"/>
          <w:color w:val="auto"/>
        </w:rPr>
        <w:t>Transition Report Pursuant to Section 13 or 15(d) of the Securities Exchange Act of 1934</w:t>
      </w:r>
    </w:p>
    <w:p>
      <w:pPr>
        <w:spacing w:after="0" w:line="207" w:lineRule="exact"/>
        <w:rPr>
          <w:sz w:val="24"/>
          <w:szCs w:val="24"/>
          <w:color w:val="auto"/>
        </w:rPr>
      </w:pPr>
    </w:p>
    <w:p>
      <w:pPr>
        <w:jc w:val="center"/>
        <w:ind w:right="20"/>
        <w:spacing w:after="0"/>
        <w:tabs>
          <w:tab w:leader="none" w:pos="3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1-8649</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THE TORO COMPANY</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60"/>
          </w:cols>
          <w:pgMar w:left="320" w:top="913" w:right="319" w:bottom="1440" w:gutter="0" w:footer="0" w:header="0"/>
        </w:sectPr>
      </w:pPr>
    </w:p>
    <w:p>
      <w:pPr>
        <w:spacing w:after="0" w:line="129"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41-0580470</w:t>
      </w:r>
    </w:p>
    <w:p>
      <w:pPr>
        <w:spacing w:after="0" w:line="64" w:lineRule="exact"/>
        <w:rPr>
          <w:sz w:val="24"/>
          <w:szCs w:val="24"/>
          <w:color w:val="auto"/>
        </w:rPr>
      </w:pPr>
    </w:p>
    <w:p>
      <w:pPr>
        <w:sectPr>
          <w:pgSz w:w="11900" w:h="16838" w:orient="portrait"/>
          <w:cols w:equalWidth="0" w:num="2">
            <w:col w:w="8660" w:space="720"/>
            <w:col w:w="1880"/>
          </w:cols>
          <w:pgMar w:left="320" w:top="913" w:right="31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7" w:lineRule="exact"/>
        <w:rPr>
          <w:sz w:val="24"/>
          <w:szCs w:val="24"/>
          <w:color w:val="auto"/>
        </w:rPr>
      </w:pPr>
    </w:p>
    <w:p>
      <w:pPr>
        <w:sectPr>
          <w:pgSz w:w="11900" w:h="16838" w:orient="portrait"/>
          <w:cols w:equalWidth="0" w:num="2">
            <w:col w:w="8000" w:space="720"/>
            <w:col w:w="2540"/>
          </w:cols>
          <w:pgMar w:left="320" w:top="913" w:right="319" w:bottom="1440" w:gutter="0" w:footer="0" w:header="0"/>
          <w:type w:val="continuous"/>
        </w:sectPr>
      </w:pPr>
    </w:p>
    <w:p>
      <w:pPr>
        <w:ind w:left="1080"/>
        <w:spacing w:after="0"/>
        <w:rPr>
          <w:sz w:val="20"/>
          <w:szCs w:val="20"/>
          <w:color w:val="auto"/>
        </w:rPr>
      </w:pPr>
      <w:r>
        <w:rPr>
          <w:rFonts w:ascii="Arial" w:cs="Arial" w:eastAsia="Arial" w:hAnsi="Arial"/>
          <w:sz w:val="14"/>
          <w:szCs w:val="14"/>
          <w:color w:val="auto"/>
        </w:rPr>
        <w:t>Organization)</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8111 Lyndale Avenue South</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Bloomington, Minnesota 55420-1196</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Telephone Number: (952) 888-8801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3" w:lineRule="exact"/>
        <w:rPr>
          <w:sz w:val="24"/>
          <w:szCs w:val="24"/>
          <w:color w:val="auto"/>
        </w:rPr>
      </w:pPr>
    </w:p>
    <w:p>
      <w:pPr>
        <w:ind w:left="3220"/>
        <w:spacing w:after="0"/>
        <w:rPr>
          <w:sz w:val="20"/>
          <w:szCs w:val="20"/>
          <w:color w:val="auto"/>
        </w:rPr>
      </w:pPr>
      <w:r>
        <w:rPr>
          <w:rFonts w:ascii="Arial" w:cs="Arial" w:eastAsia="Arial" w:hAnsi="Arial"/>
          <w:sz w:val="14"/>
          <w:szCs w:val="14"/>
          <w:color w:val="auto"/>
        </w:rPr>
        <w:t>___________________________________________________________________</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51"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7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jc w:val="both"/>
        <w:ind w:right="20"/>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ind w:right="2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1240" w:type="dxa"/>
            <w:vAlign w:val="bottom"/>
          </w:tcPr>
          <w:p>
            <w:pPr>
              <w:jc w:val="center"/>
              <w:ind w:right="19"/>
              <w:spacing w:after="0"/>
              <w:rPr>
                <w:sz w:val="20"/>
                <w:szCs w:val="20"/>
                <w:color w:val="auto"/>
              </w:rPr>
            </w:pPr>
            <w:r>
              <w:rPr>
                <w:rFonts w:ascii="Arial" w:cs="Arial" w:eastAsia="Arial" w:hAnsi="Arial"/>
                <w:sz w:val="16"/>
                <w:szCs w:val="16"/>
                <w:color w:val="auto"/>
                <w:w w:val="88"/>
              </w:rPr>
              <w:t>Large 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vMerge w:val="restart"/>
          </w:tcPr>
          <w:p>
            <w:pPr>
              <w:ind w:left="340"/>
              <w:spacing w:after="0"/>
              <w:rPr>
                <w:sz w:val="20"/>
                <w:szCs w:val="20"/>
                <w:color w:val="auto"/>
              </w:rPr>
            </w:pPr>
            <w:r>
              <w:rPr>
                <w:rFonts w:ascii="Arial" w:cs="Arial" w:eastAsia="Arial" w:hAnsi="Arial"/>
                <w:sz w:val="16"/>
                <w:szCs w:val="16"/>
                <w:color w:val="auto"/>
              </w:rPr>
              <w:t>Accelerated filer</w:t>
            </w:r>
          </w:p>
        </w:tc>
        <w:tc>
          <w:tcPr>
            <w:tcW w:w="5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vMerge w:val="restart"/>
          </w:tcPr>
          <w:p>
            <w:pPr>
              <w:ind w:left="280"/>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2560" w:type="dxa"/>
            <w:vAlign w:val="bottom"/>
            <w:vMerge w:val="restart"/>
          </w:tcPr>
          <w:p>
            <w:pPr>
              <w:ind w:left="260"/>
              <w:spacing w:after="0" w:line="196"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7"/>
                <w:szCs w:val="17"/>
                <w:color w:val="auto"/>
              </w:rPr>
              <w:t>☐</w:t>
            </w:r>
          </w:p>
        </w:tc>
        <w:tc>
          <w:tcPr>
            <w:tcW w:w="1580" w:type="dxa"/>
            <w:vAlign w:val="bottom"/>
          </w:tcPr>
          <w:p>
            <w:pPr>
              <w:jc w:val="center"/>
              <w:ind w:left="179"/>
              <w:spacing w:after="0"/>
              <w:rPr>
                <w:sz w:val="20"/>
                <w:szCs w:val="20"/>
                <w:color w:val="auto"/>
              </w:rPr>
            </w:pPr>
            <w:r>
              <w:rPr>
                <w:rFonts w:ascii="Arial" w:cs="Arial" w:eastAsia="Arial" w:hAnsi="Arial"/>
                <w:sz w:val="16"/>
                <w:szCs w:val="16"/>
                <w:color w:val="auto"/>
                <w:w w:val="92"/>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2"/>
        </w:trPr>
        <w:tc>
          <w:tcPr>
            <w:tcW w:w="124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1580" w:type="dxa"/>
            <w:vAlign w:val="bottom"/>
          </w:tcPr>
          <w:p>
            <w:pPr>
              <w:jc w:val="center"/>
              <w:ind w:left="179"/>
              <w:spacing w:after="0"/>
              <w:rPr>
                <w:sz w:val="20"/>
                <w:szCs w:val="20"/>
                <w:color w:val="auto"/>
              </w:rPr>
            </w:pPr>
            <w:r>
              <w:rPr>
                <w:rFonts w:ascii="Arial" w:cs="Arial" w:eastAsia="Arial" w:hAnsi="Arial"/>
                <w:sz w:val="16"/>
                <w:szCs w:val="16"/>
                <w:color w:val="auto"/>
                <w:w w:val="92"/>
              </w:rPr>
              <w:t>company</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right="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ind w:right="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ind w:right="20"/>
        <w:spacing w:after="0" w:line="310" w:lineRule="auto"/>
        <w:rPr>
          <w:sz w:val="20"/>
          <w:szCs w:val="20"/>
          <w:color w:val="auto"/>
        </w:rPr>
      </w:pPr>
      <w:r>
        <w:rPr>
          <w:rFonts w:ascii="Arial" w:cs="Arial" w:eastAsia="Arial" w:hAnsi="Arial"/>
          <w:sz w:val="15"/>
          <w:szCs w:val="15"/>
          <w:color w:val="auto"/>
        </w:rPr>
        <w:t>The aggregate market value of the common stock held by non-affiliates of the registrant, based on the closing price of the common stock on April 30, 2021, the last business day of the registrant's most recently completed second fiscal quarter, as reported by the New York Stock Exchange, was approximately $12.3 billion.</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December 10, 2021 was 104,486,029.</w:t>
      </w:r>
    </w:p>
    <w:p>
      <w:pPr>
        <w:spacing w:after="0" w:line="109" w:lineRule="exact"/>
        <w:rPr>
          <w:sz w:val="24"/>
          <w:szCs w:val="24"/>
          <w:color w:val="auto"/>
        </w:rPr>
      </w:pPr>
    </w:p>
    <w:p>
      <w:pPr>
        <w:ind w:right="40"/>
        <w:spacing w:after="0" w:line="280" w:lineRule="auto"/>
        <w:rPr>
          <w:sz w:val="20"/>
          <w:szCs w:val="20"/>
          <w:color w:val="auto"/>
        </w:rPr>
      </w:pPr>
      <w:r>
        <w:rPr>
          <w:rFonts w:ascii="Arial" w:cs="Arial" w:eastAsia="Arial" w:hAnsi="Arial"/>
          <w:sz w:val="16"/>
          <w:szCs w:val="16"/>
          <w:b w:val="1"/>
          <w:bCs w:val="1"/>
          <w:color w:val="auto"/>
        </w:rPr>
        <w:t xml:space="preserve">Documents Incorporated by Reference: </w:t>
      </w:r>
      <w:r>
        <w:rPr>
          <w:rFonts w:ascii="Arial" w:cs="Arial" w:eastAsia="Arial" w:hAnsi="Arial"/>
          <w:sz w:val="16"/>
          <w:szCs w:val="16"/>
          <w:color w:val="auto"/>
        </w:rPr>
        <w:t>Portions of the registrant's definitive Proxy Statement for the 2022 Annual Meeting of Shareholders expected to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March 15,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1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800"/>
              <w:spacing w:after="0"/>
              <w:rPr>
                <w:sz w:val="20"/>
                <w:szCs w:val="20"/>
                <w:color w:val="auto"/>
              </w:rPr>
            </w:pPr>
            <w:r>
              <w:rPr>
                <w:rFonts w:ascii="Arial" w:cs="Arial" w:eastAsia="Arial" w:hAnsi="Arial"/>
                <w:sz w:val="16"/>
                <w:szCs w:val="16"/>
                <w:b w:val="1"/>
                <w:bCs w:val="1"/>
                <w:color w:val="auto"/>
              </w:rPr>
              <w:t>Page Number</w:t>
            </w:r>
          </w:p>
        </w:tc>
      </w:tr>
      <w:tr>
        <w:trPr>
          <w:trHeight w:val="172"/>
        </w:trPr>
        <w:tc>
          <w:tcPr>
            <w:tcW w:w="20" w:type="dxa"/>
            <w:vAlign w:val="bottom"/>
          </w:tcPr>
          <w:p>
            <w:pPr>
              <w:spacing w:after="0"/>
              <w:rPr>
                <w:sz w:val="14"/>
                <w:szCs w:val="14"/>
                <w:color w:val="auto"/>
              </w:rPr>
            </w:pPr>
          </w:p>
        </w:tc>
        <w:tc>
          <w:tcPr>
            <w:tcW w:w="1160" w:type="dxa"/>
            <w:vAlign w:val="bottom"/>
            <w:gridSpan w:val="8"/>
          </w:tcPr>
          <w:p>
            <w:pPr>
              <w:spacing w:after="0" w:line="172" w:lineRule="exact"/>
              <w:rPr>
                <w:rFonts w:ascii="Arial" w:cs="Arial" w:eastAsia="Arial" w:hAnsi="Arial"/>
                <w:sz w:val="16"/>
                <w:szCs w:val="16"/>
                <w:color w:val="0000FF"/>
              </w:rPr>
            </w:pPr>
            <w:hyperlink w:anchor="page2">
              <w:r>
                <w:rPr>
                  <w:rFonts w:ascii="Arial" w:cs="Arial" w:eastAsia="Arial" w:hAnsi="Arial"/>
                  <w:sz w:val="16"/>
                  <w:szCs w:val="16"/>
                  <w:color w:val="0000FF"/>
                </w:rPr>
                <w:t>GENERAL</w:t>
              </w:r>
            </w:hyperlink>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4"/>
          </w:tcPr>
          <w:p>
            <w:pPr>
              <w:jc w:val="right"/>
              <w:spacing w:after="0" w:line="172" w:lineRule="exact"/>
              <w:rPr>
                <w:rFonts w:ascii="Arial" w:cs="Arial" w:eastAsia="Arial" w:hAnsi="Arial"/>
                <w:sz w:val="16"/>
                <w:szCs w:val="16"/>
                <w:color w:val="0000FF"/>
              </w:rPr>
            </w:pPr>
            <w:hyperlink w:anchor="page2">
              <w:r>
                <w:rPr>
                  <w:rFonts w:ascii="Arial" w:cs="Arial" w:eastAsia="Arial" w:hAnsi="Arial"/>
                  <w:sz w:val="16"/>
                  <w:szCs w:val="16"/>
                  <w:color w:val="0000FF"/>
                </w:rPr>
                <w:t>3</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260" w:type="dxa"/>
            <w:vAlign w:val="bottom"/>
            <w:gridSpan w:val="4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CAUTIONARY NOTE REGARDING FORWARD-LOOKING STATEMENTS</w:t>
              </w:r>
            </w:hyperlink>
          </w:p>
        </w:tc>
        <w:tc>
          <w:tcPr>
            <w:tcW w:w="19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6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w:t>
              </w:r>
            </w:hyperlink>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8100" w:type="dxa"/>
            <w:vAlign w:val="bottom"/>
            <w:gridSpan w:val="35"/>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940" w:type="dxa"/>
            <w:vAlign w:val="bottom"/>
            <w:gridSpan w:val="4"/>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rFonts w:ascii="Arial" w:cs="Arial" w:eastAsia="Arial" w:hAnsi="Arial"/>
                <w:sz w:val="16"/>
                <w:szCs w:val="16"/>
                <w:color w:val="0000FF"/>
                <w:w w:val="98"/>
              </w:rPr>
            </w:pPr>
            <w:hyperlink w:anchor="page15">
              <w:r>
                <w:rPr>
                  <w:rFonts w:ascii="Arial" w:cs="Arial" w:eastAsia="Arial" w:hAnsi="Arial"/>
                  <w:sz w:val="16"/>
                  <w:szCs w:val="16"/>
                  <w:color w:val="0000FF"/>
                  <w:w w:val="98"/>
                </w:rPr>
                <w:t>ITEM 1A.</w:t>
              </w:r>
            </w:hyperlink>
          </w:p>
        </w:tc>
        <w:tc>
          <w:tcPr>
            <w:tcW w:w="460" w:type="dxa"/>
            <w:vAlign w:val="bottom"/>
            <w:gridSpan w:val="2"/>
          </w:tcPr>
          <w:p>
            <w:pPr>
              <w:spacing w:after="0"/>
              <w:rPr>
                <w:sz w:val="17"/>
                <w:szCs w:val="17"/>
                <w:color w:val="auto"/>
              </w:rPr>
            </w:pPr>
          </w:p>
        </w:tc>
        <w:tc>
          <w:tcPr>
            <w:tcW w:w="8100" w:type="dxa"/>
            <w:vAlign w:val="bottom"/>
            <w:gridSpan w:val="35"/>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Risk Factors</w:t>
              </w:r>
            </w:hyperlink>
          </w:p>
        </w:tc>
        <w:tc>
          <w:tcPr>
            <w:tcW w:w="1940" w:type="dxa"/>
            <w:vAlign w:val="bottom"/>
            <w:gridSpan w:val="4"/>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rPr>
                <w:rFonts w:ascii="Arial" w:cs="Arial" w:eastAsia="Arial" w:hAnsi="Arial"/>
                <w:sz w:val="16"/>
                <w:szCs w:val="16"/>
                <w:color w:val="0000FF"/>
                <w:w w:val="98"/>
              </w:rPr>
            </w:pPr>
            <w:hyperlink w:anchor="page29">
              <w:r>
                <w:rPr>
                  <w:rFonts w:ascii="Arial" w:cs="Arial" w:eastAsia="Arial" w:hAnsi="Arial"/>
                  <w:sz w:val="16"/>
                  <w:szCs w:val="16"/>
                  <w:color w:val="0000FF"/>
                  <w:w w:val="98"/>
                </w:rPr>
                <w:t>ITEM 1B.</w:t>
              </w:r>
            </w:hyperlink>
          </w:p>
        </w:tc>
        <w:tc>
          <w:tcPr>
            <w:tcW w:w="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8100" w:type="dxa"/>
            <w:vAlign w:val="bottom"/>
            <w:gridSpan w:val="3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Unresolved Staff Comments</w:t>
              </w:r>
            </w:hyperlink>
          </w:p>
        </w:tc>
        <w:tc>
          <w:tcPr>
            <w:tcW w:w="19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2.</w:t>
              </w:r>
            </w:hyperlink>
          </w:p>
        </w:tc>
        <w:tc>
          <w:tcPr>
            <w:tcW w:w="480" w:type="dxa"/>
            <w:vAlign w:val="bottom"/>
            <w:gridSpan w:val="3"/>
          </w:tcPr>
          <w:p>
            <w:pPr>
              <w:spacing w:after="0"/>
              <w:rPr>
                <w:sz w:val="17"/>
                <w:szCs w:val="17"/>
                <w:color w:val="auto"/>
              </w:rPr>
            </w:pPr>
          </w:p>
        </w:tc>
        <w:tc>
          <w:tcPr>
            <w:tcW w:w="1840" w:type="dxa"/>
            <w:vAlign w:val="bottom"/>
            <w:tcBorders>
              <w:top w:val="single" w:sz="8" w:color="0000FF"/>
            </w:tcBorders>
            <w:gridSpan w:val="1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Properties</w:t>
              </w:r>
            </w:hyperlink>
          </w:p>
        </w:tc>
        <w:tc>
          <w:tcPr>
            <w:tcW w:w="6260" w:type="dxa"/>
            <w:vAlign w:val="bottom"/>
            <w:gridSpan w:val="2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3.</w:t>
              </w:r>
            </w:hyperlink>
          </w:p>
        </w:tc>
        <w:tc>
          <w:tcPr>
            <w:tcW w:w="8100" w:type="dxa"/>
            <w:vAlign w:val="bottom"/>
            <w:gridSpan w:val="3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Legal Proceedings</w:t>
              </w:r>
            </w:hyperlink>
          </w:p>
        </w:tc>
        <w:tc>
          <w:tcPr>
            <w:tcW w:w="19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4.</w:t>
              </w:r>
            </w:hyperlink>
          </w:p>
        </w:tc>
        <w:tc>
          <w:tcPr>
            <w:tcW w:w="8100" w:type="dxa"/>
            <w:vAlign w:val="bottom"/>
            <w:gridSpan w:val="35"/>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Mine Safety Disclosures</w:t>
              </w:r>
            </w:hyperlink>
          </w:p>
        </w:tc>
        <w:tc>
          <w:tcPr>
            <w:tcW w:w="19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00" w:type="dxa"/>
            <w:vAlign w:val="bottom"/>
            <w:gridSpan w:val="35"/>
          </w:tcPr>
          <w:p>
            <w:pPr>
              <w:spacing w:after="0"/>
              <w:rPr>
                <w:sz w:val="20"/>
                <w:szCs w:val="20"/>
                <w:color w:val="auto"/>
              </w:rPr>
            </w:pPr>
            <w:r>
              <w:rPr>
                <w:rFonts w:ascii="Arial" w:cs="Arial" w:eastAsia="Arial" w:hAnsi="Arial"/>
                <w:sz w:val="16"/>
                <w:szCs w:val="16"/>
                <w:color w:val="0000FF"/>
              </w:rPr>
              <w:t>Information About Our Executive Officers</w:t>
            </w:r>
          </w:p>
        </w:tc>
        <w:tc>
          <w:tcPr>
            <w:tcW w:w="19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31</w:t>
              </w:r>
            </w:hyperlink>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1160" w:type="dxa"/>
            <w:vAlign w:val="bottom"/>
            <w:gridSpan w:val="8"/>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PART II</w:t>
              </w:r>
            </w:hyperlink>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5.</w:t>
              </w:r>
            </w:hyperlink>
          </w:p>
        </w:tc>
        <w:tc>
          <w:tcPr>
            <w:tcW w:w="8100" w:type="dxa"/>
            <w:vAlign w:val="bottom"/>
            <w:gridSpan w:val="35"/>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Market for Registrant's Common Equity, Related Stockholder Matters, and Issuer Purchases of Equity Securities</w:t>
              </w:r>
            </w:hyperlink>
          </w:p>
        </w:tc>
        <w:tc>
          <w:tcPr>
            <w:tcW w:w="1940" w:type="dxa"/>
            <w:vAlign w:val="bottom"/>
            <w:gridSpan w:val="4"/>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7160" w:type="dxa"/>
            <w:vAlign w:val="bottom"/>
            <w:tcBorders>
              <w:top w:val="single" w:sz="8" w:color="0000FF"/>
            </w:tcBorders>
            <w:gridSpan w:val="33"/>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The Toro Company Common Stock Comparative Performance Graph</w:t>
              </w:r>
            </w:hyperlink>
          </w:p>
        </w:tc>
        <w:tc>
          <w:tcPr>
            <w:tcW w:w="80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32">
              <w:r>
                <w:rPr>
                  <w:rFonts w:ascii="Arial" w:cs="Arial" w:eastAsia="Arial" w:hAnsi="Arial"/>
                  <w:sz w:val="16"/>
                  <w:szCs w:val="16"/>
                  <w:color w:val="0000FF"/>
                  <w:w w:val="78"/>
                </w:rPr>
                <w:t>33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6.</w:t>
              </w:r>
            </w:hyperlink>
          </w:p>
        </w:tc>
        <w:tc>
          <w:tcPr>
            <w:tcW w:w="560" w:type="dxa"/>
            <w:vAlign w:val="bottom"/>
            <w:gridSpan w:val="5"/>
          </w:tcPr>
          <w:p>
            <w:pPr>
              <w:spacing w:after="0"/>
              <w:rPr>
                <w:sz w:val="17"/>
                <w:szCs w:val="17"/>
                <w:color w:val="auto"/>
              </w:rPr>
            </w:pPr>
          </w:p>
        </w:tc>
        <w:tc>
          <w:tcPr>
            <w:tcW w:w="720" w:type="dxa"/>
            <w:vAlign w:val="bottom"/>
            <w:tcBorders>
              <w:bottom w:val="single" w:sz="8" w:color="0000FF"/>
            </w:tcBorders>
            <w:gridSpan w:val="4"/>
          </w:tcPr>
          <w:p>
            <w:pPr>
              <w:spacing w:after="0"/>
              <w:rPr>
                <w:rFonts w:ascii="Arial" w:cs="Arial" w:eastAsia="Arial" w:hAnsi="Arial"/>
                <w:sz w:val="16"/>
                <w:szCs w:val="16"/>
                <w:color w:val="0000FF"/>
                <w:w w:val="90"/>
              </w:rPr>
            </w:pPr>
            <w:hyperlink w:anchor="page33">
              <w:r>
                <w:rPr>
                  <w:rFonts w:ascii="Arial" w:cs="Arial" w:eastAsia="Arial" w:hAnsi="Arial"/>
                  <w:sz w:val="16"/>
                  <w:szCs w:val="16"/>
                  <w:color w:val="0000FF"/>
                  <w:w w:val="90"/>
                </w:rPr>
                <w:t>[Reserved]</w:t>
              </w:r>
            </w:hyperlink>
          </w:p>
        </w:tc>
        <w:tc>
          <w:tcPr>
            <w:tcW w:w="7380" w:type="dxa"/>
            <w:vAlign w:val="bottom"/>
            <w:gridSpan w:val="31"/>
          </w:tcPr>
          <w:p>
            <w:pPr>
              <w:spacing w:after="0"/>
              <w:rPr>
                <w:sz w:val="17"/>
                <w:szCs w:val="17"/>
                <w:color w:val="auto"/>
              </w:rPr>
            </w:pPr>
          </w:p>
        </w:tc>
        <w:tc>
          <w:tcPr>
            <w:tcW w:w="19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7.</w:t>
              </w:r>
            </w:hyperlink>
          </w:p>
        </w:tc>
        <w:tc>
          <w:tcPr>
            <w:tcW w:w="8100" w:type="dxa"/>
            <w:vAlign w:val="bottom"/>
            <w:gridSpan w:val="35"/>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Management's Discussion and Analysis of Financial Condition and Results of Operations</w:t>
              </w:r>
            </w:hyperlink>
          </w:p>
        </w:tc>
        <w:tc>
          <w:tcPr>
            <w:tcW w:w="19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60" w:type="dxa"/>
            <w:vAlign w:val="bottom"/>
            <w:tcBorders>
              <w:top w:val="single" w:sz="8" w:color="0000FF"/>
            </w:tcBorders>
            <w:gridSpan w:val="30"/>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Company Overview</w:t>
              </w:r>
            </w:hyperlink>
          </w:p>
        </w:tc>
        <w:tc>
          <w:tcPr>
            <w:tcW w:w="2300" w:type="dxa"/>
            <w:vAlign w:val="bottom"/>
            <w:gridSpan w:val="4"/>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34">
              <w:r>
                <w:rPr>
                  <w:rFonts w:ascii="Arial" w:cs="Arial" w:eastAsia="Arial" w:hAnsi="Arial"/>
                  <w:sz w:val="16"/>
                  <w:szCs w:val="16"/>
                  <w:color w:val="0000FF"/>
                  <w:w w:val="78"/>
                </w:rPr>
                <w:t>34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gridSpan w:val="8"/>
          </w:tcPr>
          <w:p>
            <w:pPr>
              <w:spacing w:after="0"/>
              <w:rPr>
                <w:rFonts w:ascii="Arial" w:cs="Arial" w:eastAsia="Arial" w:hAnsi="Arial"/>
                <w:sz w:val="16"/>
                <w:szCs w:val="16"/>
                <w:color w:val="0000FF"/>
                <w:w w:val="88"/>
              </w:rPr>
            </w:pPr>
            <w:hyperlink w:anchor="page37">
              <w:r>
                <w:rPr>
                  <w:rFonts w:ascii="Arial" w:cs="Arial" w:eastAsia="Arial" w:hAnsi="Arial"/>
                  <w:sz w:val="16"/>
                  <w:szCs w:val="16"/>
                  <w:color w:val="0000FF"/>
                  <w:w w:val="88"/>
                </w:rPr>
                <w:t>Results of Operations</w:t>
              </w:r>
            </w:hyperlink>
          </w:p>
        </w:tc>
        <w:tc>
          <w:tcPr>
            <w:tcW w:w="6580" w:type="dxa"/>
            <w:vAlign w:val="bottom"/>
            <w:gridSpan w:val="26"/>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7">
              <w:r>
                <w:rPr>
                  <w:rFonts w:ascii="Arial" w:cs="Arial" w:eastAsia="Arial" w:hAnsi="Arial"/>
                  <w:sz w:val="16"/>
                  <w:szCs w:val="16"/>
                  <w:color w:val="0000FF"/>
                  <w:w w:val="78"/>
                </w:rPr>
                <w:t>37</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Business Segments</w:t>
              </w:r>
            </w:hyperlink>
          </w:p>
        </w:tc>
        <w:tc>
          <w:tcPr>
            <w:tcW w:w="1940" w:type="dxa"/>
            <w:vAlign w:val="bottom"/>
            <w:gridSpan w:val="4"/>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FF"/>
            </w:tcBorders>
            <w:gridSpan w:val="7"/>
          </w:tcPr>
          <w:p>
            <w:pPr>
              <w:spacing w:after="0"/>
              <w:rPr>
                <w:rFonts w:ascii="Arial" w:cs="Arial" w:eastAsia="Arial" w:hAnsi="Arial"/>
                <w:sz w:val="16"/>
                <w:szCs w:val="16"/>
                <w:color w:val="0000FF"/>
                <w:w w:val="97"/>
              </w:rPr>
            </w:pPr>
            <w:hyperlink w:anchor="page41">
              <w:r>
                <w:rPr>
                  <w:rFonts w:ascii="Arial" w:cs="Arial" w:eastAsia="Arial" w:hAnsi="Arial"/>
                  <w:sz w:val="16"/>
                  <w:szCs w:val="16"/>
                  <w:color w:val="0000FF"/>
                  <w:w w:val="97"/>
                </w:rPr>
                <w:t>Financial Position</w:t>
              </w:r>
            </w:hyperlink>
          </w:p>
        </w:tc>
        <w:tc>
          <w:tcPr>
            <w:tcW w:w="6700" w:type="dxa"/>
            <w:vAlign w:val="bottom"/>
            <w:gridSpan w:val="2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1">
              <w:r>
                <w:rPr>
                  <w:rFonts w:ascii="Arial" w:cs="Arial" w:eastAsia="Arial" w:hAnsi="Arial"/>
                  <w:sz w:val="16"/>
                  <w:szCs w:val="16"/>
                  <w:color w:val="0000FF"/>
                  <w:w w:val="78"/>
                </w:rPr>
                <w:t>41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FF"/>
            </w:tcBorders>
            <w:gridSpan w:val="13"/>
          </w:tcPr>
          <w:p>
            <w:pPr>
              <w:spacing w:after="0"/>
              <w:rPr>
                <w:rFonts w:ascii="Arial" w:cs="Arial" w:eastAsia="Arial" w:hAnsi="Arial"/>
                <w:sz w:val="16"/>
                <w:szCs w:val="16"/>
                <w:color w:val="0000FF"/>
                <w:w w:val="91"/>
              </w:rPr>
            </w:pPr>
            <w:hyperlink w:anchor="page47">
              <w:r>
                <w:rPr>
                  <w:rFonts w:ascii="Arial" w:cs="Arial" w:eastAsia="Arial" w:hAnsi="Arial"/>
                  <w:sz w:val="16"/>
                  <w:szCs w:val="16"/>
                  <w:color w:val="0000FF"/>
                  <w:w w:val="91"/>
                </w:rPr>
                <w:t>Non-GAAP Financial Measures</w:t>
              </w:r>
            </w:hyperlink>
          </w:p>
        </w:tc>
        <w:tc>
          <w:tcPr>
            <w:tcW w:w="5900" w:type="dxa"/>
            <w:vAlign w:val="bottom"/>
            <w:gridSpan w:val="2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7">
              <w:r>
                <w:rPr>
                  <w:rFonts w:ascii="Arial" w:cs="Arial" w:eastAsia="Arial" w:hAnsi="Arial"/>
                  <w:sz w:val="16"/>
                  <w:szCs w:val="16"/>
                  <w:color w:val="0000FF"/>
                  <w:w w:val="78"/>
                </w:rPr>
                <w:t>48</w:t>
              </w:r>
            </w:hyperlink>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49">
              <w:r>
                <w:rPr>
                  <w:rFonts w:ascii="Arial" w:cs="Arial" w:eastAsia="Arial" w:hAnsi="Arial"/>
                  <w:sz w:val="16"/>
                  <w:szCs w:val="16"/>
                  <w:color w:val="0000FF"/>
                  <w:w w:val="91"/>
                </w:rPr>
                <w:t>Critical Accounting Policies and Estimates</w:t>
              </w:r>
            </w:hyperlink>
          </w:p>
        </w:tc>
        <w:tc>
          <w:tcPr>
            <w:tcW w:w="5200" w:type="dxa"/>
            <w:vAlign w:val="bottom"/>
            <w:gridSpan w:val="16"/>
          </w:tcPr>
          <w:p>
            <w:pPr>
              <w:spacing w:after="0"/>
              <w:rPr>
                <w:sz w:val="24"/>
                <w:szCs w:val="24"/>
                <w:color w:val="auto"/>
              </w:rPr>
            </w:pPr>
          </w:p>
        </w:tc>
        <w:tc>
          <w:tcPr>
            <w:tcW w:w="178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rFonts w:ascii="Arial" w:cs="Arial" w:eastAsia="Arial" w:hAnsi="Arial"/>
                <w:sz w:val="16"/>
                <w:szCs w:val="16"/>
                <w:color w:val="0000FF"/>
                <w:w w:val="98"/>
              </w:rPr>
            </w:pPr>
            <w:hyperlink w:anchor="page55">
              <w:r>
                <w:rPr>
                  <w:rFonts w:ascii="Arial" w:cs="Arial" w:eastAsia="Arial" w:hAnsi="Arial"/>
                  <w:sz w:val="16"/>
                  <w:szCs w:val="16"/>
                  <w:color w:val="0000FF"/>
                  <w:w w:val="98"/>
                </w:rPr>
                <w:t>ITEM 7A.</w:t>
              </w:r>
            </w:hyperlink>
          </w:p>
        </w:tc>
        <w:tc>
          <w:tcPr>
            <w:tcW w:w="460" w:type="dxa"/>
            <w:vAlign w:val="bottom"/>
            <w:gridSpan w:val="2"/>
          </w:tcPr>
          <w:p>
            <w:pPr>
              <w:spacing w:after="0"/>
              <w:rPr>
                <w:sz w:val="17"/>
                <w:szCs w:val="17"/>
                <w:color w:val="auto"/>
              </w:rPr>
            </w:pPr>
          </w:p>
        </w:tc>
        <w:tc>
          <w:tcPr>
            <w:tcW w:w="3940" w:type="dxa"/>
            <w:vAlign w:val="bottom"/>
            <w:tcBorders>
              <w:bottom w:val="single" w:sz="8" w:color="0000FF"/>
            </w:tcBorders>
            <w:gridSpan w:val="25"/>
          </w:tcPr>
          <w:p>
            <w:pPr>
              <w:spacing w:after="0"/>
              <w:rPr>
                <w:rFonts w:ascii="Arial" w:cs="Arial" w:eastAsia="Arial" w:hAnsi="Arial"/>
                <w:sz w:val="16"/>
                <w:szCs w:val="16"/>
                <w:color w:val="0000FF"/>
                <w:w w:val="93"/>
              </w:rPr>
            </w:pPr>
            <w:hyperlink w:anchor="page55">
              <w:r>
                <w:rPr>
                  <w:rFonts w:ascii="Arial" w:cs="Arial" w:eastAsia="Arial" w:hAnsi="Arial"/>
                  <w:sz w:val="16"/>
                  <w:szCs w:val="16"/>
                  <w:color w:val="0000FF"/>
                  <w:w w:val="93"/>
                </w:rPr>
                <w:t>Quantitative and Qualitative Disclosures About Market Risk</w:t>
              </w:r>
            </w:hyperlink>
          </w:p>
        </w:tc>
        <w:tc>
          <w:tcPr>
            <w:tcW w:w="4160" w:type="dxa"/>
            <w:vAlign w:val="bottom"/>
            <w:gridSpan w:val="10"/>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5">
              <w:r>
                <w:rPr>
                  <w:rFonts w:ascii="Arial" w:cs="Arial" w:eastAsia="Arial" w:hAnsi="Arial"/>
                  <w:sz w:val="16"/>
                  <w:szCs w:val="16"/>
                  <w:color w:val="0000FF"/>
                  <w:w w:val="78"/>
                </w:rPr>
                <w:t>55</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ITEM 8.</w:t>
              </w:r>
            </w:hyperlink>
          </w:p>
        </w:tc>
        <w:tc>
          <w:tcPr>
            <w:tcW w:w="8100" w:type="dxa"/>
            <w:vAlign w:val="bottom"/>
            <w:gridSpan w:val="35"/>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Financial Statements and Supplementary Data</w:t>
              </w:r>
            </w:hyperlink>
          </w:p>
        </w:tc>
        <w:tc>
          <w:tcPr>
            <w:tcW w:w="1940" w:type="dxa"/>
            <w:vAlign w:val="bottom"/>
            <w:gridSpan w:val="4"/>
          </w:tcPr>
          <w:p>
            <w:pPr>
              <w:jc w:val="right"/>
              <w:spacing w:after="0"/>
              <w:rPr>
                <w:rFonts w:ascii="Arial" w:cs="Arial" w:eastAsia="Arial" w:hAnsi="Arial"/>
                <w:sz w:val="16"/>
                <w:szCs w:val="16"/>
                <w:color w:val="0000FF"/>
              </w:rPr>
            </w:pPr>
            <w:hyperlink w:anchor="page56">
              <w:r>
                <w:rPr>
                  <w:rFonts w:ascii="Arial" w:cs="Arial" w:eastAsia="Arial" w:hAnsi="Arial"/>
                  <w:sz w:val="16"/>
                  <w:szCs w:val="16"/>
                  <w:color w:val="0000FF"/>
                </w:rPr>
                <w:t>57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4"/>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Management's Report on Internal Control over Financial Reporting</w:t>
              </w:r>
            </w:hyperlink>
          </w:p>
        </w:tc>
        <w:tc>
          <w:tcPr>
            <w:tcW w:w="1940" w:type="dxa"/>
            <w:vAlign w:val="bottom"/>
            <w:gridSpan w:val="4"/>
          </w:tcPr>
          <w:p>
            <w:pPr>
              <w:jc w:val="right"/>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top w:val="single" w:sz="8" w:color="0000FF"/>
            </w:tcBorders>
            <w:gridSpan w:val="27"/>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Report of Independent Registered Public Accounting Firm</w:t>
              </w:r>
            </w:hyperlink>
          </w:p>
        </w:tc>
        <w:tc>
          <w:tcPr>
            <w:tcW w:w="3620" w:type="dxa"/>
            <w:vAlign w:val="bottom"/>
            <w:gridSpan w:val="7"/>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57">
              <w:r>
                <w:rPr>
                  <w:rFonts w:ascii="Arial" w:cs="Arial" w:eastAsia="Arial" w:hAnsi="Arial"/>
                  <w:sz w:val="16"/>
                  <w:szCs w:val="16"/>
                  <w:color w:val="0000FF"/>
                  <w:w w:val="78"/>
                </w:rPr>
                <w:t>58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FF"/>
            </w:tcBorders>
            <w:gridSpan w:val="2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Consolidated Statements of Earnings</w:t>
              </w:r>
            </w:hyperlink>
          </w:p>
        </w:tc>
        <w:tc>
          <w:tcPr>
            <w:tcW w:w="4180" w:type="dxa"/>
            <w:vAlign w:val="bottom"/>
            <w:gridSpan w:val="11"/>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59">
              <w:r>
                <w:rPr>
                  <w:rFonts w:ascii="Arial" w:cs="Arial" w:eastAsia="Arial" w:hAnsi="Arial"/>
                  <w:sz w:val="16"/>
                  <w:szCs w:val="16"/>
                  <w:color w:val="0000FF"/>
                  <w:w w:val="78"/>
                </w:rPr>
                <w:t>60</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FF"/>
            </w:tcBorders>
            <w:gridSpan w:val="21"/>
          </w:tcPr>
          <w:p>
            <w:pPr>
              <w:spacing w:after="0"/>
              <w:rPr>
                <w:rFonts w:ascii="Arial" w:cs="Arial" w:eastAsia="Arial" w:hAnsi="Arial"/>
                <w:sz w:val="16"/>
                <w:szCs w:val="16"/>
                <w:color w:val="0000FF"/>
                <w:w w:val="90"/>
              </w:rPr>
            </w:pPr>
            <w:hyperlink w:anchor="page60">
              <w:r>
                <w:rPr>
                  <w:rFonts w:ascii="Arial" w:cs="Arial" w:eastAsia="Arial" w:hAnsi="Arial"/>
                  <w:sz w:val="16"/>
                  <w:szCs w:val="16"/>
                  <w:color w:val="0000FF"/>
                  <w:w w:val="90"/>
                </w:rPr>
                <w:t>Consolidated Statements of Comprehensive Income</w:t>
              </w:r>
            </w:hyperlink>
          </w:p>
        </w:tc>
        <w:tc>
          <w:tcPr>
            <w:tcW w:w="4600" w:type="dxa"/>
            <w:vAlign w:val="bottom"/>
            <w:gridSpan w:val="13"/>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0">
              <w:r>
                <w:rPr>
                  <w:rFonts w:ascii="Arial" w:cs="Arial" w:eastAsia="Arial" w:hAnsi="Arial"/>
                  <w:sz w:val="16"/>
                  <w:szCs w:val="16"/>
                  <w:color w:val="0000FF"/>
                  <w:w w:val="78"/>
                </w:rPr>
                <w:t>60</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4"/>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Consolidated Balance Sheets</w:t>
              </w:r>
            </w:hyperlink>
          </w:p>
        </w:tc>
        <w:tc>
          <w:tcPr>
            <w:tcW w:w="1940" w:type="dxa"/>
            <w:vAlign w:val="bottom"/>
            <w:gridSpan w:val="4"/>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61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bottom w:val="single" w:sz="8" w:color="0000FF"/>
            </w:tcBorders>
            <w:gridSpan w:val="16"/>
          </w:tcPr>
          <w:p>
            <w:pP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Consolidated Statements of Cash Flows</w:t>
              </w:r>
            </w:hyperlink>
          </w:p>
        </w:tc>
        <w:tc>
          <w:tcPr>
            <w:tcW w:w="5380" w:type="dxa"/>
            <w:vAlign w:val="bottom"/>
            <w:gridSpan w:val="18"/>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1">
              <w:r>
                <w:rPr>
                  <w:rFonts w:ascii="Arial" w:cs="Arial" w:eastAsia="Arial" w:hAnsi="Arial"/>
                  <w:sz w:val="16"/>
                  <w:szCs w:val="16"/>
                  <w:color w:val="0000FF"/>
                  <w:w w:val="78"/>
                </w:rPr>
                <w:t>62</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FF"/>
            </w:tcBorders>
            <w:gridSpan w:val="20"/>
          </w:tcPr>
          <w:p>
            <w:pPr>
              <w:spacing w:after="0"/>
              <w:rPr>
                <w:rFonts w:ascii="Arial" w:cs="Arial" w:eastAsia="Arial" w:hAnsi="Arial"/>
                <w:sz w:val="16"/>
                <w:szCs w:val="16"/>
                <w:color w:val="0000FF"/>
                <w:w w:val="90"/>
              </w:rPr>
            </w:pPr>
            <w:hyperlink w:anchor="page62">
              <w:r>
                <w:rPr>
                  <w:rFonts w:ascii="Arial" w:cs="Arial" w:eastAsia="Arial" w:hAnsi="Arial"/>
                  <w:sz w:val="16"/>
                  <w:szCs w:val="16"/>
                  <w:color w:val="0000FF"/>
                  <w:w w:val="90"/>
                </w:rPr>
                <w:t>Consolidated Statements of Stockholders' Equity</w:t>
              </w:r>
            </w:hyperlink>
          </w:p>
        </w:tc>
        <w:tc>
          <w:tcPr>
            <w:tcW w:w="4800" w:type="dxa"/>
            <w:vAlign w:val="bottom"/>
            <w:gridSpan w:val="14"/>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2">
              <w:r>
                <w:rPr>
                  <w:rFonts w:ascii="Arial" w:cs="Arial" w:eastAsia="Arial" w:hAnsi="Arial"/>
                  <w:sz w:val="16"/>
                  <w:szCs w:val="16"/>
                  <w:color w:val="0000FF"/>
                  <w:w w:val="78"/>
                </w:rPr>
                <w:t>63</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34"/>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Notes to Consolidated Financial Statements</w:t>
              </w:r>
            </w:hyperlink>
          </w:p>
        </w:tc>
        <w:tc>
          <w:tcPr>
            <w:tcW w:w="1940" w:type="dxa"/>
            <w:vAlign w:val="bottom"/>
            <w:gridSpan w:val="4"/>
          </w:tcPr>
          <w:p>
            <w:pPr>
              <w:jc w:val="right"/>
              <w:spacing w:after="0"/>
              <w:rPr>
                <w:rFonts w:ascii="Arial" w:cs="Arial" w:eastAsia="Arial" w:hAnsi="Arial"/>
                <w:sz w:val="16"/>
                <w:szCs w:val="16"/>
                <w:color w:val="0000FF"/>
              </w:rPr>
            </w:pPr>
            <w:hyperlink w:anchor="page63">
              <w:r>
                <w:rPr>
                  <w:rFonts w:ascii="Arial" w:cs="Arial" w:eastAsia="Arial" w:hAnsi="Arial"/>
                  <w:sz w:val="16"/>
                  <w:szCs w:val="16"/>
                  <w:color w:val="0000FF"/>
                </w:rPr>
                <w:t>64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ITEM 9.</w:t>
              </w:r>
            </w:hyperlink>
          </w:p>
        </w:tc>
        <w:tc>
          <w:tcPr>
            <w:tcW w:w="8100" w:type="dxa"/>
            <w:vAlign w:val="bottom"/>
            <w:gridSpan w:val="35"/>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Changes in and Disagreements with Accountants on Accounting and Financial Disclosure</w:t>
              </w:r>
            </w:hyperlink>
          </w:p>
        </w:tc>
        <w:tc>
          <w:tcPr>
            <w:tcW w:w="1940" w:type="dxa"/>
            <w:vAlign w:val="bottom"/>
            <w:gridSpan w:val="4"/>
          </w:tcPr>
          <w:p>
            <w:pPr>
              <w:jc w:val="right"/>
              <w:spacing w:after="0"/>
              <w:rPr>
                <w:rFonts w:ascii="Arial" w:cs="Arial" w:eastAsia="Arial" w:hAnsi="Arial"/>
                <w:sz w:val="16"/>
                <w:szCs w:val="16"/>
                <w:color w:val="0000FF"/>
              </w:rPr>
            </w:pPr>
            <w:hyperlink w:anchor="page96">
              <w:r>
                <w:rPr>
                  <w:rFonts w:ascii="Arial" w:cs="Arial" w:eastAsia="Arial" w:hAnsi="Arial"/>
                  <w:sz w:val="16"/>
                  <w:szCs w:val="16"/>
                  <w:color w:val="0000FF"/>
                </w:rPr>
                <w:t>97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rPr>
                <w:rFonts w:ascii="Arial" w:cs="Arial" w:eastAsia="Arial" w:hAnsi="Arial"/>
                <w:sz w:val="16"/>
                <w:szCs w:val="16"/>
                <w:color w:val="0000FF"/>
                <w:w w:val="98"/>
              </w:rPr>
            </w:pPr>
            <w:hyperlink w:anchor="page97">
              <w:r>
                <w:rPr>
                  <w:rFonts w:ascii="Arial" w:cs="Arial" w:eastAsia="Arial" w:hAnsi="Arial"/>
                  <w:sz w:val="16"/>
                  <w:szCs w:val="16"/>
                  <w:color w:val="0000FF"/>
                  <w:w w:val="98"/>
                </w:rPr>
                <w:t>ITEM 9A.</w:t>
              </w:r>
            </w:hyperlink>
          </w:p>
        </w:tc>
        <w:tc>
          <w:tcPr>
            <w:tcW w:w="460" w:type="dxa"/>
            <w:vAlign w:val="bottom"/>
            <w:gridSpan w:val="2"/>
          </w:tcPr>
          <w:p>
            <w:pPr>
              <w:spacing w:after="0"/>
              <w:rPr>
                <w:sz w:val="17"/>
                <w:szCs w:val="17"/>
                <w:color w:val="auto"/>
              </w:rPr>
            </w:pPr>
          </w:p>
        </w:tc>
        <w:tc>
          <w:tcPr>
            <w:tcW w:w="1600" w:type="dxa"/>
            <w:vAlign w:val="bottom"/>
            <w:tcBorders>
              <w:bottom w:val="single" w:sz="8" w:color="0000FF"/>
            </w:tcBorders>
            <w:gridSpan w:val="10"/>
          </w:tcPr>
          <w:p>
            <w:pPr>
              <w:spacing w:after="0"/>
              <w:rPr>
                <w:rFonts w:ascii="Arial" w:cs="Arial" w:eastAsia="Arial" w:hAnsi="Arial"/>
                <w:sz w:val="16"/>
                <w:szCs w:val="16"/>
                <w:color w:val="0000FF"/>
                <w:w w:val="89"/>
              </w:rPr>
            </w:pPr>
            <w:hyperlink w:anchor="page97">
              <w:r>
                <w:rPr>
                  <w:rFonts w:ascii="Arial" w:cs="Arial" w:eastAsia="Arial" w:hAnsi="Arial"/>
                  <w:sz w:val="16"/>
                  <w:szCs w:val="16"/>
                  <w:color w:val="0000FF"/>
                  <w:w w:val="89"/>
                </w:rPr>
                <w:t>Controls and Procedures</w:t>
              </w:r>
            </w:hyperlink>
          </w:p>
        </w:tc>
        <w:tc>
          <w:tcPr>
            <w:tcW w:w="6500" w:type="dxa"/>
            <w:vAlign w:val="bottom"/>
            <w:gridSpan w:val="2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7">
              <w:r>
                <w:rPr>
                  <w:rFonts w:ascii="Arial" w:cs="Arial" w:eastAsia="Arial" w:hAnsi="Arial"/>
                  <w:sz w:val="16"/>
                  <w:szCs w:val="16"/>
                  <w:color w:val="0000FF"/>
                  <w:w w:val="78"/>
                </w:rPr>
                <w:t>97</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rPr>
                <w:rFonts w:ascii="Arial" w:cs="Arial" w:eastAsia="Arial" w:hAnsi="Arial"/>
                <w:sz w:val="16"/>
                <w:szCs w:val="16"/>
                <w:color w:val="0000FF"/>
                <w:w w:val="98"/>
              </w:rPr>
            </w:pPr>
            <w:hyperlink w:anchor="page97">
              <w:r>
                <w:rPr>
                  <w:rFonts w:ascii="Arial" w:cs="Arial" w:eastAsia="Arial" w:hAnsi="Arial"/>
                  <w:sz w:val="16"/>
                  <w:szCs w:val="16"/>
                  <w:color w:val="0000FF"/>
                  <w:w w:val="98"/>
                </w:rPr>
                <w:t>ITEM 9B.</w:t>
              </w:r>
            </w:hyperlink>
          </w:p>
        </w:tc>
        <w:tc>
          <w:tcPr>
            <w:tcW w:w="460" w:type="dxa"/>
            <w:vAlign w:val="bottom"/>
            <w:gridSpan w:val="2"/>
          </w:tcPr>
          <w:p>
            <w:pPr>
              <w:spacing w:after="0"/>
              <w:rPr>
                <w:sz w:val="17"/>
                <w:szCs w:val="17"/>
                <w:color w:val="auto"/>
              </w:rPr>
            </w:pPr>
          </w:p>
        </w:tc>
        <w:tc>
          <w:tcPr>
            <w:tcW w:w="8100" w:type="dxa"/>
            <w:vAlign w:val="bottom"/>
            <w:gridSpan w:val="35"/>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Other Information</w:t>
              </w:r>
            </w:hyperlink>
          </w:p>
        </w:tc>
        <w:tc>
          <w:tcPr>
            <w:tcW w:w="1940" w:type="dxa"/>
            <w:vAlign w:val="bottom"/>
            <w:gridSpan w:val="4"/>
          </w:tcPr>
          <w:p>
            <w:pPr>
              <w:jc w:val="right"/>
              <w:spacing w:after="0"/>
              <w:rPr>
                <w:rFonts w:ascii="Arial" w:cs="Arial" w:eastAsia="Arial" w:hAnsi="Arial"/>
                <w:sz w:val="16"/>
                <w:szCs w:val="16"/>
                <w:color w:val="0000FF"/>
              </w:rPr>
            </w:pPr>
            <w:hyperlink w:anchor="page97">
              <w:r>
                <w:rPr>
                  <w:rFonts w:ascii="Arial" w:cs="Arial" w:eastAsia="Arial" w:hAnsi="Arial"/>
                  <w:sz w:val="16"/>
                  <w:szCs w:val="16"/>
                  <w:color w:val="0000FF"/>
                </w:rPr>
                <w:t>97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bottom w:val="single" w:sz="8" w:color="0000FF"/>
            </w:tcBorders>
            <w:gridSpan w:val="5"/>
          </w:tcPr>
          <w:p>
            <w:pPr>
              <w:spacing w:after="0"/>
              <w:rPr>
                <w:rFonts w:ascii="Arial" w:cs="Arial" w:eastAsia="Arial" w:hAnsi="Arial"/>
                <w:sz w:val="16"/>
                <w:szCs w:val="16"/>
                <w:color w:val="0000FF"/>
                <w:w w:val="97"/>
              </w:rPr>
            </w:pPr>
            <w:hyperlink w:anchor="page97">
              <w:r>
                <w:rPr>
                  <w:rFonts w:ascii="Arial" w:cs="Arial" w:eastAsia="Arial" w:hAnsi="Arial"/>
                  <w:sz w:val="16"/>
                  <w:szCs w:val="16"/>
                  <w:color w:val="0000FF"/>
                  <w:w w:val="97"/>
                </w:rPr>
                <w:t>ITEM 9C.</w:t>
              </w:r>
            </w:hyperlink>
          </w:p>
        </w:tc>
        <w:tc>
          <w:tcPr>
            <w:tcW w:w="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420" w:type="dxa"/>
            <w:vAlign w:val="bottom"/>
            <w:tcBorders>
              <w:bottom w:val="single" w:sz="8" w:color="0000FF"/>
            </w:tcBorders>
            <w:gridSpan w:val="27"/>
          </w:tcPr>
          <w:p>
            <w:pPr>
              <w:spacing w:after="0"/>
              <w:rPr>
                <w:rFonts w:ascii="Arial" w:cs="Arial" w:eastAsia="Arial" w:hAnsi="Arial"/>
                <w:sz w:val="16"/>
                <w:szCs w:val="16"/>
                <w:color w:val="0000FF"/>
                <w:w w:val="91"/>
              </w:rPr>
            </w:pPr>
            <w:hyperlink w:anchor="page97">
              <w:r>
                <w:rPr>
                  <w:rFonts w:ascii="Arial" w:cs="Arial" w:eastAsia="Arial" w:hAnsi="Arial"/>
                  <w:sz w:val="16"/>
                  <w:szCs w:val="16"/>
                  <w:color w:val="0000FF"/>
                  <w:w w:val="91"/>
                </w:rPr>
                <w:t>Disclosure Regarding Foreign Jurisdictions that Prevent Inspections</w:t>
              </w:r>
            </w:hyperlink>
          </w:p>
        </w:tc>
        <w:tc>
          <w:tcPr>
            <w:tcW w:w="3680" w:type="dxa"/>
            <w:vAlign w:val="bottom"/>
            <w:gridSpan w:val="8"/>
          </w:tcPr>
          <w:p>
            <w:pPr>
              <w:spacing w:after="0"/>
              <w:rPr>
                <w:sz w:val="18"/>
                <w:szCs w:val="18"/>
                <w:color w:val="auto"/>
              </w:rPr>
            </w:pPr>
          </w:p>
        </w:tc>
        <w:tc>
          <w:tcPr>
            <w:tcW w:w="17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7">
              <w:r>
                <w:rPr>
                  <w:rFonts w:ascii="Arial" w:cs="Arial" w:eastAsia="Arial" w:hAnsi="Arial"/>
                  <w:sz w:val="16"/>
                  <w:szCs w:val="16"/>
                  <w:color w:val="0000FF"/>
                  <w:w w:val="78"/>
                </w:rPr>
                <w:t>97</w:t>
              </w:r>
            </w:hyperlink>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Borders>
              <w:bottom w:val="single" w:sz="8" w:color="0000FF"/>
            </w:tcBorders>
            <w:gridSpan w:val="3"/>
          </w:tcPr>
          <w:p>
            <w:pPr>
              <w:spacing w:after="0"/>
              <w:rPr>
                <w:rFonts w:ascii="Arial" w:cs="Arial" w:eastAsia="Arial" w:hAnsi="Arial"/>
                <w:sz w:val="16"/>
                <w:szCs w:val="16"/>
                <w:color w:val="0000FF"/>
                <w:w w:val="95"/>
              </w:rPr>
            </w:pPr>
            <w:hyperlink w:anchor="page97">
              <w:r>
                <w:rPr>
                  <w:rFonts w:ascii="Arial" w:cs="Arial" w:eastAsia="Arial" w:hAnsi="Arial"/>
                  <w:sz w:val="16"/>
                  <w:szCs w:val="16"/>
                  <w:color w:val="0000FF"/>
                  <w:w w:val="95"/>
                </w:rPr>
                <w:t>PART III</w:t>
              </w:r>
            </w:hyperlink>
          </w:p>
        </w:tc>
        <w:tc>
          <w:tcPr>
            <w:tcW w:w="560" w:type="dxa"/>
            <w:vAlign w:val="bottom"/>
            <w:gridSpan w:val="5"/>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ITEM 10.</w:t>
              </w:r>
            </w:hyperlink>
          </w:p>
        </w:tc>
        <w:tc>
          <w:tcPr>
            <w:tcW w:w="8100" w:type="dxa"/>
            <w:vAlign w:val="bottom"/>
            <w:gridSpan w:val="35"/>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Directors, Executive Officers and Corporate Governance</w:t>
              </w:r>
            </w:hyperlink>
          </w:p>
        </w:tc>
        <w:tc>
          <w:tcPr>
            <w:tcW w:w="1940" w:type="dxa"/>
            <w:vAlign w:val="bottom"/>
            <w:gridSpan w:val="4"/>
          </w:tcPr>
          <w:p>
            <w:pPr>
              <w:jc w:val="right"/>
              <w:spacing w:after="0"/>
              <w:rPr>
                <w:rFonts w:ascii="Arial" w:cs="Arial" w:eastAsia="Arial" w:hAnsi="Arial"/>
                <w:sz w:val="16"/>
                <w:szCs w:val="16"/>
                <w:color w:val="0000FF"/>
              </w:rPr>
            </w:pPr>
            <w:hyperlink w:anchor="page98">
              <w:r>
                <w:rPr>
                  <w:rFonts w:ascii="Arial" w:cs="Arial" w:eastAsia="Arial" w:hAnsi="Arial"/>
                  <w:sz w:val="16"/>
                  <w:szCs w:val="16"/>
                  <w:color w:val="0000FF"/>
                </w:rPr>
                <w:t>98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5"/>
              </w:rPr>
            </w:pPr>
            <w:hyperlink w:anchor="page98">
              <w:r>
                <w:rPr>
                  <w:rFonts w:ascii="Arial" w:cs="Arial" w:eastAsia="Arial" w:hAnsi="Arial"/>
                  <w:sz w:val="16"/>
                  <w:szCs w:val="16"/>
                  <w:color w:val="0000FF"/>
                  <w:w w:val="95"/>
                </w:rPr>
                <w:t>ITEM 11.</w:t>
              </w:r>
            </w:hyperlink>
          </w:p>
        </w:tc>
        <w:tc>
          <w:tcPr>
            <w:tcW w:w="500" w:type="dxa"/>
            <w:vAlign w:val="bottom"/>
            <w:gridSpan w:val="4"/>
          </w:tcPr>
          <w:p>
            <w:pPr>
              <w:spacing w:after="0"/>
              <w:rPr>
                <w:sz w:val="17"/>
                <w:szCs w:val="17"/>
                <w:color w:val="auto"/>
              </w:rPr>
            </w:pPr>
          </w:p>
        </w:tc>
        <w:tc>
          <w:tcPr>
            <w:tcW w:w="164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1"/>
              </w:rPr>
            </w:pPr>
            <w:hyperlink w:anchor="page98">
              <w:r>
                <w:rPr>
                  <w:rFonts w:ascii="Arial" w:cs="Arial" w:eastAsia="Arial" w:hAnsi="Arial"/>
                  <w:sz w:val="16"/>
                  <w:szCs w:val="16"/>
                  <w:color w:val="0000FF"/>
                  <w:w w:val="91"/>
                </w:rPr>
                <w:t>Executive Compensation</w:t>
              </w:r>
            </w:hyperlink>
          </w:p>
        </w:tc>
        <w:tc>
          <w:tcPr>
            <w:tcW w:w="2060" w:type="dxa"/>
            <w:vAlign w:val="bottom"/>
            <w:tcBorders>
              <w:top w:val="single" w:sz="8" w:color="0000FF"/>
            </w:tcBorders>
            <w:gridSpan w:val="12"/>
          </w:tcPr>
          <w:p>
            <w:pPr>
              <w:spacing w:after="0"/>
              <w:rPr>
                <w:sz w:val="17"/>
                <w:szCs w:val="17"/>
                <w:color w:val="auto"/>
              </w:rPr>
            </w:pPr>
          </w:p>
        </w:tc>
        <w:tc>
          <w:tcPr>
            <w:tcW w:w="4400" w:type="dxa"/>
            <w:vAlign w:val="bottom"/>
            <w:gridSpan w:val="1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8">
              <w:r>
                <w:rPr>
                  <w:rFonts w:ascii="Arial" w:cs="Arial" w:eastAsia="Arial" w:hAnsi="Arial"/>
                  <w:sz w:val="16"/>
                  <w:szCs w:val="16"/>
                  <w:color w:val="0000FF"/>
                  <w:w w:val="78"/>
                </w:rPr>
                <w:t>98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rFonts w:ascii="Arial" w:cs="Arial" w:eastAsia="Arial" w:hAnsi="Arial"/>
                <w:sz w:val="16"/>
                <w:szCs w:val="16"/>
                <w:color w:val="0000FF"/>
                <w:w w:val="95"/>
              </w:rPr>
            </w:pPr>
            <w:hyperlink w:anchor="page98">
              <w:r>
                <w:rPr>
                  <w:rFonts w:ascii="Arial" w:cs="Arial" w:eastAsia="Arial" w:hAnsi="Arial"/>
                  <w:sz w:val="16"/>
                  <w:szCs w:val="16"/>
                  <w:color w:val="0000FF"/>
                  <w:w w:val="95"/>
                </w:rPr>
                <w:t>ITEM 12.</w:t>
              </w:r>
            </w:hyperlink>
          </w:p>
        </w:tc>
        <w:tc>
          <w:tcPr>
            <w:tcW w:w="500" w:type="dxa"/>
            <w:vAlign w:val="bottom"/>
            <w:gridSpan w:val="4"/>
          </w:tcPr>
          <w:p>
            <w:pPr>
              <w:spacing w:after="0"/>
              <w:rPr>
                <w:sz w:val="17"/>
                <w:szCs w:val="17"/>
                <w:color w:val="auto"/>
              </w:rPr>
            </w:pPr>
          </w:p>
        </w:tc>
        <w:tc>
          <w:tcPr>
            <w:tcW w:w="6580" w:type="dxa"/>
            <w:vAlign w:val="bottom"/>
            <w:tcBorders>
              <w:bottom w:val="single" w:sz="8" w:color="0000FF"/>
            </w:tcBorders>
            <w:gridSpan w:val="33"/>
          </w:tcPr>
          <w:p>
            <w:pPr>
              <w:spacing w:after="0"/>
              <w:rPr>
                <w:rFonts w:ascii="Arial" w:cs="Arial" w:eastAsia="Arial" w:hAnsi="Arial"/>
                <w:sz w:val="16"/>
                <w:szCs w:val="16"/>
                <w:color w:val="0000FF"/>
                <w:w w:val="92"/>
              </w:rPr>
            </w:pPr>
            <w:hyperlink w:anchor="page98">
              <w:r>
                <w:rPr>
                  <w:rFonts w:ascii="Arial" w:cs="Arial" w:eastAsia="Arial" w:hAnsi="Arial"/>
                  <w:sz w:val="16"/>
                  <w:szCs w:val="16"/>
                  <w:color w:val="0000FF"/>
                  <w:w w:val="92"/>
                </w:rPr>
                <w:t>Security Ownership of Certain Beneficial Owners and Management and Related Stockholder Matters</w:t>
              </w:r>
            </w:hyperlink>
          </w:p>
        </w:tc>
        <w:tc>
          <w:tcPr>
            <w:tcW w:w="152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8">
              <w:r>
                <w:rPr>
                  <w:rFonts w:ascii="Arial" w:cs="Arial" w:eastAsia="Arial" w:hAnsi="Arial"/>
                  <w:sz w:val="16"/>
                  <w:szCs w:val="16"/>
                  <w:color w:val="0000FF"/>
                  <w:w w:val="78"/>
                </w:rPr>
                <w:t>98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rPr>
                <w:rFonts w:ascii="Arial" w:cs="Arial" w:eastAsia="Arial" w:hAnsi="Arial"/>
                <w:sz w:val="16"/>
                <w:szCs w:val="16"/>
                <w:color w:val="0000FF"/>
                <w:w w:val="95"/>
              </w:rPr>
            </w:pPr>
            <w:hyperlink w:anchor="page98">
              <w:r>
                <w:rPr>
                  <w:rFonts w:ascii="Arial" w:cs="Arial" w:eastAsia="Arial" w:hAnsi="Arial"/>
                  <w:sz w:val="16"/>
                  <w:szCs w:val="16"/>
                  <w:color w:val="0000FF"/>
                  <w:w w:val="95"/>
                </w:rPr>
                <w:t>ITEM 13.</w:t>
              </w:r>
            </w:hyperlink>
          </w:p>
        </w:tc>
        <w:tc>
          <w:tcPr>
            <w:tcW w:w="500" w:type="dxa"/>
            <w:vAlign w:val="bottom"/>
            <w:gridSpan w:val="4"/>
          </w:tcPr>
          <w:p>
            <w:pPr>
              <w:spacing w:after="0"/>
              <w:rPr>
                <w:sz w:val="17"/>
                <w:szCs w:val="17"/>
                <w:color w:val="auto"/>
              </w:rPr>
            </w:pPr>
          </w:p>
        </w:tc>
        <w:tc>
          <w:tcPr>
            <w:tcW w:w="4920" w:type="dxa"/>
            <w:vAlign w:val="bottom"/>
            <w:tcBorders>
              <w:bottom w:val="single" w:sz="8" w:color="0000FF"/>
            </w:tcBorders>
            <w:gridSpan w:val="30"/>
          </w:tcPr>
          <w:p>
            <w:pPr>
              <w:spacing w:after="0"/>
              <w:rPr>
                <w:rFonts w:ascii="Arial" w:cs="Arial" w:eastAsia="Arial" w:hAnsi="Arial"/>
                <w:sz w:val="16"/>
                <w:szCs w:val="16"/>
                <w:color w:val="0000FF"/>
                <w:w w:val="90"/>
              </w:rPr>
            </w:pPr>
            <w:hyperlink w:anchor="page98">
              <w:r>
                <w:rPr>
                  <w:rFonts w:ascii="Arial" w:cs="Arial" w:eastAsia="Arial" w:hAnsi="Arial"/>
                  <w:sz w:val="16"/>
                  <w:szCs w:val="16"/>
                  <w:color w:val="0000FF"/>
                  <w:w w:val="90"/>
                </w:rPr>
                <w:t>Certain Relationships and Related Transactions, and Director Independence</w:t>
              </w:r>
            </w:hyperlink>
          </w:p>
        </w:tc>
        <w:tc>
          <w:tcPr>
            <w:tcW w:w="3180" w:type="dxa"/>
            <w:vAlign w:val="bottom"/>
            <w:gridSpan w:val="5"/>
          </w:tcPr>
          <w:p>
            <w:pPr>
              <w:spacing w:after="0"/>
              <w:rPr>
                <w:sz w:val="17"/>
                <w:szCs w:val="17"/>
                <w:color w:val="auto"/>
              </w:rPr>
            </w:pPr>
          </w:p>
        </w:tc>
        <w:tc>
          <w:tcPr>
            <w:tcW w:w="178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8">
              <w:r>
                <w:rPr>
                  <w:rFonts w:ascii="Arial" w:cs="Arial" w:eastAsia="Arial" w:hAnsi="Arial"/>
                  <w:sz w:val="16"/>
                  <w:szCs w:val="16"/>
                  <w:color w:val="0000FF"/>
                  <w:w w:val="78"/>
                </w:rPr>
                <w:t>98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60" w:type="dxa"/>
            <w:vAlign w:val="bottom"/>
            <w:gridSpan w:val="8"/>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ITEM 14.</w:t>
              </w:r>
            </w:hyperlink>
          </w:p>
        </w:tc>
        <w:tc>
          <w:tcPr>
            <w:tcW w:w="8100" w:type="dxa"/>
            <w:vAlign w:val="bottom"/>
            <w:gridSpan w:val="35"/>
          </w:tcPr>
          <w:p>
            <w:pPr>
              <w:spacing w:after="0"/>
              <w:rPr>
                <w:rFonts w:ascii="Arial" w:cs="Arial" w:eastAsia="Arial" w:hAnsi="Arial"/>
                <w:sz w:val="16"/>
                <w:szCs w:val="16"/>
                <w:color w:val="0000FF"/>
              </w:rPr>
            </w:pPr>
            <w:hyperlink w:anchor="page98">
              <w:r>
                <w:rPr>
                  <w:rFonts w:ascii="Arial" w:cs="Arial" w:eastAsia="Arial" w:hAnsi="Arial"/>
                  <w:sz w:val="16"/>
                  <w:szCs w:val="16"/>
                  <w:color w:val="0000FF"/>
                </w:rPr>
                <w:t>Principal Accountant Fees and Services</w:t>
              </w:r>
            </w:hyperlink>
          </w:p>
        </w:tc>
        <w:tc>
          <w:tcPr>
            <w:tcW w:w="1940" w:type="dxa"/>
            <w:vAlign w:val="bottom"/>
            <w:gridSpan w:val="4"/>
          </w:tcPr>
          <w:p>
            <w:pPr>
              <w:jc w:val="right"/>
              <w:spacing w:after="0"/>
              <w:rPr>
                <w:rFonts w:ascii="Arial" w:cs="Arial" w:eastAsia="Arial" w:hAnsi="Arial"/>
                <w:sz w:val="16"/>
                <w:szCs w:val="16"/>
                <w:color w:val="0000FF"/>
              </w:rPr>
            </w:pPr>
            <w:hyperlink w:anchor="page98">
              <w:r>
                <w:rPr>
                  <w:rFonts w:ascii="Arial" w:cs="Arial" w:eastAsia="Arial" w:hAnsi="Arial"/>
                  <w:sz w:val="16"/>
                  <w:szCs w:val="16"/>
                  <w:color w:val="0000FF"/>
                </w:rPr>
                <w:t>98</w:t>
              </w:r>
            </w:hyperlink>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4"/>
          </w:tcPr>
          <w:p>
            <w:pPr>
              <w:spacing w:after="0"/>
              <w:rPr>
                <w:rFonts w:ascii="Arial" w:cs="Arial" w:eastAsia="Arial" w:hAnsi="Arial"/>
                <w:sz w:val="16"/>
                <w:szCs w:val="16"/>
                <w:color w:val="0000FF"/>
                <w:w w:val="99"/>
              </w:rPr>
            </w:pPr>
            <w:hyperlink w:anchor="page98">
              <w:r>
                <w:rPr>
                  <w:rFonts w:ascii="Arial" w:cs="Arial" w:eastAsia="Arial" w:hAnsi="Arial"/>
                  <w:sz w:val="16"/>
                  <w:szCs w:val="16"/>
                  <w:color w:val="0000FF"/>
                  <w:w w:val="99"/>
                </w:rPr>
                <w:t>PART IV</w:t>
              </w:r>
            </w:hyperlink>
          </w:p>
        </w:tc>
        <w:tc>
          <w:tcPr>
            <w:tcW w:w="500" w:type="dxa"/>
            <w:vAlign w:val="bottom"/>
            <w:gridSpan w:val="4"/>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rFonts w:ascii="Arial" w:cs="Arial" w:eastAsia="Arial" w:hAnsi="Arial"/>
                <w:sz w:val="16"/>
                <w:szCs w:val="16"/>
                <w:color w:val="0000FF"/>
                <w:w w:val="95"/>
              </w:rPr>
            </w:pPr>
            <w:hyperlink w:anchor="page99">
              <w:r>
                <w:rPr>
                  <w:rFonts w:ascii="Arial" w:cs="Arial" w:eastAsia="Arial" w:hAnsi="Arial"/>
                  <w:sz w:val="16"/>
                  <w:szCs w:val="16"/>
                  <w:color w:val="0000FF"/>
                  <w:w w:val="95"/>
                </w:rPr>
                <w:t>ITEM 15.</w:t>
              </w:r>
            </w:hyperlink>
          </w:p>
        </w:tc>
        <w:tc>
          <w:tcPr>
            <w:tcW w:w="500" w:type="dxa"/>
            <w:vAlign w:val="bottom"/>
            <w:gridSpan w:val="4"/>
          </w:tcPr>
          <w:p>
            <w:pPr>
              <w:spacing w:after="0"/>
              <w:rPr>
                <w:sz w:val="17"/>
                <w:szCs w:val="17"/>
                <w:color w:val="auto"/>
              </w:rPr>
            </w:pPr>
          </w:p>
        </w:tc>
        <w:tc>
          <w:tcPr>
            <w:tcW w:w="8100" w:type="dxa"/>
            <w:vAlign w:val="bottom"/>
            <w:gridSpan w:val="35"/>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Exhibit and Financial Statement Schedules</w:t>
              </w:r>
            </w:hyperlink>
          </w:p>
        </w:tc>
        <w:tc>
          <w:tcPr>
            <w:tcW w:w="1940" w:type="dxa"/>
            <w:vAlign w:val="bottom"/>
            <w:gridSpan w:val="4"/>
          </w:tcPr>
          <w:p>
            <w:pPr>
              <w:jc w:val="right"/>
              <w:spacing w:after="0"/>
              <w:rPr>
                <w:rFonts w:ascii="Arial" w:cs="Arial" w:eastAsia="Arial" w:hAnsi="Arial"/>
                <w:sz w:val="16"/>
                <w:szCs w:val="16"/>
                <w:color w:val="0000FF"/>
              </w:rPr>
            </w:pPr>
            <w:hyperlink w:anchor="page99">
              <w:r>
                <w:rPr>
                  <w:rFonts w:ascii="Arial" w:cs="Arial" w:eastAsia="Arial" w:hAnsi="Arial"/>
                  <w:sz w:val="16"/>
                  <w:szCs w:val="16"/>
                  <w:color w:val="0000FF"/>
                </w:rPr>
                <w:t>99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1380" w:type="dxa"/>
            <w:vAlign w:val="bottom"/>
            <w:tcBorders>
              <w:left w:val="single" w:sz="8" w:color="0000FF"/>
            </w:tcBorders>
            <w:gridSpan w:val="10"/>
            <w:shd w:val="clear" w:color="auto" w:fill="0000FF"/>
          </w:tcPr>
          <w:p>
            <w:pPr>
              <w:spacing w:after="0" w:line="20" w:lineRule="exact"/>
              <w:rPr>
                <w:sz w:val="1"/>
                <w:szCs w:val="1"/>
                <w:color w:val="auto"/>
              </w:rPr>
            </w:pPr>
          </w:p>
        </w:tc>
        <w:tc>
          <w:tcPr>
            <w:tcW w:w="5320" w:type="dxa"/>
            <w:vAlign w:val="bottom"/>
            <w:gridSpan w:val="1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rPr>
                <w:rFonts w:ascii="Arial" w:cs="Arial" w:eastAsia="Arial" w:hAnsi="Arial"/>
                <w:sz w:val="16"/>
                <w:szCs w:val="16"/>
                <w:color w:val="0000FF"/>
                <w:w w:val="95"/>
              </w:rPr>
            </w:pPr>
            <w:hyperlink w:anchor="page102">
              <w:r>
                <w:rPr>
                  <w:rFonts w:ascii="Arial" w:cs="Arial" w:eastAsia="Arial" w:hAnsi="Arial"/>
                  <w:sz w:val="16"/>
                  <w:szCs w:val="16"/>
                  <w:color w:val="0000FF"/>
                  <w:w w:val="95"/>
                </w:rPr>
                <w:t>ITEM 16.</w:t>
              </w:r>
            </w:hyperlink>
          </w:p>
        </w:tc>
        <w:tc>
          <w:tcPr>
            <w:tcW w:w="500" w:type="dxa"/>
            <w:vAlign w:val="bottom"/>
            <w:gridSpan w:val="4"/>
          </w:tcPr>
          <w:p>
            <w:pPr>
              <w:spacing w:after="0"/>
              <w:rPr>
                <w:sz w:val="17"/>
                <w:szCs w:val="17"/>
                <w:color w:val="auto"/>
              </w:rPr>
            </w:pPr>
          </w:p>
        </w:tc>
        <w:tc>
          <w:tcPr>
            <w:tcW w:w="2780" w:type="dxa"/>
            <w:vAlign w:val="bottom"/>
            <w:gridSpan w:val="18"/>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Form 10-K Summary</w:t>
              </w:r>
            </w:hyperlink>
          </w:p>
        </w:tc>
        <w:tc>
          <w:tcPr>
            <w:tcW w:w="5320" w:type="dxa"/>
            <w:vAlign w:val="bottom"/>
            <w:gridSpan w:val="17"/>
          </w:tcPr>
          <w:p>
            <w:pPr>
              <w:spacing w:after="0"/>
              <w:rPr>
                <w:sz w:val="17"/>
                <w:szCs w:val="17"/>
                <w:color w:val="auto"/>
              </w:rPr>
            </w:pPr>
          </w:p>
        </w:tc>
        <w:tc>
          <w:tcPr>
            <w:tcW w:w="1940" w:type="dxa"/>
            <w:vAlign w:val="bottom"/>
            <w:gridSpan w:val="4"/>
          </w:tcPr>
          <w:p>
            <w:pPr>
              <w:jc w:val="right"/>
              <w:spacing w:after="0"/>
              <w:rPr>
                <w:rFonts w:ascii="Arial" w:cs="Arial" w:eastAsia="Arial" w:hAnsi="Arial"/>
                <w:sz w:val="16"/>
                <w:szCs w:val="16"/>
                <w:color w:val="0000FF"/>
              </w:rPr>
            </w:pPr>
            <w:hyperlink w:anchor="page102">
              <w:r>
                <w:rPr>
                  <w:rFonts w:ascii="Arial" w:cs="Arial" w:eastAsia="Arial" w:hAnsi="Arial"/>
                  <w:sz w:val="16"/>
                  <w:szCs w:val="16"/>
                  <w:color w:val="0000FF"/>
                </w:rPr>
                <w:t>102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6"/>
                <w:szCs w:val="16"/>
                <w:color w:val="0000FF"/>
                <w:w w:val="94"/>
              </w:rPr>
            </w:pPr>
            <w:hyperlink w:anchor="page102">
              <w:r>
                <w:rPr>
                  <w:rFonts w:ascii="Arial" w:cs="Arial" w:eastAsia="Arial" w:hAnsi="Arial"/>
                  <w:sz w:val="16"/>
                  <w:szCs w:val="16"/>
                  <w:color w:val="0000FF"/>
                  <w:w w:val="94"/>
                </w:rPr>
                <w:t>SIGNATURES</w:t>
              </w:r>
            </w:hyperlink>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spacing w:after="0"/>
              <w:rPr>
                <w:rFonts w:ascii="Arial" w:cs="Arial" w:eastAsia="Arial" w:hAnsi="Arial"/>
                <w:sz w:val="16"/>
                <w:szCs w:val="16"/>
                <w:color w:val="0000FF"/>
              </w:rPr>
            </w:pPr>
            <w:hyperlink w:anchor="page102">
              <w:r>
                <w:rPr>
                  <w:rFonts w:ascii="Arial" w:cs="Arial" w:eastAsia="Arial" w:hAnsi="Arial"/>
                  <w:sz w:val="16"/>
                  <w:szCs w:val="16"/>
                  <w:color w:val="0000FF"/>
                </w:rPr>
                <w:t>103</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references to “TTC,” the “Company,” “we,” “us,” and “our,” refer to The Toro Company and its consolidated subsidiaries. References to fiscal years, such as "fiscal 2021," are to the fiscal year ending on October 31 of the specified year.</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“Toro” and other marks as trademarks in the United States and/or in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contains, or incorporates by reference, not only historical information, but also forward-looking statements regarding future events and our future results within the meaning of Section 27A of the Securities Act of 1933, as amended ("Securities Act"), Section 21E of the Securities Exchange Act of 1934, as amended ("Exchange Act"), and the Private Securities Litigation Reform Act of 1995,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Our forward-looking statements generally relate to our future performance and may include, among others, statements relating to:</w:t>
      </w:r>
    </w:p>
    <w:p>
      <w:pPr>
        <w:spacing w:after="0" w:line="74"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results, liquidity requirements, financial condition, and the anticipated impacts of the COVID-19 pandemic, and the current global supply chain disruptions and inflationary environment;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strategies, priorities, goals, and commitments;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laws, rules, policies, regulations, tax reform, new accounting pronouncements, and outstanding litigation on our business and future performance.</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Forward-looking statements are only predictions and involve risks and uncertainties that could cause actual results to differ materially from those projected or implied in the forward-looking statements. The factors known to us that could materially adversely affect our business, reputation, operations, industry, financial position, or future financial performance are described in Part I, Item 1A, "Risk Factors," of this Annual Report on Form 10-K.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we file with, or furnish to, the United States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PART I</w:t>
      </w:r>
    </w:p>
    <w:p>
      <w:pPr>
        <w:sectPr>
          <w:pgSz w:w="11900" w:h="16838" w:orient="portrait"/>
          <w:cols w:equalWidth="0" w:num="1">
            <w:col w:w="11120"/>
          </w:cols>
          <w:pgMar w:left="320" w:top="125" w:right="45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Toro Company was incorporated in Minnesota in 1935 as a successor to a business founded in 1914 and reincorporated in Delaware in 1983. Our executive offices are located at 8111 Lyndale Avenue South, Bloomington, Minnesota, 55420-1196, and our telephone number is (952)888-8801. Our website for corporate and investor information is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The information contained on our websites or connected to our websites is not incorporated by reference into, and should not be considered part of, this Annual Report on Form 10-K.</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design, manufacture, market, and sell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Our products are marketed and sold worldwide through a network of distributors, dealers, mass retailers, hardware retailers, equipment rental centers, home centers, as well as online (direct to end-users) under the primary trademarks of Toro®, Ditch Witch®, eXmark®, BOSS®, Ventrac®, American Augers®, Trencor®, Pope®, Subsite®, HammerHead®, Radius®, PERROT®, Hayter®, Unique Lighting Systems®, Irritrol®, and Lawn-Boy®, most of which are registered in the United States ("U.S.") and/or in the primary countries outside the U.S. where we market our products branded under such trademarks.</w:t>
      </w:r>
    </w:p>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focus on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continued to complement our brands, enhance our product portfolios, and improve our technologies through innovation and strategic acquisitions over the more than 100 years we have been in business. We plan to continue to leverage a strategic and disciplined approach to pursue targeted acquisitions that add value to TTC by complementing our existing brands, enhancing our product portfolio, and/or improving our technologies.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our operations into two reportable business segments: Professional and Residential. Our remaining activities are presented as "Other" due to their insignificance.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Other activities consist of earnings (loss) from our wholly-owned domestic distribution company, our corporate activities, and the elimination of intersegment revenues and expenses. Net sales of our reportable segments and Other activities accounted for the following percentages of our consolidated net sales for fiscal 2021: Professional, 74.0 percent; Residential, 25.5 percent; and Other, 0.5 percent.</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purpose is to help our customers enrich the beauty, productivity, and sustainability of the land. Our vision is to be the most trusted leader in solutions for the outdoor environment. Every day. Everywhere. Our mission is to deliver superior innovation and to deliver superior customer care. Sustainability is the foundation of our enterprise strategic priorities of accelerating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March 2020, the World Health Organization declared the novel coronavirus ("COVID-19," "virus," or "the pandemic,") outbreak a global pandemic. COVID-19 has negatively impacted public health and portions of the global economy, significantly disrupted global supply chains, and created volatility in financial markets. The adverse global economic impact of the pandemic has had a material impact on parts of our business, customers, and suppliers and caused many challenges for our business and manufacturing operations during fiscal 2021. The continuing implications of COVID-19 on our business remain uncertain and will depend on certain future developments, including the duration of the pandemic; any adverse impact due to variants of the virus; its impact on market demand for our products; its impact on our employees, customers, and suppliers; the range of government mandated restrictions and other measures; and the success of the deployment of approved COVID-19 vaccines, their effectiveness against the novel strain and related variants, and their rate of adoption. This uncertainty could have a material impact on our business and manufacturing operations in future periods. Additional information regarding the impact of COVID-19 on our business can be found under the section titled "Impact of COVID-19" included within Part II, Item 7, "Management's Discussion and Analysis of Financial Condition and Results of Operations," of this Annual Report on Form 10-K and risks related to COVID-19 can be found under Part I, Item 1A, "Risk Factors," of this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Venture Products, Inc.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 2020, during the second quarter of fiscal 2020, we completed our acquisition of Venture Products, Inc. ("Venture Products"), a privately held Ohio corporation and</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manufacturer of Ventrac-branded products. Venture Products designs, manufactures, markets, and sells articulating turf, landscape, and snow and ice management equipment for grounds, landscape contractor, golf, municipal, and rural acreage customers and provides innovative product offerings that broadened and strengthened our Professional segment and expanded our dealer network. The acquisition consideration was $163.2 million, of which $24.9 million of cash consideration was paid to the former Venture Products shareholders during fiscal 2021 upon the satisfaction of indemnification and certain other obligations of Venture Products to the company. We funded the acquisition consideration with borrowings under our $600.0 million five-year unsecured senior revolving credit facility ("revolving credit facility") and net cash provided by operating activities. For additional information regarding the Venture Products acquisition, refer to Note 2, </w:t>
      </w:r>
      <w:r>
        <w:rPr>
          <w:rFonts w:ascii="Arial" w:cs="Arial" w:eastAsia="Arial" w:hAnsi="Arial"/>
          <w:sz w:val="17"/>
          <w:szCs w:val="17"/>
          <w:i w:val="1"/>
          <w:iCs w:val="1"/>
          <w:color w:val="auto"/>
        </w:rPr>
        <w:t>Business Combinations and Asset</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Acquisitions</w:t>
      </w:r>
      <w:r>
        <w:rPr>
          <w:rFonts w:ascii="Arial" w:cs="Arial" w:eastAsia="Arial" w:hAnsi="Arial"/>
          <w:sz w:val="17"/>
          <w:szCs w:val="17"/>
          <w:color w:val="auto"/>
        </w:rPr>
        <w:t>, in the Notes to Consolidated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Part II, Item 8, "Financial Statements and Supplementary Data," of this Annual Report on Form 10-K.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Charles Machine Works, Inc.</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April 1, 2019, during the second quarter of fiscal 2019, we completed our acquisition of The Charles Machine Works, Inc. ("CMW"), a privately held Oklahoma corporation. CMW designs, manufactures, and markets a range of professional products to serve the underground construction market, including horizontal directional drills, walk and ride trenchers, stand-on 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The acquisition consideration was $685.0 million, which we funded by using a combination of cash proceeds from the issuance of borrowings under our $500.0 million unsecured senior term loan credit agreement and borrowings from our revolving credit facility. For additional information regarding the CMW acquisition and the financing agreements utilized to fund the aggregate merger consideration, refer to Note 2,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and Asset Acquisitions</w:t>
      </w:r>
      <w:r>
        <w:rPr>
          <w:rFonts w:ascii="Arial" w:cs="Arial" w:eastAsia="Arial" w:hAnsi="Arial"/>
          <w:sz w:val="16"/>
          <w:szCs w:val="16"/>
          <w:color w:val="auto"/>
        </w:rPr>
        <w:t>, in the Notes to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included in Part II, Item 8, "Financial Statements and Supplementary Data,"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strive to be a leader in adapting advanced technologies to products and services that provide innovative solutions for turf care maintenance; landscapes; agricultural fields; rental, specialty, and underground construction; snow and ice management; and residential demands. The following is a summary of our products, by market, for our Professional segment and our products for our Residential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Segment</w:t>
      </w:r>
    </w:p>
    <w:p>
      <w:pPr>
        <w:spacing w:after="0" w:line="11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design professional turf;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primarily to professional users engaged in maintaining turf, such as golf courses, sports fields, municipal properties, as well as 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Golf Market</w:t>
      </w:r>
    </w:p>
    <w:p>
      <w:pPr>
        <w:spacing w:after="0" w:line="117"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design, manufacture, market, and sell equipment products under the Toro and Ventrac brands that are intended to provide innovative solutions for golf course turf maintenance. Equipment products for the golf market include large reel and rotary riding products for fairway, rough, and trim cutting; riding and walking mowers for greens and specialty areas; greens rollers; all-wheel drive articulating tractors; turf sprayer equipment; utility vehicles; aeration equipment; bunker maintenance equipment, and other specialty turf equipment. We also market and sell irrigation products for the golf market under the Toro brand that are designed to provide innovative water application solutions for golf course turf maintenance. These irrigation products predominantly consist of sprinkler heads, controllers, turf sensors, and electric, battery-operated, and hydraulic valves. These equipment and irrigation products are primarily sold to distributors and dealers, who then sell to owners, managers and/or superintendents of golf courses.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Sports Fields and Grounds Market</w:t>
      </w:r>
    </w:p>
    <w:p>
      <w:pPr>
        <w:spacing w:after="0" w:line="117"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We design, manufacture, market, and sell Toro and Ventrac-branded equipment products that are intended to provide innovative turf maintenance solutions to sports fields and grounds customers. Equipment products for the sports fields and grounds market primarily include riding rotary and reel mowers and attachments, aerators, infield grooming equipment, all-wheel drive articulating tractors, multipurpose vehicles and debris management products, which include versatile debris vacuums, blowers, and sweepers. In addition to equipment products, we also market and sell irrigation products under the Toro and PERROT brands that are designed to provide innovative water application solutions for sports fields and grounds turf maintenance. These irrigation products primarily include sprinkler heads, controllers, turf sensors, and electric, battery-operated, and hydraulic valves. These products are primarily sold to distributors and dealers, who then sell to owners and/or managers of sports fields, governmental properties, and residential and commercial landscapes, as well as directly to government customers.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fiscal 2020 acquisition of Venture Products added Ventrac-branded products that are designed to meet the needs of customers in the sports fields and grounds market, as well as customers in the snow and ice management, golf, and landscape contractor markets. In fiscal 2021, we introduced the new 4520 Tractor that is designed to provide increased hydraulic power, faster hydraulic speed, quieter operation, and other performance enhancing features as compared to the previous model.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Landscape Contractor Market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design, manufacture, market, and sell equipment products under the Toro, eXmark, and Ventrac brands that are intended to provide innovative turf management solutions to landscape contractors. Equipment products for the landscape contractor market include zero-turn radius riding mowers, heavy-duty walk behind mowers, mid-size walk behind mowers, stand-on mowers, and all-wheel drive articulating tractors, as well as lawn solution, turf renovation, and tree care equipment. These equipment products are primarily sold to distributors and dealers, who then sell to landscape contractors engaged in turf maintenance activities.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fiscal 2021, our Toro brand introduced the innovative Revolution Series of fully electric GrandStand® and Z Master® zero-turn riding mower product lines, which are commercial-grade models designed for professional use and feature our HyperCell™ battery system, which is designed to provide longer runtime and extended battery life required by landscape contractors. In fiscal 2021, our eXmark brand introduced the Vertex® S-Series, a new stand-on zero-turn riding mower platform designed to provide enhanced operator stability and maneuverability to improve overall operator comfort and features our UltraCut® Series 4 side-discharge cutting deck.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Underground Construction Market</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design, manufacture, market, and sell a range of professional grade products to serve the underground construction market,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fiber optic, and other utility distribution systems. Our fiscal 2019 acquisition of CMW added a variety of new products to our underground construction product portfolio with a family of brands sold under the trade names of Ditch Witch, American Augers, Trencor, HammerHead, Subsite, and Radius. In fiscal 2021, HammerHead introduced the newly redesigned Bluelight® LED Cured in Place Pipe lining system designed for rehabilitation and replacement of laterals and small drain pipes. This innovative LED light technology uses a specially formulated resin that is designed to cure up to five times faster than other methods.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 xml:space="preserve">During fiscal 2019, after the completion of the CMW acquisition, we announced the wind down of our Toro-branded large horizontal directional drill and riding trencher product categories ("Toro underground wind down") as part of our integration plan for the CMW business and to allow us to maximize efficiencies and cost synergies post-acquisition and adapt to changing underground construction market conditions regarding our underground product portfolio. We completed the Toro underground wind down during fiscal 2020. For additional information regarding the Toro underground wind down, refer to Note 7, </w:t>
      </w:r>
      <w:r>
        <w:rPr>
          <w:rFonts w:ascii="Arial" w:cs="Arial" w:eastAsia="Arial" w:hAnsi="Arial"/>
          <w:sz w:val="17"/>
          <w:szCs w:val="17"/>
          <w:i w:val="1"/>
          <w:iCs w:val="1"/>
          <w:color w:val="auto"/>
        </w:rPr>
        <w:t>Management Actions</w:t>
      </w:r>
      <w:r>
        <w:rPr>
          <w:rFonts w:ascii="Arial" w:cs="Arial" w:eastAsia="Arial" w:hAnsi="Arial"/>
          <w:sz w:val="17"/>
          <w:szCs w:val="17"/>
          <w:color w:val="auto"/>
        </w:rPr>
        <w:t>, in the Notes to Consolidated Financial Statements included in Part II, Item 8, "Financial Statements and Supplementary Data," of this Annual Report on Form 10-K.</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Rental and Specialty Construction Market</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design, manufacture, market, and sell Toro and Ditch Witch-branded equipment products that are intended to provide innovative solutions to serve the rental and specialty construction market. These products primarily consist of stand-on skid steers, walk-behind trenchers, stump grinders, and turf renovation products. We also have a line of Toro-branded rental products that feature concrete and mortar mixers, material handlers, compaction equipment, and other concrete construction equipment. Our rental and specialty construction equipment products are mainly sold to rental companies and large retailers who subsequently rent the products to end-users, as well as to dealers who market and sell to end-customers primarily consisting of landscape contractors, municipalities, and other government entities.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Snow and Ice Management Market</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design, manufacture, market, and sell equipment products under the BOSS, Ventrac, and Toro brands that are intended to provide innovative snow removal and ice management solutions for the snow and ice management market. These equipment products primarily consist of snowplows; ice control products; accessories for light and medium duty trucks, all-terrain vehicles, utility task vehicles, skid steers, and front-end loaders; and all-wheel drive articulating tractors, sidewalk snow and ice solution vehicles, and related attachments and accessories. These products are mainly sold through distributors and dealers who market and sell to end-customers primarily consisting of landscape contractors, municipalities, and other government entities.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Commercial Irrigation and Lighting Market</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Irrigation products are designed, manufactured, marketed, and sold under the Toro and Irritrol brands and primarily include rotors; sprinkler bodies and nozzles; plastic, brass, and hydraulic valves; drip tubing and subsurface irrigation; electric control devices; and wired and wireless rain, freeze, climate, and soil sensors. These irrigation products are designed to provide innovative water application solutions for both commercial and residential landscapes. Both the Toro and Irritrol brands have received several U.S. Environmental Protection Agency ("EPA") WaterSense awards, as well as the EPA WaterSense certification for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numerous irrigation controller families and models. In fiscal 2021, TTC was recognized for the seventh consecutive year with the WaterSense Excellence Award for our dedication to offering products that are designed, in addition to other factors, to help our customers save water. In addition to our irrigation products, we market and sell Unique Lighting Systems-branded products primarily consisting of a line of lighting fixtures and transformers designed for commercial and residential landscapes. Our commercial irrigation and lighting products are predominantly sold to distributors and dealers who market and sell to end-customers primarily consisting of landscape contractors that professionally install these products as new systems or use these products to replace or retrofit existing systems.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Ag-Irrigation Market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Irrigation products for the ag-irrigation market are designed, manufactured, marketed, and sold under the Toro brand and are intended to provide an efficient means of water application and usage in agricultural and greenhouse applications. These irrigation products primarily consist of drip tape, polyethylene tubing, drip line, emitters, filters, and fitting solutions. In addition to these core products, we offer a complement of design software and connection options to complete the ag-irrigation system. Our ag-irrigation products are sold through dealers and distributors who then sell to end-users for use primarily in vegetable fields, fruit and nut orchards, and vineyard applications.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Segment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market and sell our Residential segment products to homeowners through a variety of distribution channels, including outdoor power equipment distributors and dealers, mass retailers, hardware retailers, home centers, as well as online (direct to end-users). We also license our trademark on certain home solutions products as a means of expanding our brand presence. The following sections describe our Residential segment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Walk Power Mower Products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design, manufacture, market, and sell walk power mower equipment products under our Toro and Lawn-Boy brand names, as well as the Hayter brand in the United Kingdom. Our walk power mower equipment products are designed to provide innovative turf cutting solutions primarily to homeowners. Models differ as to cutting width, type of starter mechanism, method of grass clipping discharge, deck type, operational controls, and power sources, and are either self-propelled or operator-propelled push mowers.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fiscal 2021, we improved upon our successful 22-inch Recycler® platform, with enhancements made to models powered by both gas engines as well as our 60V Flex-Force Power System®. These enhancements include the addition of our patent-pending Vortex Technology, which is designed to provide additional airflow within the cutting chamber of the mower deck to enhance the grass clipping mulching process. Additionally, the platform features our redesigned Personal Pace® self-propel system and additional design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enhancements intended to improve grass clipping bagging performance. These upgrades were introduced across the channel on our rear wheel drive platform powered by both gas engines as well as our 60V Flex-Force Power System®.</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Zero-Turn Riding Mowers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residential zero-turn riding mower equipment products are designed, manufactured, marketed, and sold under the Toro brand name and are intended to provide innovative and time saving turf cutting solutions by using superior maneuverability to navigate around obstacles more efficiently and effectively than tractor technology. Many models of our residential zero-turn riding mowers are available with a variety of engines, decks, transmissions, and accessories. In fiscal 2021, we introduced a new TITAN® MAX line of residential zero-turn riding mowers that are designed to provide homeowners with certain commercial-grade components and features that are intended to extend durability and performance and are more commonly found on our Professional zero-turn riding mowers. Such commercial-grade components and features include the IronForged® deck and larger drive tires intended to improve traction..</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Snow Thrower Products</w:t>
      </w:r>
    </w:p>
    <w:p>
      <w:pPr>
        <w:spacing w:after="0" w:line="117"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design, manufacture, market, and sell a range of Toro-branded battery, electric, and gas-powered single-stage and two-stage snow thrower equipment products, as well as battery and electric-powered power shovel equipment products. Single-stage snow throwers are walk behind units that are generally designed for small areas of light snow and our two-stage snow throwers are generally designed for relatively large areas of deep and heavy snow. Our battery and electric-powered power shovels are designed to be lightweight and ideal for clearing light snow from decks, steps, sidewalks, and small driveways. In fiscal 2021, we introduced the 60V Power Max 2-Stage Snow Blower, the first battery-powered two-stage snow thrower in our 60V Flex-Force Power System® lineup. This innovative battery-powered two-stage snow thrower is offered in both 24-inch and 26-inch models and, when powered with two 7.5 amp hour batteries, is capable of clearing up to 30 car spaces with up to 10 inches of snow on a single charge.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Home Solutions Products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Our home solutions equipment products are designed, manufactured, marketed, and sold under the Toro and Pope brand names. Our Toro-branded home solution equipment products consist of a variety of yard tools that generally include battery, electric, and/or gas-powered options and primarily consist of grass trimmers, hedge trimmers, blower-vacuums, chainsaws, edgers, cultivators, string mowers, and related parts and accessories that are designed to provide innovative yard maintenance solutions to homeowners. In fiscal 2021, we continued to expand our successful battery-powered 60V Flex-Force line to include pole chainsaws and new grass trimmer and leaf blower models. The 60V Flex-Force line now includes over 35 tools that utilize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lithium-ion smart battery platform that is designed for extended life and low maintenance.</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Australia and New Zealand, we design, manufacture, market, and sell Pope-branded garden watering and irrigation products that primarily include hoses; reels, carts and hangers; sprinklers; hand sprays and wands; hose end fittings; tap timers; and various irrigation tools designed to develop and maintain gardens. In fiscal 2021, we improved our classification from "advanced" to "leading" in the Australian Packaging Covenant review relating to our sustainability efforts.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currently manufacture our products in the U.S., Mexico, Australia, the United Kingdom, Italy, Romania, Germany, Poland, and China for sale throughout the world. We maintain sales offices in the U.S., the United Kingdom, Australia, Japan, China, Italy, Poland, Germany, Spain, and France. New product development is pursued primarily in the U.S. with the intention of global distribution. Our net sales outside the U.S. were 20.9 percent, 20.1 percent, and 23.1 percent of total consolidated net sales for fiscal 2021, 2020, and 2019, respectively. For additional financial information regarding our international operations and geographical areas, refer to Note 3, </w:t>
      </w:r>
      <w:r>
        <w:rPr>
          <w:rFonts w:ascii="Arial" w:cs="Arial" w:eastAsia="Arial" w:hAnsi="Arial"/>
          <w:sz w:val="16"/>
          <w:szCs w:val="16"/>
          <w:i w:val="1"/>
          <w:iCs w:val="1"/>
          <w:color w:val="auto"/>
        </w:rPr>
        <w:t>Segment Data</w:t>
      </w:r>
      <w:r>
        <w:rPr>
          <w:rFonts w:ascii="Arial" w:cs="Arial" w:eastAsia="Arial" w:hAnsi="Arial"/>
          <w:sz w:val="16"/>
          <w:szCs w:val="16"/>
          <w:color w:val="auto"/>
        </w:rPr>
        <w:t>, in the Notes to Consolidated Financial Statements included in Part II, Item 8, "Financial Statements and Supplementary Data," of this Annual Report on Form 10-K.</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that our longstanding commitment to quality and innovation in our products has been a key driver of our history of market success. We are committed to an ongoing engineering program dedicated to developing innovative new products and improvements in the quality and performance of existing products and when applicable, we may pursue targeted and strategic acquisitions to acquire innovative technologies that we believe uphold and bolster our longstanding commitment to quality and innovation in our products. For example, during the first quarter of fiscal 2021, we completed the asset acquisition of Turflynx, Lda, a developer of innovative autonomous solutions for turf management, and during the second quarter of fiscal 2021, we completed the asset acquisition of Left Hand Robotics, Inc., a developer of innovative autonomous solutions for turf and snow management. These strategic asset acquisitions complement and support the development of alternative power, smart-connected, and autonomous products within our Professional and Residential segments.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Engineering and research activities are performed at our global test sites and facilities and our products are tested in conditions and locations similar to those in which they are intended to be used.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Production</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through collaboration with our vendors, contract with them for the development of tooling, and subsequently enter into agreements with such vendors to purchase component parts manufactured using the tooling. We also have some agreements with third-party manufacturers to manufacture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resource use and the quality, fit, and finish of our products. Our operations are also designed to be flexible enough to accommodate product design changes that are necessary to respond to market conditions and changing customer requirements.</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 final production. DFM/A principles are used throughout the product development process to optimize product quality and reduce cost.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Professional segment products and Residential segment lawn and garden products are generally manufactured</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throughout the year with peak production generally occurring ahead of the key selling seasons for certain of our businesses and product lines that are more subject to seasonality. However, our Residential segment snow thrower products are generally manufactured in the summer and fall months but may be extended into the winter months, depending upon weather conditions in key regions and the related demand for such products. Our production levels and inventory management goals are based on estimates of wholesale and retail demand for our products, taking into account production capacity; commodity, component part, and labor availability; timing of shipments; and field inventory levels. Our production system generally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 We may also periodically shut down production at our manufacturing facilities in order to allow for maintenance, rearrangement, capital equipment installation, seasonality, and as needed, to adjust for market demand, facility renovation projects, and other factors. Production shut downs of this nature are generally not materially disruptive to our business and are considered to be normal.</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While our facilities remained operational during fiscal 2021 and we experienced a lesser degree of intermittent partial or full factory closures due to government mandated measures as compared to fiscal 2020, our manufacturing operations were adversely impacted by the global macroeconomic environment caused by COVID-19 and more specifically, global supply chain disruptions that limited our ability to procure certain commodities and components parts in a timely manner to meet manufacturing production requirements. As a result, we experienced various degrees of commodity and component parts availability issues, which resulted in manufacturing inefficiencies and limited our ability to meet customer demand and adequately replenish certain raw materials, work in process, and finish goods inventory levels. Further, given continued strong demand for our Professional and Residential segment products, we shut down production at our manufacturing facilities to a lesser extent during fiscal 2021 as compared to fiscal 2020 in order to allow for maintenance, rearrangement, capital equipment installation, seasonality, and as needed, to adjust for market demand, facility renovation projects, and other factors. For additional information regarding the impact of COVID-19 on our manufacturing and production activities, refer to the section titled "Impact of COVID-19" included within Part II, Item 7, "Management's Discussion and Analysis of Financial Condition and Results of Operations,"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 Components, Parts, and Accessories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purchase commodities, components, parts, and accessories for use in our manufacturing process and end-products or to be sold as stand-alone end-products.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primary cost exposures for such items used in our products are with steel, aluminum, petroleum and natural gas-based resins, linerboard, copper, lead, rubber, engines, transmissions, transaxles, hydraulics, electrification components,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changes to international trade policies, agreements, and/or regulation and competitor activity, including antidumping and countervailing duties on certain products imported from foreign countries, including certain engines imported into the U.S. from China. For additional information regarding changing costs of commodities, refer to Part II, Item 7A, "Quantitative and Qualitative Disclosures about Market Risk," of this Annual Report on Form 10-K in the section entitled "Commodity Cost Risk."</w:t>
      </w:r>
    </w:p>
    <w:p>
      <w:pPr>
        <w:spacing w:after="0" w:line="283"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Most of the commodities, components, parts, and accessories utilized in our products are generally commercially available from a number of sources, and are in adequate supply. Although we regularly monitor the adequacy of the supply of our commodities, components, parts, and accessories, and the financial health of the companies in our supply chain, and use alternative suppliers when necessary and available, financial hardship and/or government mandated restrictions on our suppliers caused by COVID-19, insufficient demand planning, and/or the inability of companies throughout our supply chain to deliver on supply commitments, requirements, and/or demands as a result of COVID-19 or otherwise, has caused disruptions in our ability to procure the commodities, components, and parts required to manufacture our products. During fiscal 2021, we experienced a greater level of disruption within our global supply chain that limited our ability to procure commodities, components, parts, and accessories in a timely manner to meet manufacturing production requirements than we experienced during fiscal 2020. As a result, we experienced various degrees of product availability issues, which limited our ability to meet customer demand and adequately replenish certain raw materials, work in process, and finished goods inventory levels. Additionally, we experienced increased inflationary cost pressures on commodity, component parts, and other related costs in fiscal 2021 as compared to fiscal 2020. For additional information regarding the impact of COVID-19 on our ability to procure commodities, components, parts, and accessories, refer to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titled "Impact of COVID-19" included within Part II, Item 7, "Management's Discussion and Analysis of Financial Condition and Results of Operations,"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Standard warranty coverage is generally for specified periods of time and on select products' hours of usage, and generally covers parts, labor, and other expenses for non-maintenance repairs. We also sell extended warranty coverage on select products for a prescribed period after the original warranty period expires.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At the time of sale, we recognize expense and record an accrual by product line for estimated costs in connection with forecasted future warranty claims. Our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Additionally, from time to time, we may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 Service support outside of the warranty period is provided by authorized distributors and dealers at the customer's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Safety and Liability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From time to time, we are involved in patent litigation cases, including cases by or against competitors, where we are asserting or defending against claims of patent infringement.</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 For a description of our material intellectual property legal proceedings, refer to the headings titled "Litigation" and "Litigation Settlement" within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of the Notes to Consolidated Financial Statements included in Part II, Item 8, "Financial Statements and Supplementary Data,"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our global presence in key markets that are subject to seasonal weather patterns,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 our quarterly financial results to differ between fiscal years as demand for our products and related shipment volumes can shift between quarters. Such shifts in the demand for our products and related shipment volumes may result in a negative or positive impact on our net sales and Results of Operations for a particular period.</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shipment volumes generally precede and overlap the key selling seasons of our channel partners in order to better allow our channel partners to align field inventory levels with the anticipated retail demand from end-customers and as a result, our shipment volumes have historically been the highest in our fiscal second quarter and retail demand for our products is generally highest in our fiscal third quarter. Typically, our accounts receivable balances increase between January and April as a result of higher shipment volumes and</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Shipments of our Residential segment products, which accounted for 25.5 percent of total consolidated net sales in fiscal 2021, are seasonal, with shipments of lawn and garden products occurring primarily between February and June, depending upon seasonal weather conditions and demand for our products.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Seasonality of Professional segment product sales, which accounted for 74.0 percent of total consolidated net sales in fiscal 2021, also exists, but is slightly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seasonal weather conditions in particular geographic regions or markets, particularly severe wet or dry conditions, as well as significant weather events such as fires, hurricanes, tornados, drought, rainfall, unseasonably warm winter months, or other weather events, including those exacerbated by global climate change, may adversely or positively affect sales, demand, and field inventory levels of some of our products. In addition, weather conditions in key regions can cause disruption in our supply chain, which may impact our ability to procure the commodities, components, parts, and accessories needed to manufacture our products to meet the needs of our customers, and such disruptions may adversely or positively affect sales, demand, and field inventory levels of some of our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Customers, Distribution, and Marketing</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We market and sell the majority of our products through more than 150 distributors worldwide, as well as a large number of equipment dealers, irrigation dealers and distributors, mass retailers, hardware retailers, equipment rental centers, home centers, and online (direct to end-users) in more than 125 countries. Our distribution networks are intended to assure quality of sales and market presence, as well as to provide effective after-purchase service and support. 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64"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Professional segment products are sold to distributors and dealers primarily for resale to golf courses, sports fields, industrial facilities, contractors, and government customers, and in some markets for resale to dealers. We sell some Professional segment products directly to government customers and municipalities and rental companies, as well as to end-users in certain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as well as direct to end-users in certain markets. Landscape contractor turf products are also sold to dealers in certain regions of North America. Snow and ice management products are primarily sold to distributors and dealers for resale to contractors.</w:t>
      </w:r>
    </w:p>
    <w:p>
      <w:pPr>
        <w:spacing w:after="0" w:line="76"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Residential segment products, such as walk power mowers, zero-turn riding mowers, and snow throwers, are generally sold to home centers, mass retailers, dealers, hardware retailers, as well as online (direct to end-users). In certain markets, these same products are sold to distributors for resale to hardware retailers and dealers. Home solutions products are primarily sold to home centers, mass retailers, and hardware retailers. Internationally, Residential segment products are sold to dealers and mass merchandisers in Australia, Canada, and select countries in Europe. In most other countries, Residential segment products are mainly sold to distributors for resale to dealers and mass retailers.</w:t>
      </w:r>
    </w:p>
    <w:p>
      <w:pPr>
        <w:spacing w:after="0" w:line="60"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On November 2, 2020, in the first quarter of fiscal 2021, we completed the sale of our Northeastern U.S. distribution company. During the remainder of fiscal 2021, we owned one domestic distribution company. Our primary purpose in owning a domestic distributorship is to improve operations and test and deploy new strategies and business practices that could be replicated by our independent distributors, as well as facilitating ownership transfers.</w:t>
      </w:r>
    </w:p>
    <w:p>
      <w:pPr>
        <w:spacing w:after="0" w:line="8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Our current marketing strategy is to maintain distinct brands and brand identification for Toro, Ditch Witch, eXmark, BOSS, Ventrac, American Augers, Trencor, Pope, Subsite, HammerHead, Radius, PERROT, Hayter, Unique Lighting</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Systems, Irritrol, and Lawn-Boy products. Across our brands, we market our Professional segment and Residential segment products during the appropriate season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joint venture with TCF Inventory Finance, Inc. ("TCFIF"), a subsidiary of The Huntington National Bank, established as Red Iron Acceptance, LLC ("Red Iron"). The primary purpose of Red Iron is to provide inventory financing to certain distributors and dealers of certain of our products in the U.S.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separate agreements between Red Iron and the dealers and distributors, Red Iron provides loans to the dealers and distributors for the advances paid by Red Iron to us.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such inventories are monitored regularly. Financing terms to the distributors and dealers require payment as the equipment, which secures the indebtedness, is sold to customers or when payment otherwise becomes due under the agreements between these financing entities and the distributors and dealers, whichever occurs first. Rates are generally indexed to LIBOR, or an alternative variable rate, plus a fixed percentage that differs based on whether the financing is for a distributor or dealer. Rates may also vary based on the product that is financed.</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Additionally, 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agreements with third-party financing companies to provide financing options to end-customers throughout the world. The purpose of these agreements is to provide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users of our products alternative financing options when purchasing our products.</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Backlog of Orders</w:t>
      </w:r>
    </w:p>
    <w:p>
      <w:pPr>
        <w:spacing w:after="0" w:line="12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Our backlog of orders represents unfulfilled customer purchase or sales orders on a particular day. The dollar value of our backlog of orders is equal to the gross sales value that we expect to bill to the customer and is not reduced for expected variable consideration related to certain of our sales promotions and incentives programs. Backlog is one of many indicators of business conditions within the markets and industries that we operate; however, our backlog of orders is considered more representative of business conditions than an indicator of our expectation of our future net sales because the dollar value of our backlog of orders is a gross amount that has not yet been reduced for the variable consideration associated with certain of our sales promotions and incentives programs and because backlog can fluctuate for a number of reasons, including the seasonality of our business, product mix, pricing actions, manufacturing and shipping schedules, cancellation and rescheduling of orders by our customers, and the timing of when orders are originally placed by customers and when we are able to fulfill such orders.</w:t>
      </w:r>
    </w:p>
    <w:p>
      <w:pPr>
        <w:spacing w:after="0" w:line="68"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We strive to balance timely order fulfillment to our customers with the lead times required by our suppliers to efficiently source commodities and component parts and manage costs. However, during fiscal 2021, we experienced unprecedented demand within our Professional and Residential segment businesses that reduced field inventory levels and drove an increase in purchase and sales orders that outpaced our production capacity. Further, the pace at which we were able to increase our production capacity was hampered due to supply chain challenges, including the inability to procure adequate volumes of certain commodities and component parts inventories and COVID-19-related manufacturing inefficiencies due to the continued reconfiguration of certain of our manufacturing processes in order to implement social distancing protocols within our facilities. As a result, the approximate backlog of orders as of October 31, 2021 and 2020 was $1,575.9 million and $370.9 million, respectively, an increase of $1,205.0 million. Barring any significant and longer-term material supply chain constraints, we expect that the majority of the existing October 31, 2021 backlog of orders will be fulfilled during fiscal 2022; however, it is possible that unanticipated effects of COVID-19, continued global supply chain disruptions, or other factors, such as customer issues, could cause further delays in delivery, an inability to complete unfilled customer orders, or even cancelled orders. For additional information regarding the impact of COVID-19 on our business and manufacturing operations, refer to the section titled "Impact of COVID-19" included within Part II, Item 7, "Management's Discussion and Analysis of Financial Condition and Results of Operations,"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global business operations result in us competing with many U.S. and non-U.S. companies across our various markets, industries, and product offerings. These competitors and the degree of competition vary widely by industry, product line, end market, geographic scope and/or geographic location, including some competitors that have substantially larger operations and financial resources than we do and some that have smaller operations offering various capabilities to customers. We also experience a certain level of competition among our own brands within certain industries and end markets. Because of the diversity of our product portfolios and industries, our businesses typically have a different set of competitors in each geographic area and end market in which they participate. Accordingly, estimating the number of competitors or precise market share is challenging; however, we believe that we are a principal competitor in most of our industries and markets.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competitive factors in our industries and markets are product innovation; quality and reliability; pricing and sales promotion and incentive programs; product support and customer service; warranty; brand awareness; reputation; distribution, shelf space, and product availability; and financing options. We believe we offer total solutions and full service packages with high quality products that have the latest technology and design innovations. In addition, by selling our products through a network of distributors, dealers, mass retailers, hardware retailers, home centers, as well as online (direct to end-users), users are offered comprehensive service support during and after the warranty period. We believe that we have a competitive advantage because we manufacture a broad range of product lines, we are committed to product innovation and customer service, we have a strong history in, and focus on, the industries and markets in which our business operates, and our distribution channels position us well to compete in various markets.</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Residential segment products generally face a higher volume of competition than our Professional segment products given the low barriers to entry resulting in numerous other manufacturers selling products that compete directly with our products. Internationally, our Residential segment products face more competition because many foreign competitors design, manufacture, market, and sell products in their respective countries. We experience this competition primarily in Europe. In addition, fluctuations in the value of the U.S. dollar affect the price of our products in foreign markets, thereby impacting their competitiveness. We provide pricing support to foreign customers, invoice in local currency, and execute foreign currency derivative hedging instruments, as appropriate, to remain competitive in international markets.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and Management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commitment to our human capital resources is key to our mission to deliver superior innovation and to deliver superior customer care. During fiscal 2021, we employed an average of 9,520 employees. The total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of employees as of October 31, 2021 was 10,982. As of October 31, 2021, approximately 13.3 percent of our employees were represented by a union under a collective bargaining agreement. From time to time, our collective bargaining agreements expire and come up for renegotiation. Our four collective bargaining agreements expire in March 2022, May 2022, October 2022, and October 2023. We consider our employee relations to be good.</w:t>
      </w:r>
    </w:p>
    <w:p>
      <w:pPr>
        <w:spacing w:after="0" w:line="8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A highlight of our commitment to our employees is our Sustainability Endures initiative, which includes "People" as one of our three core "Pillars" that represent key areas of focus for our company. Among the critical elements included in the "People Pillar" are the following:</w:t>
      </w:r>
    </w:p>
    <w:p>
      <w:pPr>
        <w:spacing w:after="0" w:line="75" w:lineRule="exact"/>
        <w:rPr>
          <w:sz w:val="20"/>
          <w:szCs w:val="20"/>
          <w:color w:val="auto"/>
        </w:rPr>
      </w:pPr>
    </w:p>
    <w:p>
      <w:pPr>
        <w:jc w:val="both"/>
        <w:ind w:left="500" w:hanging="332"/>
        <w:spacing w:after="0" w:line="282" w:lineRule="auto"/>
        <w:tabs>
          <w:tab w:leader="none" w:pos="4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Focus on Safety: </w:t>
      </w:r>
      <w:r>
        <w:rPr>
          <w:rFonts w:ascii="Arial" w:cs="Arial" w:eastAsia="Arial" w:hAnsi="Arial"/>
          <w:sz w:val="16"/>
          <w:szCs w:val="16"/>
          <w:color w:val="auto"/>
        </w:rPr>
        <w:t>The safety of our employees is a paramount value</w:t>
      </w:r>
      <w:r>
        <w:rPr>
          <w:rFonts w:ascii="Arial" w:cs="Arial" w:eastAsia="Arial" w:hAnsi="Arial"/>
          <w:sz w:val="16"/>
          <w:szCs w:val="16"/>
          <w:b w:val="1"/>
          <w:bCs w:val="1"/>
          <w:color w:val="auto"/>
        </w:rPr>
        <w:t xml:space="preserve"> </w:t>
      </w:r>
      <w:r>
        <w:rPr>
          <w:rFonts w:ascii="Arial" w:cs="Arial" w:eastAsia="Arial" w:hAnsi="Arial"/>
          <w:sz w:val="16"/>
          <w:szCs w:val="16"/>
          <w:color w:val="auto"/>
        </w:rPr>
        <w:t>for us. We provide mandatory safety trainings each month in our production facilities, which are designed to focus on empowering our employees with the knowledge and tools they need to make safe choices and to mitigate risks. Supervisors also complete safety management courses. In addition to traditional training, we use safety scorecards, standardized signage, and visual management throughout our facilities. Safety best practices are also regularly featured in our employee newsletters and town halls. In response to the COVID-19 pandemic, we implemented, and continue to adhere to, certain rigorous and meaningful safety measures recommended by the U.S. Centers for Disease Control and Prevention, World Health Organization, and federal, state, local, and foreign authorities that we determined were in the best interest of our employees, customers, suppliers, and communities. These important safety measures include the reconfiguration of manufacturing processes and other workspaces to implement social distancing protocols. For additional information regarding our COVID-19 employee safety measures, refer to the section titled "Impact of COVID-19" included within Part II, Item 7, "Management's Discussion and Analysis of Financial Condition and Results of Operations," of this Annual Report on Form 10-K.</w:t>
      </w:r>
    </w:p>
    <w:p>
      <w:pPr>
        <w:spacing w:after="0" w:line="14" w:lineRule="exact"/>
        <w:rPr>
          <w:rFonts w:ascii="Arial" w:cs="Arial" w:eastAsia="Arial" w:hAnsi="Arial"/>
          <w:sz w:val="16"/>
          <w:szCs w:val="16"/>
          <w:b w:val="1"/>
          <w:bCs w:val="1"/>
          <w:color w:val="auto"/>
        </w:rPr>
      </w:pPr>
    </w:p>
    <w:p>
      <w:pPr>
        <w:jc w:val="both"/>
        <w:ind w:left="500" w:hanging="332"/>
        <w:spacing w:after="0" w:line="281" w:lineRule="auto"/>
        <w:tabs>
          <w:tab w:leader="none" w:pos="4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Engagement: </w:t>
      </w:r>
      <w:r>
        <w:rPr>
          <w:rFonts w:ascii="Arial" w:cs="Arial" w:eastAsia="Arial" w:hAnsi="Arial"/>
          <w:sz w:val="16"/>
          <w:szCs w:val="16"/>
          <w:color w:val="auto"/>
        </w:rPr>
        <w:t>We provide all employees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share their opinions and feedback on our culture through a culture survey that is generally performed every two years, with pulse surveys that are offered intermittently between culture surveys. Results of the culture survey are measured and analyzed to enhance the employee experience, promote employee retention, drive change, and leverage the overall success of our organization.</w:t>
      </w:r>
    </w:p>
    <w:p>
      <w:pPr>
        <w:spacing w:after="0" w:line="4" w:lineRule="exact"/>
        <w:rPr>
          <w:rFonts w:ascii="Arial" w:cs="Arial" w:eastAsia="Arial" w:hAnsi="Arial"/>
          <w:sz w:val="16"/>
          <w:szCs w:val="16"/>
          <w:b w:val="1"/>
          <w:bCs w:val="1"/>
          <w:color w:val="auto"/>
        </w:rPr>
      </w:pPr>
    </w:p>
    <w:p>
      <w:pPr>
        <w:jc w:val="both"/>
        <w:ind w:left="500" w:hanging="332"/>
        <w:spacing w:after="0" w:line="252"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Talent Development: </w:t>
      </w:r>
      <w:r>
        <w:rPr>
          <w:rFonts w:ascii="Arial" w:cs="Arial" w:eastAsia="Arial" w:hAnsi="Arial"/>
          <w:sz w:val="18"/>
          <w:szCs w:val="18"/>
          <w:color w:val="auto"/>
        </w:rPr>
        <w:t>Our key talent philosophy is to develop talent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within and supplement with external hires. We provide all employees a wide range of professional development experiences, both formal and informal, at all stages in their careers. Our formal offerings include tuition reimbursement, a diverse curriculum of learning programs, leadership development experiences, vocational training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66" w:lineRule="auto"/>
        <w:rPr>
          <w:sz w:val="20"/>
          <w:szCs w:val="20"/>
          <w:color w:val="auto"/>
        </w:rPr>
      </w:pPr>
      <w:r>
        <w:rPr>
          <w:rFonts w:ascii="Arial" w:cs="Arial" w:eastAsia="Arial" w:hAnsi="Arial"/>
          <w:sz w:val="17"/>
          <w:szCs w:val="17"/>
          <w:color w:val="auto"/>
        </w:rPr>
        <w:t>external partnerships across the globe. One of our unique leadership development programs is our Front-Line Leadership Excellence program ("FLEX"), which focuses on building the leadership capabilities of our manufacturing supervisors globally, those with direct oversight of the people building our products. FLEX is designed to focus on helping our supervisors work through obstacles and communication challenges in order to enable the success of their teams. As a result of COVID-19 and the implementation of rigorous and meaningful employee safety measures intended to protect our employees, we transitioned many of our professional development opportunities to virtual delivery options and expanded our offerings for on-demand learning to ensure that robust learning opportunities were still available to our employees who were not required to by physically present at our facilities and sites to perform their job responsibilities. One such example of a virtual development program is our Engaging Effectively program, which is offered to leaders who are required to manage differently in a remote and hybrid environment, yet still engage and achieve high performance standards with their teams.</w:t>
      </w:r>
    </w:p>
    <w:p>
      <w:pPr>
        <w:spacing w:after="0" w:line="2" w:lineRule="exact"/>
        <w:rPr>
          <w:sz w:val="20"/>
          <w:szCs w:val="20"/>
          <w:color w:val="auto"/>
        </w:rPr>
      </w:pPr>
    </w:p>
    <w:p>
      <w:pPr>
        <w:jc w:val="both"/>
        <w:ind w:left="340" w:hanging="332"/>
        <w:spacing w:after="0" w:line="281"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Health and Wellness: </w:t>
      </w:r>
      <w:r>
        <w:rPr>
          <w:rFonts w:ascii="Arial" w:cs="Arial" w:eastAsia="Arial" w:hAnsi="Arial"/>
          <w:sz w:val="16"/>
          <w:szCs w:val="16"/>
          <w:color w:val="auto"/>
        </w:rPr>
        <w:t>The health and wellness of our employees are</w:t>
      </w:r>
      <w:r>
        <w:rPr>
          <w:rFonts w:ascii="Arial" w:cs="Arial" w:eastAsia="Arial" w:hAnsi="Arial"/>
          <w:sz w:val="16"/>
          <w:szCs w:val="16"/>
          <w:b w:val="1"/>
          <w:bCs w:val="1"/>
          <w:color w:val="auto"/>
        </w:rPr>
        <w:t xml:space="preserve"> </w:t>
      </w:r>
      <w:r>
        <w:rPr>
          <w:rFonts w:ascii="Arial" w:cs="Arial" w:eastAsia="Arial" w:hAnsi="Arial"/>
          <w:sz w:val="16"/>
          <w:szCs w:val="16"/>
          <w:color w:val="auto"/>
        </w:rPr>
        <w:t>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During fiscal 2021, we implemented an employee campaign in support of COVID-19 vaccine efforts. This employee campaign was designed to provide information about, and support and encourage our employees to receive, a COVID-19 vaccination. As part of this employee campaign, we facilitated the offering of the vaccine to our employees at certain of our facilities.</w:t>
      </w:r>
    </w:p>
    <w:p>
      <w:pPr>
        <w:spacing w:after="0" w:line="7" w:lineRule="exact"/>
        <w:rPr>
          <w:rFonts w:ascii="Arial" w:cs="Arial" w:eastAsia="Arial" w:hAnsi="Arial"/>
          <w:sz w:val="16"/>
          <w:szCs w:val="16"/>
          <w:color w:val="auto"/>
        </w:rPr>
      </w:pPr>
    </w:p>
    <w:p>
      <w:pPr>
        <w:jc w:val="both"/>
        <w:ind w:left="340" w:hanging="332"/>
        <w:spacing w:after="0" w:line="281"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Diversity, Equity and Inclusion: </w:t>
      </w:r>
      <w:r>
        <w:rPr>
          <w:rFonts w:ascii="Arial" w:cs="Arial" w:eastAsia="Arial" w:hAnsi="Arial"/>
          <w:sz w:val="16"/>
          <w:szCs w:val="16"/>
          <w:color w:val="auto"/>
        </w:rPr>
        <w:t>We recognize that our best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comes when our teams are diverse, and accordingly, diversity, equity and inclusion ("DEI") is one of our core values. To promote diversity, equity and inclusion in the workplace, we formed an employee DEI committee with strategic pillars of focus that include nurturing an inclusive workspace, attracting and maintaining a diverse workforce, and impacting the communities and markets in which our employees live and work. Initiatives developed by our employee DEI committee include, but are not limited to, events to celebrate heritage and awareness months, a new grant program for advancing equitable communities, and the inception of an employee resource group to support women in the workforce.</w:t>
      </w:r>
    </w:p>
    <w:p>
      <w:pPr>
        <w:spacing w:after="0" w:line="7"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We provide competitive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benefits in order to attract and retain superior talent. In addition to salaries, our compensation and benefits, which vary by country/region, can include annual bonuses, stock-based compensation awards,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401(k) plan with employee matching opportunities, healthcare and insurance benefits, health savings and flexible spending accounts, paid time off, family leave, family care resources, flexible work schedules, adoption and surrogacy assistance, employee assistance programs, tuition assistance and on-site services, such as health centers and fitness centers, among many others.</w:t>
      </w:r>
    </w:p>
    <w:p>
      <w:pPr>
        <w:spacing w:after="0" w:line="1" w:lineRule="exact"/>
        <w:rPr>
          <w:sz w:val="20"/>
          <w:szCs w:val="20"/>
          <w:color w:val="auto"/>
        </w:rPr>
      </w:pPr>
    </w:p>
    <w:p>
      <w:pPr>
        <w:jc w:val="both"/>
        <w:ind w:left="500" w:hanging="332"/>
        <w:spacing w:after="0" w:line="284" w:lineRule="auto"/>
        <w:tabs>
          <w:tab w:leader="none" w:pos="49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Community Involvement: </w:t>
      </w:r>
      <w:r>
        <w:rPr>
          <w:rFonts w:ascii="Arial" w:cs="Arial" w:eastAsia="Arial" w:hAnsi="Arial"/>
          <w:sz w:val="16"/>
          <w:szCs w:val="16"/>
          <w:color w:val="auto"/>
        </w:rPr>
        <w:t>Our employees around the world</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 with local charitable organizations and civic projects including supporting the beautification and preservation of outdoor environments, water conservation, community health and housing and youth enrichment. We extend the impact of our employees’ efforts through matching gifts and the donation of products and expertise, and by providing all full-time salaried employees with the opportunity to volunteer up to 20 hours of their time during the workday each year. In addition, as part of our Land. Water. Thrive. effort, we provide immersion experiences for our employees to work with smallholder farmers in developing countries. Our Land. Water. Thrive. Program is designed to improve productivity and agricultural water practices while also strengthening our employees’ empathy and customer-focused approach to problem solving.</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Our business, operations, facilities, and products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60" w:lineRule="exact"/>
        <w:rPr>
          <w:sz w:val="20"/>
          <w:szCs w:val="20"/>
          <w:color w:val="auto"/>
        </w:rPr>
      </w:pPr>
    </w:p>
    <w:p>
      <w:pPr>
        <w:jc w:val="both"/>
        <w:ind w:left="500" w:hanging="332"/>
        <w:spacing w:after="0" w:line="286"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U.S. EPA, the California Air Resources Board ("CARB"), and similar regulators in other U.S. states and foreign jurisdictions in which we sell our products have phased in, or are phasing in, emission regulations setting maximum emission standards for certain equipment. Specifically, these agencies from time to time adopt increasingly stringent engine emission regulations. Following the EPA implementation of Tier 4 emission requirements applicable to diesel engines several years ago, China, the European Union ("EU") and related countries, and the United Kingdom also have adopted similar regulations, and similar emission regulations are also being considered in other global markets, including Australia, in which we sell our products. CARB continues to propose and discuss implementation of Zero Emissions Equipment regulations that, when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line="274" w:lineRule="auto"/>
        <w:rPr>
          <w:sz w:val="20"/>
          <w:szCs w:val="20"/>
          <w:color w:val="auto"/>
        </w:rPr>
      </w:pPr>
      <w:r>
        <w:rPr>
          <w:rFonts w:ascii="Arial" w:cs="Arial" w:eastAsia="Arial" w:hAnsi="Arial"/>
          <w:sz w:val="17"/>
          <w:szCs w:val="17"/>
          <w:color w:val="auto"/>
        </w:rPr>
        <w:t>implemented, will phase in increasingly stringent requirements on exhaust and other emissions from lawn and garden equipment.</w:t>
      </w:r>
    </w:p>
    <w:p>
      <w:pPr>
        <w:jc w:val="both"/>
        <w:ind w:left="340" w:hanging="332"/>
        <w:spacing w:after="0" w:line="281"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U.S. federal government, several U.S. states, and certain international jurisdictions in which we sell our products, including the EU and each of its member states, and related countries, have implemented one or more of the following: product life-cycle laws, rules, or regulations, which are intended to reduce waste and environmental and human health impact, and require manufacturers to label, collect, dispose, and recycle certain products, including some of our products, at the end of their useful life, including (i)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 similar substance level laws, rules, or regulations that require notification of use of certain chemicals, or ban or restrict the use of certain chemicals; (iv) the Battery Directive, which regulates the manufacture and disposal of batteries; (v) country of origin laws, rules, or regulations, which require certification of the geographic origin of our finished goods products and/or components used in our products through documentation and/or physical markings, as applicable; (v) energy efficiency laws, rules, or regulations, which are intended to reduce the use and inefficiencies associated with energy and natural resource consumption and require specified efficiency ratings and capabilities for certain products; (vi) outdoor noise laws, which are intended to reduce noise emissions in the environment from outdoor equipment;</w:t>
      </w:r>
    </w:p>
    <w:p>
      <w:pPr>
        <w:spacing w:after="0" w:line="16" w:lineRule="exact"/>
        <w:rPr>
          <w:rFonts w:ascii="Arial" w:cs="Arial" w:eastAsia="Arial" w:hAnsi="Arial"/>
          <w:sz w:val="16"/>
          <w:szCs w:val="16"/>
          <w:color w:val="auto"/>
        </w:rPr>
      </w:pPr>
    </w:p>
    <w:p>
      <w:pPr>
        <w:jc w:val="both"/>
        <w:ind w:left="340" w:hanging="8"/>
        <w:spacing w:after="0" w:line="281" w:lineRule="auto"/>
        <w:tabs>
          <w:tab w:leader="none" w:pos="75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conflict minerals laws, such as the Dodd-Frank Wall Street Reform and Consumer Protection Act and the rules promulgated by the U.S. Securities and Exchange Commission ("SEC"), which require specific procedures for the determination and disclosure of the use of certain minerals, known as "conflict minerals," which are mined from the Democratic Republic of the Congo and adjoining countries; (viii) other product substance restriction laws, some of which require certain labeling of products, such as California Proposition 65; (ix) electromagnetic compatibility laws and regulations, such as the EU Electromagnetic Compatibility directive, and similar laws and regulations in other markets; (x) wireless product type approvals and licenses in global markets and the EU Radio Equipment Directive and similar laws and regulations related to wireless and radio usage; and</w:t>
      </w:r>
    </w:p>
    <w:p>
      <w:pPr>
        <w:spacing w:after="0" w:line="7" w:lineRule="exact"/>
        <w:rPr>
          <w:rFonts w:ascii="Arial" w:cs="Arial" w:eastAsia="Arial" w:hAnsi="Arial"/>
          <w:sz w:val="16"/>
          <w:szCs w:val="16"/>
          <w:color w:val="auto"/>
        </w:rPr>
      </w:pPr>
    </w:p>
    <w:p>
      <w:pPr>
        <w:ind w:left="340" w:hanging="8"/>
        <w:spacing w:after="0" w:line="250" w:lineRule="auto"/>
        <w:tabs>
          <w:tab w:leader="none" w:pos="726" w:val="left"/>
        </w:tabs>
        <w:numPr>
          <w:ilvl w:val="1"/>
          <w:numId w:val="9"/>
        </w:numPr>
        <w:rPr>
          <w:rFonts w:ascii="Arial" w:cs="Arial" w:eastAsia="Arial" w:hAnsi="Arial"/>
          <w:sz w:val="18"/>
          <w:szCs w:val="18"/>
          <w:color w:val="auto"/>
        </w:rPr>
      </w:pPr>
      <w:r>
        <w:rPr>
          <w:rFonts w:ascii="Arial" w:cs="Arial" w:eastAsia="Arial" w:hAnsi="Arial"/>
          <w:sz w:val="18"/>
          <w:szCs w:val="18"/>
          <w:color w:val="auto"/>
        </w:rPr>
        <w:t>supply chain transparency laws and regulations addressing modern slavery and human trafficking.</w:t>
      </w:r>
    </w:p>
    <w:p>
      <w:pPr>
        <w:ind w:left="340" w:hanging="332"/>
        <w:spacing w:after="0" w:line="26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products may be subject to various federal, state, and international laws, rules, and regulations that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designed to protect users, including rules and regulations of the U.S.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Consumer Product Safety Commission.</w:t>
      </w:r>
    </w:p>
    <w:p>
      <w:pPr>
        <w:spacing w:after="0" w:line="9" w:lineRule="exact"/>
        <w:rPr>
          <w:sz w:val="20"/>
          <w:szCs w:val="20"/>
          <w:color w:val="auto"/>
        </w:rPr>
      </w:pPr>
    </w:p>
    <w:p>
      <w:pPr>
        <w:jc w:val="both"/>
        <w:ind w:left="500" w:hanging="332"/>
        <w:spacing w:after="0" w:line="281" w:lineRule="auto"/>
        <w:tabs>
          <w:tab w:leader="none" w:pos="4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spacing w:after="0" w:line="2" w:lineRule="exact"/>
        <w:rPr>
          <w:rFonts w:ascii="Arial" w:cs="Arial" w:eastAsia="Arial" w:hAnsi="Arial"/>
          <w:sz w:val="16"/>
          <w:szCs w:val="16"/>
          <w:color w:val="auto"/>
        </w:rPr>
      </w:pPr>
    </w:p>
    <w:p>
      <w:pPr>
        <w:jc w:val="both"/>
        <w:ind w:left="500" w:hanging="332"/>
        <w:spacing w:after="0" w:line="253"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and assembly of products within our facilities must comply with environmental regulations addressing air emissions, wastewater discharge, storm water run-off, and hazardous waste disposal.</w:t>
      </w:r>
    </w:p>
    <w:p>
      <w:pPr>
        <w:spacing w:after="0" w:line="85"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Compliance with existing laws, rules, and regulations has not historically had a material impact on our capital expenditures, earnings or global competitive position. With respect to acquired properties and businesses, we conduct due diligence regarding potential exposure to environmental liabilities but cannot be certain that we have identified or will identify all adverse environmental conditions. 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 xml:space="preserve">We are a U.S. public reporting company under the Exchange Act, and file reports, proxy statements, and other information with the SEC. Copies of these reports, proxy statements, and other information can be accessed from the SEC's home page on the Internet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We make available, free of charge on our website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We also provide corporate governance and other information, including our sustainability strategy, on our website. The information contained on our website or connected to our website is not incorporated by reference into, and should not be considered part of, this Annual Report on Form 10-K.</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The following are material risk factors known to us that could materially adversely affect our business, reputation, operating results, industry, financial position, or future financial performance. The risks described below are not the only risks we face. Additional risks not presently known to us or that we currently deem immaterial may also impair our business, reputation, operating results, industry, financial position, or future financial performance.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Operational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net sales and earnings have been and could continue to be adversely affected by economic conditions and outlook in the locations in which we conduct business.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Adverse economic conditions and outlook in the U.S. and in other countries in which we conduct business, including as a result of COVID-19, have and could continue to impact our net sales and earnings. These adverse economic conditions include, but are not limited to, business closures, slowdowns, suspensions or delays of production and commercial activity; recessionary conditions; slow or negative economic growth rates; slowdowns or reductions in levels of interest in the game of golf or golf course activity, development, renovation, and improvement; golf course closures; reduced governmental or municipal spending; reduced levels of home ownership, construction, and sales; home foreclosures;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 In the past, some of these factors have caused and may continue to cause our distributors, dealers, and end-user customers to reduce spending and delay or forego purchases of our products, which has had an adverse effect on our net sales and earnings.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COVID-19 materially adversely impacted portions of our business, financial condition and operating results and such impact will likely continue and could continue to be material.</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created significant worldwide volatility, uncertainty and disruption and has materially adversely impacted portions of our business and such adverse impact will likely continue. However, the extent and duration of such possible impacts will depend on numerous evolving factors, including:</w:t>
      </w:r>
    </w:p>
    <w:p>
      <w:pPr>
        <w:spacing w:after="0" w:line="80" w:lineRule="exact"/>
        <w:rPr>
          <w:sz w:val="20"/>
          <w:szCs w:val="20"/>
          <w:color w:val="auto"/>
        </w:rPr>
      </w:pPr>
    </w:p>
    <w:p>
      <w:pPr>
        <w:ind w:left="340" w:hanging="332"/>
        <w:spacing w:after="0" w:line="258"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governmental, business and individual actions that have been, and continue to be, taken in response to COVID-19;</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the deployment of approved COVID-19 vaccines, their effectiveness against the novel strain and related variants, and their rate of adoption;</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COVID-19 on our suppliers' and companies throughout our supply chain to meet supply commitments, requirements, and/or demands and our ability to continue to obtain commodities, components, parts, and accessories on a timely basis and at anticipated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340" w:hanging="332"/>
        <w:spacing w:after="0" w:line="25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COVID-19 on our dealers, distributors, mass retailers, and other channel partners and customers, including reduced or constrained budgets and cash preservation efforts;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operations and/or adjust our production schedules to maintain efficient manufacturing operations and fulfill existing and future sales order backlog;</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or services;</w:t>
      </w: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logistics costs and transportation challenges;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necessary actions and preparedness plans we have enacted and may enact in the future to help ensure the health and safety of our employees and continued operations;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of employees, their ability to continue to conduct work under revised work environment protocols, the general willingness of employees to come to normal working locations and perform work, as well as our ability, and/or the ability of companies throughout our supply chain, to adequately staff manufacturing and/or other business processes in the event an employee, or multiple employees, contract COVID-19 and must remain away from work locations for an extended period of time;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future restructuring, impairment or other charges;</w:t>
      </w:r>
    </w:p>
    <w:p>
      <w:pPr>
        <w:spacing w:after="0" w:line="9"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establish and maintain appropriate estimates and assumptions used to prepare the Consolidated Financial Statements;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impact of COVID-19 on the financial and credit markets and economic activity generally;</w:t>
      </w: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access lending, capital markets, and other sources of liquidity when needed on reasonable terms or at all;</w:t>
      </w: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debt agreements if the material economic conditions resulting from COVID-19 lead to substantially increased indebtedness and/or lower adjusted EBITDA for us; and</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exacerbation of negative impacts of a global or national recession, depression or other sustained adverse market event as a result of COVID-19.</w:t>
      </w:r>
    </w:p>
    <w:p>
      <w:pPr>
        <w:spacing w:after="0" w:line="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impacts from COVID-19 and efforts to contain it have heightened the other risks described in this Annual Report on Form 10-K.</w:t>
      </w:r>
    </w:p>
    <w:p>
      <w:pPr>
        <w:spacing w:after="0" w:line="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are unable to continue to enhance existing products and develop and market new products that respond to customer needs and preferences and achieve market acceptance, including by incorporating new, emerging, and/or disruptive technologies that may become preferred by our customers, demand for our products may decrease, and our net sales, which have historically benefited from the introduction of new products, may be adversely affected.</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our strategies is to develop innovative, customer-valued products to generate revenue growth. In the past, our sales from new products, which we define as those introduced in the current and previous two fiscal years, have</w:t>
      </w:r>
    </w:p>
    <w:p>
      <w:pPr>
        <w:spacing w:after="0" w:line="303"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represented a significant portion of our net sales and are expected to continue to represent a significant portion of our future net sales. We may not be able to compete as effectively and ultimately satisfy the needs and preferences of our customers, unless we can continue to enhance existing products and develop new and innovative products, including by incorporating new, emerging, and/or disruptive technologies that may become preferred by our customers.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development, improvement, and introductions require significant financial and technological resources, talent, research, planning, design, development, engineering, and testing at the technological, product, and manufacturing process levels, and we may not be able to timely develop and introduce new products, technologies or product improvements. New and innovative competitive products may beat our products to market; be higher quality or more reliable; be more effective, have more features, and/or be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investments in manufacturing capacity and commitments to fund advertising, sales incentive and promotion programs, and research and development.</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 and/or shortages in the availability of commodities, components, parts, or accessories used in our products has, and could continue to, adversely affect our business.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COVID-19, global supply chain disruptions, natural disasters, antidumping and countervailing duty petitions regarding certain engines imported into the U.S. from China, and other tariffs has, to various and differing degrees, impacted the availability of commodities, components, parts, and accessories used in our products. In addition, while most of the commodities, components, parts, or accessories used in our products are generally commercially available from a number of sources, certain items are sourced from single suppliers, which has limited, and could continue to limit, the availability of commodities, components, parts, and accessories when such suppliers are unable to meet our production requirements and we are unable to source such items from an alternative supplier in a timely manner to meet our production needs. Any continued or new disruption or shortages in the availability of commodities, components, parts, or accessories used in our products or sold as standalone products, including as a result of labor staffing, workforce shortage, or other challenges that our suppliers may experience as a result of financial hardship and/or COVID-19, pandemics and/or epidemics, natural disasters, and adverse weather, the frequency and intensity of which may be exacerbated by climate change, or other events, our inability to timely or otherwise obtain substitutes for such items, or any deterioration in our relationships with, the financial viability or quality of, or the personnel 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at, our suppliers, could adversely affect our business and operating results.</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Weather conditions, including conditions exacerbated by global climate change, have previously impacted, and may continue to impact, demand for some of our products and/or cause disruptions in our operations, including as a result of disruption in our supply chain, which may adversely affect our net sales or our operating results.</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Weather conditions in a particular geographic region have adversely impacted, and will likely in the future, adversely affect sales, demand, and field inventory levels of some of our products. Weather conditions also have disrupted our own manufacturing and distribution facilities and our supply chain, which has impacted our ability to manufacture product to fulfill customer demand, and such disruptions may occur in the future. For example, past drought or unusually wet conditions have had an adverse effect on sales of certain mowing equipment products. Unusually rainy weather or severe drought conditions that result in watering bans, or otherwise, have had an adverse effect on sales of our irrigation products, and lower snowfall accumulations in key markets have had an adverse effect on sales of our Residential snow thrower products and products of our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our facilities and other operations and those of our distribution channel customers and suppliers have incurred losses and experienced disruptions as a result of certain weather conditions and such losses or disruption may continue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outages or shortages, or telecommunications failures.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Global climate change may exacerbate the frequency and intensity of unfavorable weather conditions, such as fires, hurricanes, tornadoes, drought, water shortages, rainfall, unseasonably warm winter months, or other weather events, many of which have increased in severity in recent years, in geographic areas where our products are manufactured, distributed, sold, and used and where our supply chains our</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located, and our sales and operating results may be affected to a greater degree than we have previously experienced. Such weather conditions could pose physical risks to our facilities and critical infrastructure in the U.S. and abroad, disrupt the operation of our supply chain and third-party vendors, and may impact operational results. Additionally, increased frequency and intensity of weather events due to climate change could lead to lost sales as customers prioritize basic needs.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Professional segment includes a variety of products that depend on certain and varied factors.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Professional segment includes a variety of products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Any one or a combination of the following factors, among others, many of which have been and may continue to be adversely impacted by COVID-19, could result in a decrease in spending and demand for our products and have an adverse effect on our Professional segment net sales:</w:t>
      </w:r>
    </w:p>
    <w:p>
      <w:pPr>
        <w:spacing w:after="0" w:line="77" w:lineRule="exact"/>
        <w:rPr>
          <w:sz w:val="20"/>
          <w:szCs w:val="20"/>
          <w:color w:val="auto"/>
        </w:rPr>
      </w:pPr>
    </w:p>
    <w:p>
      <w:pPr>
        <w:jc w:val="both"/>
        <w:ind w:left="340" w:hanging="332"/>
        <w:spacing w:after="0" w:line="287"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reduced revenue for golf courses resulting from a reduction in the level of interest in the game of golf and/or a decrease in rounds played, memberships, and/or food and beverage sales, as applicable;</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reduced investment in golf course renovations and improvements;</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level of new golf course development and golf course closures;</w:t>
      </w:r>
    </w:p>
    <w:p>
      <w:pPr>
        <w:spacing w:after="0" w:line="20" w:lineRule="exact"/>
        <w:rPr>
          <w:rFonts w:ascii="Arial" w:cs="Arial" w:eastAsia="Arial" w:hAnsi="Arial"/>
          <w:sz w:val="17"/>
          <w:szCs w:val="17"/>
          <w:color w:val="auto"/>
        </w:rPr>
      </w:pPr>
    </w:p>
    <w:p>
      <w:pPr>
        <w:ind w:left="340" w:hanging="332"/>
        <w:spacing w:after="0" w:line="281"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reduced consumer and business spending on property maintenance, such as lawn care and snow and ice removal activities;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 or reduced levels of infrastructure improvements and other construction activities;</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oil and gas construction activities;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acceptance of, and demand for, ag-irrigation solutions for agricultural production;</w:t>
      </w: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cash or credit on acceptable terms for our customers to finance new product purchases; and</w:t>
      </w:r>
    </w:p>
    <w:p>
      <w:pPr>
        <w:jc w:val="both"/>
        <w:ind w:left="340" w:hanging="332"/>
        <w:spacing w:after="0" w:line="323"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customer and/or government budgetary constraints resulting in reduced spending for grounds maintenance or construction equipment.</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Residential segment net sales depend on consumers buying our Residential segment products at dealers, mass retailers, and home centers; the amount of product placement at mass retailers and home centers; consumer confidence and spending levels; changing buying patterns of customers; and the impact of significant sales or promotional events.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elimination, reduction, or changes in the placement of shelf space assigned to our Residential segment products at mass retailers and home centers, could adversely affect our Residential segment net sales. Our Residential segment net sales also depend upon the buying patterns of consumers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changes to buying patterns could result in reduced sales. For example, as consumers purchase products at home centers and mass retailers that typically offer broader and lower price points than dealers, demand for and sales of our Residential segment products purchased at mass retailers and home centers have increased.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can be impacted as a result of the timing of significant sales or promotional events for our Residential products.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our product mix between reportable segments and/or within a reportable segment could adversely impact our financial performance, including profit margins and net earnings.</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face intense competition in all of our product lines with numerous manufacturers and we may fail to compete effectively against competitors' actions, which could harm our business and operating results.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products are sold in highly competitive markets throughout the world and as a result, we compete with many U.S. and non-U.S. companies across our various markets, industries, and product offerings. These competitors and the degree of competition vary widely by industry, product line, end market, geographic scope and/or geographic location. The principal competitive factors in our industries and markets include product innovation; quality and reliability; pricing and sales promotion and incentive programs; product support and customer service; warranty; brand awareness; reputation; distribution, shelf space, and product placement and availability; and financing options. Some of our competitors have substantially larger operations and greater financial resources than us, and some have smaller operations offering various and/or more specialized capabilities to customers, and they may be able to adapt more quickly to</w:t>
      </w:r>
    </w:p>
    <w:p>
      <w:pPr>
        <w:spacing w:after="0" w:line="293"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or emerging technologies and changes in customer preferences, or devote greater or more specialized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and technologies under development, and our ability to develop new and improved products and technologies may be insufficient to enable us to compete effectively with our competitors.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Residential segment products generally face a higher volume of competition than our Professional segment products given the low barriers to entry resulting in numerous other manufacturers selling products that compete directly with our products. Internationally, our Residential segment products typically face more competition because many foreign competitors design, manufacture, market, and sell products in their respective countries. In addition, fluctuations in the value of the U.S. dollar may affect the price of our products in foreign markets, thereby impacting their competitiveness. Competitors may move manufacturing operations to low cost countries for significant cost and price reductions, and we may not be able to compete, which could harm our business and operating results.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Increases in the cost of commodities, components, parts, and accessories that we purchase and/or increases in our other costs of doing business, have, and could continue to, adversely affect our profit margins and businesses.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electrification components, and other commodities, components, parts and accessories. Increased costs, including as a result of COVID-19 and/or inflation, increased tariff,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U.S. from China, or the inability of suppliers to continue operations or otherwise remain in business, have affected our profit margins, operating results and businesses and could continue to result in declines in our profit margins, operating results and businesses. Historically, we have mitigated commodity, component, parts, or accessories cost increases, in part, by increasing prices on some of our products and executing on our strategic productivity initiatives, which include, but are not limited to, collaborating with suppliers, reviewing alternative sourcing options, substituting materials, utilizing Lean methods, and engaging in internal cost reduction efforts, all as appropriate. However, we may not be able to fully offset increased commodity, component, parts, or accessories costs in the future. Further,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price increases are not accepted by our customers and the market, our net sales, profit margins, earnings, and market share could be adversely affected.</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Any inability to cost-effectively expand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 has and could continue to adversely affect our business and operating results.</w:t>
      </w:r>
    </w:p>
    <w:p>
      <w:pPr>
        <w:spacing w:after="0" w:line="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Production downtime and/or the inability to produce products at our facilities or other disruptions have occurred and could continue to occur as a result of supply chain challenges, including the ability to procure adequate supplies of commodities, components, parts, and accessories to meet our production requirements and decreases in work force availability at our locations or those in our supply chains; natural disasters; inclement weather; man-made disasters or other external events, such as terrorist acts or acts of war, pandemics and/or epidemics, including COVID-19, boycotts and sanctions, widespread criminal activities, or protests and/or social unrest, or other events, at or in proximity to any of our facilities or in our manufacturing or other operations, or those of our distribution channel customers, mass retailers or home centers where our products are sold, or suppliers. A work slowdown, strike, or similar action could occur at any one of our facilities, or the facilities of our distribution channel customers and suppliers, and such facilities could fail to renew or enter into new collective bargaining agreements or may have to enter into a new collective bargaining agreement at a facility not currently covered by an agreement. Furthermore, we plan to shift production between our manufacturing facilities from time to time and open new manufacturing and/or distribution facilities to align production capacity with production goals. Such events and disruptions could make it difficult or impossible to manufacture or to deliver products to our customers, produce or maintain sufficient inventory of our products, receive commodities, components, parts or accessories from our suppliers, or perform critical functions, which could adversely affect our business globally or in certain regions. Such events also may result in shortages of commodities, components, parts, or accessories; higher fuel, transportation, and commodity costs; and delays in shipments to our distribution channel customers.</w:t>
      </w:r>
    </w:p>
    <w:p>
      <w:pPr>
        <w:spacing w:after="0" w:line="6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Any failure by us, or our suppliers or distribution channel partners, to hire and/or retain a labor force to adequately staff manufacturing operations, perform service or warranty work, or other necessary activities or allow employees to adequately and safely perform their jobs, could adversely affect our business, operating results, and reputation.</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labor needs, and those of our suppliers and distribution channel partners, fluctuate throughout the year and by region. During periods of peak manufacturing activity it is often</w:t>
      </w:r>
    </w:p>
    <w:p>
      <w:pPr>
        <w:spacing w:after="0" w:line="529"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distribution channel partners, manufacture products or conduct business, or other factors, we, or our suppliers and distribution channel partners, may not have a sufficient pool of individuals with the right skills and experience available to fulfill labor requirements on a cost-effective basis or otherwise.</w:t>
      </w:r>
    </w:p>
    <w:p>
      <w:pPr>
        <w:spacing w:after="0" w:line="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labor needs and those of our suppliers and distribution channel partners have been negatively impacted by COVID-19, which has exacerbated the challenges in retaining and maintaining an adequate production staff, including as a result of global governmental, business and individual actions that have been, and continue to be, taken in response to COVID-19, and such impacts are expected to continue. Furthermore, we have incurred additional costs as a result of necessary actions and preparedness plans to help ensure the health and safety of our employees and continued operations, including enhanced cleaning processes and protocols designed to implement appropriate social distancing practices. If we, or our suppliers and distribution channel partners, continue to be unable to hire, train, and/or retain a labor force to adequately staff manufacturing operations, perform service or warranty work, or other necessary activities, and adhere to protocols established to create a safe workplace, or we incur additional costs to help ensure the health and safety of our employees and operations, we could continue to experience disruptions in our manufacturing and other processes, which have and could continue to adversely impact our business, operating results and reputation.</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manage our inventory levels to meet our customers' demand for our products and fulfill existing and future sales order backlog is important for our business. Our production levels and inventory management goals for our products are based on estimates of demand for our products, taking into account production capacity, timing of shipments, existing sales order backlog, and field inventory levels. Managing inventory levels in the current COVID-19 commercial environment is particularly difficult as a result of demand volatility; changes to production operations, locations and schedule; and supply chain challenges limiting our ability to source an adequate supply of commodities, components, parts, and accessories to meet our production requirements. These factors have resulted manufacturing inefficiencies and related unfavorable manufacturing variances that have negatively impacted our financial results. If such manufacturing inefficiencies continue, we underestimate or overestimate both channel and retail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our products, are not able to manufacture product to fulfill customer demand and existing and future sales order backlog, and/or do not produce or maintain appropriate inventory levels, our net sales, margins, net earnings, and/or working capital could be negatively impacted. Furthermore, such impacts hinder our ability to meet customer demand, result in the loss of customers, and could cause us to incur charges associated with inventory valuation adjustments for excess and obsolete inventories.</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are subject to the inventory management decisions of our distribution channel customers.</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risks relating to the inventory management decisions and operational and sourcing practices of our distribution network. Our distribution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composition of, financial viability of, and the relationships with, our distribution channel customers could negatively impact our business and operating results.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fail to maintain an effective network of distribution channel partners, including distributors, dealers, mass retailers, and home centers, for our products, we may not have adequate market coverage for the optimal level of sales of our products. Additionally, our distribution channel customers may not commit the necessary resources to market and sell our products as we would expect, and/or they may not be successful in marketing and ultimately selling our products. Any weak demand for, or quality issues with, our products may cause our distribution channel customers to reduce or terminate their relationships with us or adversely affect our ability to engage new dealers and distributors or maintain or obtain shelf space at mass retailers and home centers. Changes in the ownership or control of our distribution channel customers could also adversely affect our relationships with them. If we are not able to maintain effective distribution channels, if our distribution channel customers are not successful in marketing and selling our products, or if we experience a significant reduction or cancellation or change in the size and timing of orders from our distribution channel customers, our sales could decline and have an adverse effect on our business and operating results.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if adverse economic conditions continue or business conditions worsen or other events cause a decline in sales by our distribution channel customers or weakens their financial condition, our net sales and earnings could be adversely affected. Such situation could adversely affect the ability of such customers to pay amounts owed, which could require us to repurchase financed product.</w:t>
      </w:r>
    </w:p>
    <w:p>
      <w:pPr>
        <w:spacing w:after="0" w:line="426"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Any material change in the availability or terms of credit offered to our customers by our floor plan arrangements, challenges or delays in transferring new distributors and dealers from any business we might acquire or otherwise to available floor plan platforms, any termination or disruption of our floor plan arrangements, or any delay in securing replacement credit sources could adversely affect our net sales and operating results.</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party to various floor plan arrangements in order to provide reliable, competitive floor plan financing to certain of our distributors and dealers primarily in the U.S. and Canada to support their businesses and improve our working capital for our other strategic purposes. As a result, we depend on such arrangements for our inventory financing programs. The availability of financing from our floor plan arrangements is affected by many factors, including, among others, the overall credit markets, the credit worthiness of our dealers and distributors, and regulations that may affect such financing providers. Any material change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If our information systems, software, or information security practices or those of our business partners or third-party service providers fail to adequately perform and/or protect sensitive or confidential information, or if we, our business partners, or third-party service providers experience an interruption in the operation of such systems, software, or practices, our business, reputation, financial condition, and operating results could be adversely affected.</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many information systems and other software that are critical to our business and certain of our products, some of which are managed by third-parties. These information systems and software are used to record, process, summarize, transmit, and store electronic information, and to manage or support a variety of business processes and activities, including, among other things, our accounting and financial functions; our manufacturing and supply chain processes; managing personal data or other data relating to our customers, suppliers, and employees; and the data related to our research and development efforts. We may be unable to enhance our existing information systems and software or implement new information systems or software when necessary; may experience unanticipated delays, complications, or expenses in implementing, integrating, and operating our systems; and/or require substantial expenditures or interruptions in operations in connection with any system changes we might pursue, including as may be necessary during the integration of acquisitions. The failure of our information systems or software or those of our business partners or third-party service providers to perform properly, or difficulties encountered in the development of or transfer over to new systems or the modification or upgrade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existing systems,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Additionally, we take steps to secure our information systems and software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data privacy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including those that may be used by our products, and those of our business partners and third-party service providers, and to the confidentiality, availability, and integrity of our data or data of our customers, suppliers or employees. Our business, reputation, operating results, and financial condition could be adversely affected if a significant cyber event or other event, disrupts or shuts down our operations; our confidential, proprietary information or data of our customers, suppliers, or employees is stolen or disclosed; our intranet and internet sites are compromised; data is manipulated or destroyed; we incur costs, are required to pay fines or face other regulatory enforcement actions,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 As we continue to develop internet-connected products and other new, emerging, and/or disruptive technologies, similar risks may also be present in the systems, technology, and software installed within such products.</w:t>
      </w:r>
    </w:p>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 portion of our consolidated net sales is generated outside of the U.S., and we intend to continue to look for opportunities to expand our international operations. Our international operations require significant management attention and financial resources, expose us to difficulties presented by international economic, political, legal, regulatory, accounting, and business factors, and may not be successful or produce desired levels of net sales.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markets have been, and will continue to be, a strategic focus area for revenue growth, both organically and through acquisitions. We currently manufacture our products and maintain sales offices in the U.S. and other countries for sale throughout the world. Our net sales outside the U.S.</w:t>
      </w:r>
    </w:p>
    <w:p>
      <w:pPr>
        <w:spacing w:after="0" w:line="434"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were 20.9 percent, 20.1 percent, and 23.1 percent of our total consolidated net sales for fiscal 2021, 2020, and 2019, respectively. We believe many opportunities exist in the international markets, and over time, we intend for international net sales to comprise a larger percentage of our total consolidated net sales; however, expanding our existing international operations and entering into additional international markets requires significant management attention and financial resources. Several factors, including the implications of withdrawal by the U.S. from, or revisions to, international trade agreements, foreign trade or other policy changes between the U.S. and other countries, weakened international economic conditions or the impact of sovereign debt defaults by certain European countries, could adversely affect our international net sales.</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the countries in which we manufacture or sell our products, or in which we otherwise have a presence are, to some degree, subject to political, economic, and/or social instability, which has been heightened as a result of COVID-19. As a result, our international operations expose us and our representatives, agents, and distribution channel customers to risks inherent in operating in foreign jurisdictions. These risks include:</w:t>
      </w:r>
    </w:p>
    <w:p>
      <w:pPr>
        <w:spacing w:after="0" w:line="5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weakened economic conditions;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and/or epidemics, including COVID-19;</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ind w:left="340" w:hanging="332"/>
        <w:spacing w:after="0" w:line="281"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 or enhanced trade restrictions and restrictions on the activities of foreign agents, representatives, and distribution channel customers;</w:t>
      </w:r>
    </w:p>
    <w:p>
      <w:pPr>
        <w:spacing w:after="0" w:line="1" w:lineRule="exact"/>
        <w:rPr>
          <w:rFonts w:ascii="Arial" w:cs="Arial" w:eastAsia="Arial" w:hAnsi="Arial"/>
          <w:sz w:val="16"/>
          <w:szCs w:val="16"/>
          <w:color w:val="auto"/>
        </w:rPr>
      </w:pPr>
    </w:p>
    <w:p>
      <w:pPr>
        <w:jc w:val="both"/>
        <w:ind w:left="340" w:hanging="332"/>
        <w:spacing w:after="0" w:line="265"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other non-tariff barriers to trade;</w:t>
      </w:r>
    </w:p>
    <w:p>
      <w:pPr>
        <w:jc w:val="both"/>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U.S. from China;</w:t>
      </w: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9" w:lineRule="exact"/>
        <w:rPr>
          <w:rFonts w:ascii="Arial" w:cs="Arial" w:eastAsia="Arial" w:hAnsi="Arial"/>
          <w:sz w:val="18"/>
          <w:szCs w:val="18"/>
          <w:color w:val="auto"/>
        </w:rPr>
      </w:pPr>
    </w:p>
    <w:p>
      <w:pPr>
        <w:ind w:left="340" w:hanging="332"/>
        <w:spacing w:after="0" w:line="290"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hanging="332"/>
        <w:spacing w:after="0" w:line="291"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potentially higher tax rates and adverse tax consequences, including restrictions on repatriating cash and/or earnings to the U.S.;</w:t>
      </w:r>
    </w:p>
    <w:p>
      <w:pPr>
        <w:ind w:left="500" w:hanging="332"/>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operating performance based on our geographic mix of sales;</w:t>
      </w:r>
    </w:p>
    <w:p>
      <w:pPr>
        <w:ind w:left="480" w:hanging="31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9"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acts of war or terrorist acts;</w:t>
      </w:r>
    </w:p>
    <w:p>
      <w:pPr>
        <w:ind w:left="500" w:hanging="332"/>
        <w:spacing w:after="0" w:line="250"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protecting, enforcing or defending intellectual property rights; and</w:t>
      </w:r>
    </w:p>
    <w:p>
      <w:pPr>
        <w:jc w:val="both"/>
        <w:ind w:left="500" w:hanging="332"/>
        <w:spacing w:after="0" w:line="255"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regulations and standards, including rules relating to taxes, environmental, health and safety matters.</w:t>
      </w:r>
    </w:p>
    <w:p>
      <w:pPr>
        <w:spacing w:after="0" w:line="82"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Our international operations may not produce desired levels of net sales or, among other things, the factors listed above may harm our business and operating results. Any material decrease in our international sales or profitability could also adversely impact our operating results.</w:t>
      </w:r>
    </w:p>
    <w:p>
      <w:pPr>
        <w:spacing w:after="0" w:line="63"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b w:val="1"/>
          <w:bCs w:val="1"/>
          <w:i w:val="1"/>
          <w:iCs w:val="1"/>
          <w:color w:val="auto"/>
        </w:rPr>
        <w:t>We are renovating and expanding certain office, manufacturing, and other facilities and could experience disruptions to our operations in connection with such efforts.</w:t>
      </w:r>
    </w:p>
    <w:p>
      <w:pPr>
        <w:spacing w:after="0" w:line="76"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We are continually renovating and, where appropriate or necessary, expanding our facilities, primarily driven by the growth of our business and the need to expand our manufacturing capacity. We have historically financed, and expect to continue to finance, such efforts with cash on hand and cash from operating activities. Expanding and renovating our facilities could disrupt our business operations, and such effects could include but are not limited to potential interruption in manufacturing processes, delivery of raw materials, shipping finished goods, and data flow; unforeseen construction, scheduling, engineering, environmental, or geological problems; and unanticipated cost increases.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Strategic Risks</w:t>
      </w:r>
    </w:p>
    <w:p>
      <w:pPr>
        <w:spacing w:after="0" w:line="121"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b w:val="1"/>
          <w:bCs w:val="1"/>
          <w:i w:val="1"/>
          <w:iCs w:val="1"/>
          <w:color w:val="auto"/>
        </w:rPr>
        <w:t>Future acquisitions and alliances, strong customer relations, and new joint ventures, investments, and partnerships could be risky and may harm our business, reputation, financial condition, and operating results.</w:t>
      </w:r>
    </w:p>
    <w:p>
      <w:pPr>
        <w:spacing w:after="0" w:line="79"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on April 1, 2019 and March 2, 2020, we completed the CMW and Venture Products acquisitions, respectively. The CMW acquisition is the largest acquisition in our history and the Venture Products acquisition is among one of the largest acquisitions in our history.</w:t>
      </w:r>
    </w:p>
    <w:p>
      <w:pPr>
        <w:spacing w:after="0" w:line="57"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 partnerships may involve a number of risks, the occurrence of which could adversely affect our business, reputation, financial condition, and operating results, including:</w:t>
      </w:r>
    </w:p>
    <w:p>
      <w:pPr>
        <w:spacing w:after="0" w:line="58" w:lineRule="exact"/>
        <w:rPr>
          <w:sz w:val="20"/>
          <w:szCs w:val="20"/>
          <w:color w:val="auto"/>
        </w:rPr>
      </w:pPr>
    </w:p>
    <w:p>
      <w:pPr>
        <w:ind w:left="340" w:hanging="332"/>
        <w:spacing w:after="0" w:line="258"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to manage and integrate the acquired business;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to our existing operations and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delays, or unanticipated costs, which may be exacerbated by the impact of COVID-19, in integrating and assimilating information and financial systems, internal controls, operations, manufacturing processes and products or in realizing projected efficiencies, growth prospects, cost savings, and other synergies;</w:t>
      </w:r>
    </w:p>
    <w:p>
      <w:pPr>
        <w:spacing w:after="0" w:line="2"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jc w:val="both"/>
        <w:ind w:left="340" w:hanging="332"/>
        <w:spacing w:after="0" w:line="265"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 of key employees, customers, distributors, or dealers of the acquired businesses or adverse effects on existing business relationships with suppliers, customers, distributors, and dealers;</w:t>
      </w:r>
    </w:p>
    <w:p>
      <w:pPr>
        <w:jc w:val="both"/>
        <w:ind w:left="340" w:hanging="332"/>
        <w:spacing w:after="0" w:line="265"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ind w:left="340" w:hanging="332"/>
        <w:spacing w:after="0" w:line="265"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or challenges in transitioning distributors and dealers of acquired businesses to available floor plan financing arrangements;</w:t>
      </w:r>
    </w:p>
    <w:p>
      <w:pPr>
        <w:jc w:val="both"/>
        <w:ind w:left="340" w:hanging="332"/>
        <w:spacing w:after="0" w:line="265"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violation of confidentiality, intellectual property, and non-compete obligations or agreements by employees of an acquired business or lack of or inadequate formal intellectual property protection mechanisms in place at an acquired business;</w:t>
      </w:r>
    </w:p>
    <w:p>
      <w:pPr>
        <w:jc w:val="both"/>
        <w:ind w:left="340" w:hanging="332"/>
        <w:spacing w:after="0" w:line="265"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jc w:val="both"/>
        <w:ind w:left="340" w:hanging="332"/>
        <w:spacing w:after="0" w:line="290"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00" w:hanging="332"/>
        <w:spacing w:after="0" w:line="255"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spacing w:after="0" w:line="2"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infringement by acquired businesses or other business ventures of valid intellectual property rights of others;</w:t>
      </w:r>
    </w:p>
    <w:p>
      <w:pPr>
        <w:jc w:val="both"/>
        <w:ind w:left="500" w:hanging="332"/>
        <w:spacing w:after="0" w:line="281"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4" w:lineRule="exact"/>
        <w:rPr>
          <w:rFonts w:ascii="Arial" w:cs="Arial" w:eastAsia="Arial" w:hAnsi="Arial"/>
          <w:sz w:val="16"/>
          <w:szCs w:val="16"/>
          <w:color w:val="auto"/>
        </w:rPr>
      </w:pPr>
    </w:p>
    <w:p>
      <w:pPr>
        <w:jc w:val="both"/>
        <w:ind w:left="500" w:hanging="332"/>
        <w:spacing w:after="0" w:line="253"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acquisitions, occurrence of non-recurring charges, or other potential financial accounting or reporting impacts.</w:t>
      </w:r>
    </w:p>
    <w:p>
      <w:pPr>
        <w:spacing w:after="0" w:line="85"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w:t>
      </w:r>
    </w:p>
    <w:p>
      <w:pPr>
        <w:spacing w:after="0" w:line="66"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70"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b w:val="1"/>
          <w:bCs w:val="1"/>
          <w:i w:val="1"/>
          <w:iCs w:val="1"/>
          <w:color w:val="auto"/>
        </w:rPr>
        <w:t>Failure to successfully complete divestitures or other restructuring activities could negatively affect our operations.</w:t>
      </w:r>
    </w:p>
    <w:p>
      <w:pPr>
        <w:spacing w:after="0" w:line="62"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From time to time, we may divest of all or a portion of certain businesses and/or facilities, joint venture or minority equity investment interests, subsidiaries, distributorships, or product categories. Divestitures involve risk, including, potential increased expense associated with the divestitures, and potential issues with the acquirers, customers or suppliers of the divested business, or products. Occasionally, we may wind down certain business activities and/or facilities, product lines, and/or perform other organizational restructuring projects in an effort to reduce costs and streamline operations. Such activities involve risks as they may divert management's attention from our core businesses,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increase expenses on a short</w:t>
      </w:r>
      <w:r>
        <w:rPr>
          <w:rFonts w:ascii="MS PGothic" w:cs="MS PGothic" w:eastAsia="MS PGothic" w:hAnsi="MS PGothic"/>
          <w:sz w:val="16"/>
          <w:szCs w:val="16"/>
          <w:color w:val="auto"/>
        </w:rPr>
        <w:t>‑</w:t>
      </w:r>
      <w:r>
        <w:rPr>
          <w:rFonts w:ascii="Arial" w:cs="Arial" w:eastAsia="Arial" w:hAnsi="Arial"/>
          <w:sz w:val="16"/>
          <w:szCs w:val="16"/>
          <w:color w:val="auto"/>
        </w:rPr>
        <w:t>term basis and lead to potential issues with employees, customers, or suppliers.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Increased scrutiny from the public, investors, and others regarding our environmental, social, and governance ("ESG") practices could impact our reputation.</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have a newly created executive officer position with responsibility for sustainability, additional dedicated employee resources, and a cross-functional/business sustainability leadership team to further develop and implement an enterprise-wide sustainability strategy. We also have published a sustainability report and launched our </w:t>
      </w:r>
      <w:r>
        <w:rPr>
          <w:rFonts w:ascii="Arial" w:cs="Arial" w:eastAsia="Arial" w:hAnsi="Arial"/>
          <w:sz w:val="16"/>
          <w:szCs w:val="16"/>
          <w:i w:val="1"/>
          <w:iCs w:val="1"/>
          <w:color w:val="auto"/>
        </w:rPr>
        <w:t>Sustainability Endures</w:t>
      </w:r>
      <w:r>
        <w:rPr>
          <w:rFonts w:ascii="Arial" w:cs="Arial" w:eastAsia="Arial" w:hAnsi="Arial"/>
          <w:sz w:val="16"/>
          <w:szCs w:val="16"/>
          <w:color w:val="auto"/>
        </w:rPr>
        <w:t xml:space="preserve"> platform. Our sustainability reports include our policies and practices on a variety of ESG matters, including the value creation opportunities provided by our products; diversity, equity, and inclusion; employee health and safety; community giving; and human capital management. These efforts may result in increased investor, media, employee, and other stakeholder attention to such initiatives, and such stakeholders may not be satisfied with our ESG practices or initiatives. Additionally, organizations that inform investors on ESG matters have developed rating systems for evaluating companies on their approach to ESG. Unfavorable ratings may lead to negative investor sentiment, which could negatively impact our stock price. Any failure, or perceived failure, to respond to ESG concerns could harm our business and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be required to incur impairment and other charges resulting from the impairment of goodwill, indefinite-lived intangible assets, or long-lived assets recorded in connection with business combinations and asset acquisitions.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completed the CMW and Venture Products acquisitions in April of fiscal 2019 and March of fiscal 2020, respectively, and expect to continue to complete selected business combinations and asset acquisitions in the future. In connection with business combinations, applicable accounting standards generally require the net tangible and intangible assets of the acquired business to be recorded on the balance sheet of the acquiring company at their fair values as of the date of acquisition and any excess in the purchase price paid by us over the fair value of net tangible and intangible assets of any acquired business is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 assets are tested for impairment at the individual indefinite-lived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 or asset group level, as appropriate.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determine that the anticipated future cash flows from our reporting units, indefinite-lived intangible assets or asset groups, or long-lived asset groups may be less than their respective carrying values, our goodwill, indefinite-lived intangible assets, and/or long-lived assets may be deemed to be impaired. If this occurs, applicable accounting rules may require us to write 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 down occurs. As of October 31, 2021, we had goodwill of $421.7 million, which is maintained in various reporting units, including goodwill from the CMW and Venture Products business combinations, and indefinite-lived intangible assets of $190.6 million, which together comprise 20.9 percent of our total assets as of October 31, 2021. Impairment charges, including such charges that could arise as a result of COVID-19, could be significant and could adversely affect our consolidated operating results and financial condition.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Fluctuations in foreign currency exchange rates have affected our operating results and could continue to result in declines in our reported net sales and net earnings.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the functional currency of most of our foreign operations is the applicable local currency, but our financial reporting currency is the U.S. dollar, we are required to translate the assets, liabilities, expenses, and revenues of our foreign operations into U.S. dollars at the applicable exchange rate in preparing our Consolidated Financial Statements. Accordingly, we face foreign currency exchange rate risk arising from transactions in the normal course of business, such as sales and loans to wholly owned subsidiaries, sales to third-party customers, purchases from suppliers, and bank lines of credit with creditors denominated in foreign currencies.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Foreign currency exchange rates have affected our net sales, net earnings, and operating results and could continue to result in declines in our reported net sales and net earnings. Currency exchange rate fluctuations may also affect the comparative prices between products we sell and products our foreign competitors sell in the same market, which may decrease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between reporting periods. While we actively manage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are subject to counterparty risk in our credit arrangements and the terms of our credit arrangements and the indentures governing our senior notes and debentures could limit our ability to conduct our business, take advantage of business opportunities and respond to changing business, market, and economic conditions.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credit arrangements, including our revolving credit facility and term loan, and the indentures governing our senior notes and debentures include a number of financial and operating restrictions. For example, our credit arrangements contain financial covenants that, among other things, require us to maintain a maximum leverage ratio. Our credit arrangements and/or indentures also contain provisions that restrict our ability, subject to specified exceptions, to, among other things, create liens or other encumbrances on our assets; dispose of assets; engage in mergers or consolidations; and pay dividends that are significantly higher than those currently being paid, make other distributions to our shareholders, or redeem shares of our common stock. These provisions may limit our ability to conduct our business, take advantage of business opportunities, and respond to changing business, market, and economic conditions. They may also competitively disadvantage us relative to other companies that may be subject to fewer, if any, restrictions or may otherwise adversely affect our business.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Potential important opportunities or transactions, such as significant acquisitions, may require the consent of our lenders, which consent may be withheld or granted subject to conditions that may affect the attractiveness or viability of the transaction. Additionally,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do not comply with the terms of our credit arrangements and indentures, our credit arrangements could be terminated and any amounts outstanding pursuant to our credit arrangements and indentures could become due and payable.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assure that we will be able to comply with all of the terms of our credit arrangements and indentures, particularly the financial covenants. Our ability to comply with such terms depends on the success of our business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results, as well as various risks, uncertainties, and events beyond our control. If we fail to comply with any covenant required by our credit arrangements following any applicable cure periods, the banks could terminate their commitments unless we could negotiate a covenant waiver. The banks could condition such waiver on terms that may be unfavorable to us. In addition, any amounts outstanding pursuant to our credit arrangements and indentures could become due and payable if we were unable to obtain a covenant waiver or refinance our debt under such arrangements.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downgrade in our credit ratings could increase our cost of funding and/or adversely affect our access to capital markets or the availability of funding from a variety of lenders.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credit ratings are important to our cost and availability of capital. The major rating agencies routinely evaluate our credit profile and assign credit ratings to us. This evaluation is based on a number of factors, which include financial strength, business and financial risk, transparency with rating agencies, and timeliness of financial reporting. Further leveraging our capital structure could result in a downgrade to our credit ratings.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expected phase out of LIBOR could impact the interest rates paid on our variable rate indebtedness and cause our interest expense to increase.</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portion of our borrowing capacity and outstanding indebtedness bears interest at a variable rate based on LIBOR. In July 2017, the United Kingdom's Financial Conduct Authority, which regulates LIBOR, announced that it intends to phase out LIBOR by the end of calendar 2021. The U.S. Federal Reserve, in conjunction with the Alternative Reference Rates Committee, a steering committee comprised of large U.S. financial institutions, is considering replacing LIBOR with the Secured Overnight Financing Rate ("SOFR"), a new index calculated based on transactions in the market for short-term treasury securities.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variable interest rate financing agreements include language to determine a replacement rate for LIBOR, if necessary. We are evaluating the potential impact of the eventual replacement of the LIBOR benchmark interest rate, however, we are not able to predict whether LIBOR will cease to be available after calendar 2021, whether SOFR will become a widely accepted benchmark in place of LIBOR, or what the impact of such a possible transition to SOFR may be on our operating results or financial condition.</w:t>
      </w:r>
    </w:p>
    <w:p>
      <w:pPr>
        <w:spacing w:after="0" w:line="637"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Changes in accounting or tax standards and policies and/or assumptions utilized in determining accounting or tax estimates could adversely affect our financial statements, including our operating results and financial condition.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generally accepted accounting principles ("GAAP"), we must make decisions that impact our operating results and/or financial condition, including selecting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we currently use to prepare our Consolidated Financial Statements. Such changes may be difficult to predict and implement and could impact how we prepare and report our Consolidated Financial Statements, Results of Operations, and Financial Condition.</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For additional information regarding our accounting policies, accounting pronouncements adopted, and accounting pronouncements not yet adopted, refer to Part II, Item 7, "Management's Discussion and Analysis of Financial Condition and Results of Operations," in the section entitled "Critical Accounting Policies and Estimates" and Note 1,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Accounting Policies and Related Data, </w:t>
      </w:r>
      <w:r>
        <w:rPr>
          <w:rFonts w:ascii="Arial" w:cs="Arial" w:eastAsia="Arial" w:hAnsi="Arial"/>
          <w:sz w:val="17"/>
          <w:szCs w:val="17"/>
          <w:color w:val="auto"/>
        </w:rPr>
        <w:t>of the Notes to</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Part II, Item 8, “Financial Statements and Supplementary Data,”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patents, trademarks, and contractual provisions may be insufficient to protect our proprietary rights and intellectual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b w:val="1"/>
          <w:bCs w:val="1"/>
          <w:i w:val="1"/>
          <w:iCs w:val="1"/>
          <w:color w:val="auto"/>
        </w:rPr>
        <w:t>property from others who may sell similar products and our products may infringe the valid proprietary rights of others.</w:t>
      </w:r>
    </w:p>
    <w:p>
      <w:pPr>
        <w:spacing w:after="0" w:line="62"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We hold patents and trademarks relating to various aspects of our products and business and believe that proprietary technical know-how is important to our business. The loss of such intellectual property could have a material adverse effect on our business and operating results. Proprietary rights relating to our products are protected from unauthorized use by third-parties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Without enforceable patent protection, we may be vulnerable to competitors who attempt to copy our products or gain access to our trade secrets and know-how. We also cannot be certain that our products or technologies have not infringed or will not infringe the valid proprietary rights of others. Others may initiate litigation to challenge the validity of our patents, allege that we infringe their patents, or use their resources to design comparable products that do not infringe our patents. Additionally, we may initiate proceedings to protect our proprietary rights. Any litigation, whether initiated by us or others, may cause us to incur substantial costs and possible damages. If such litigation's outcome is unfavorable to us, our business, operating results, and financial condition could be adversely affected. We could also be forced to develop an alternative that could be costly and time-consuming, or acquire a license, which we might not be able to do on terms favorable to us, or at all.</w:t>
      </w:r>
    </w:p>
    <w:p>
      <w:pPr>
        <w:spacing w:after="0" w:line="285"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56"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b w:val="1"/>
          <w:bCs w:val="1"/>
          <w:i w:val="1"/>
          <w:iCs w:val="1"/>
          <w:color w:val="auto"/>
        </w:rPr>
        <w:t>Our company, business, properties, and products are subject to laws, rules, policies, and regulations, with which compliance may require us to incur expenses, or modify our products or operations, and non-compliance may result in harm to our reputation and/or expose us to penalties.</w:t>
      </w:r>
    </w:p>
    <w:p>
      <w:pPr>
        <w:spacing w:after="0" w:line="80"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We are subject to numerous international, federal, state, municipal and other governmental laws, rules, policies, regulations, and orders ("Laws")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Laws may adversely affect our operating results, including, (i) to address COVID-19 or other health and safety requirements, (ii) taxation and tax policy changes, tax rate changes, new tax laws, or revised tax law interpretations or guidance, which individually or in combination may cause our effective tax rate to increase or result in tax charges, (iii) changes to, or adoption of new, healthcare laws or regulations, or (iv) 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we believe that we are in substantial compliance with currently applicable Laws, we are unable to predict the ultimate impact of adopted or future Laws on our company, business, properties, or products. Any of these Laws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could harm our reputation and/or lead to fines and other penalties, including restrictions on the importation of our products into, and the sale of our products in, one or more jurisdictions. In addition, our competitors may adopt strategies with respect to compliance with any such Laws that differ significantly from ours. This may change customer preferences and our markets in unanticipated ways which may adversely affect market demand for our products and our net sales and financial results. Other Laws impacting our supply chain, such as the United Kingdom Modern Slavery Act, or data privacy requirements, such as the EU's General Data Protection Regulation, the California Consumer Privacy Act, and other emerging domestic and global data privacy and cybersecurity laws, may have similar consequences.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Climate change legislation, regulations, accords, mitigation efforts, or other legislation may adversely impact our operations and could impact the competitive landscape within our markets and affect demand for our products.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subject to rules limiting exhaust and other emissions and other climate-related rules and regulations in certain jurisdictions where we operate. Concern over climate change has resulted in, and could continue to result in, new legal or regulatory requirements designed to reduce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mitigate the effects of greenhouse gases. An example of such legislation is California's AB 1346, which is expected to ban the sale of new small off-road engines, such as those installed in certain of our products, including leaf blowers and lawnmowers, in the state of California beginning in 2024.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or could otherwise decrease demand for our products.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 Additionally, inconsistency of regulations in the states and countries in which we operate may affect the costs of compliance with such requirements. If such laws or regulations are more stringent than current legal or regulatory requirements, we may be subject to curtailment or reduced access to resources or experience increased compliance burdens and costs to meet the regulatory obligations, which may adversely affect our business and operating results.</w:t>
      </w:r>
    </w:p>
    <w:p>
      <w:pPr>
        <w:spacing w:after="0" w:line="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various other legislative proposals, if enacted, could put us in a competitively advantaged or disadvantaged position and affect customer demand for our products. For example, any fiscal-stimulus or other legislation that inordinately impacts the lawn and garden, outdoor power equipment, or irrigation industries generally by promoting the purchase of certain types of products that we sell, such as through customer rebate or other incentive programs, could impact us positively or negatively, depending on whether we manufacture products that meet the specified legislative criteria, including in areas such as fuel efficiency, alternative energy or water usage. Such legislation may also cause customers to perceive our product offerings to be more or less attractive than our competitors' product offerings. We cannot currently predict whether any such legislation will be enacted, the specific terms and conditions of such legislation, such legislation's impact on the competitive landscape within our markets, or how, if at all, any such legislation might ultimately affect customer demand for our products or our operating results.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w:t>
      </w:r>
    </w:p>
    <w:p>
      <w:pPr>
        <w:spacing w:after="0" w:line="74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condition or operating results, our future costs of complying with the various environmental requirements, as they now exist or may be altered in the future, could adversely affect our financial condition and operating results.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manufacture, sale, and use of our products expose us to significant risks associated with product quality issues and product liability claims and other litigation from time to time. If a product liability claim or other claim or series of claims is brought against us for liabilities exceeding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which could result in losses or damages or adversely affect our brand reputation and the marketability of our products, which may negatively impact our business and operating results.</w:t>
      </w:r>
    </w:p>
    <w:p>
      <w:pPr>
        <w:spacing w:after="0" w:line="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Product defects can occur through our own product development, design, and manufacturing processes or through our reliance on third-parties for certain component design and manufacturing activities. Some of our products or product improvements were developed relatively recently and defects or risks that we have not yet identified, such as unanticipated use of our products, may give rise to product quality issues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other litigation from time to time that could adversely affect our business, reputation, operating results or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Significant violations of these laws, or allegations of such violations, could harm our reputation, disrupt our business, and result in significant fines and penalties that could have a material adverse effect on our operating results or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achieve our financial projections or other business initiatives in the time periods that we anticipate, or at all, which could have an adverse effect on our business, operating results, and financial condition.</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provide financial projections such as our expected revenue growth and net earnings per share. These financial projections are based on management’s assumptions and expectations at the time made. Failure to achieve our financial projections could have an adverse effect on our business, operating results, and financial condition.</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set goals and objectives for the timing of certain accomplishments, initiatives and milestones regarding our business or operating results. Whether we achieve our goals and objectives of such initiatives can vary due to a number of factors, including the risk factors described in this Annual Report on Form 10-K. As a result, there is no assurance that we will succeed in achieving the goals and objectives of our initiatives in the time periods that we anticipate, or ever. The failure to achieve such goals and objectives in the time periods that we anticipate, or at all, could have an adverse effect on our business, operating results and financial condition.</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we are unable to retain our executive officers or other key employees, attract and retain other qualified employees, or successfully implement executive officer, key employee or other leadership or employee transitions, we may not be able to meet strategic objectives and our business could suffer.</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ability to meet our strategic objectives and otherwise profitably grow our business will depend to a significant extent on the continued contributions of our leadership team and our ability to identify, attract, engage, develop, and retain other highly qualified employees worldwide. Competition for these individuals is intense, and we may not succeed in identifying, attracting, or retaining qualified employees. Losing any of our executive officers or other key employees, failure to identify, attract, or retain qualified leaders in the future, ineffective executive officer or other employee transitions, delays or the inability to hire necessary and qualified office or production employees due to employment</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conditions or otherwise, or any employee work slowdowns, strikes, or similar actions could make it difficult for us to conduct and manage our business and meet key objectives, which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740"/>
        <w:spacing w:after="0" w:line="407" w:lineRule="auto"/>
        <w:rPr>
          <w:sz w:val="20"/>
          <w:szCs w:val="20"/>
          <w:color w:val="auto"/>
        </w:rPr>
      </w:pPr>
      <w:r>
        <w:rPr>
          <w:rFonts w:ascii="Arial" w:cs="Arial" w:eastAsia="Arial" w:hAnsi="Arial"/>
          <w:sz w:val="18"/>
          <w:szCs w:val="18"/>
          <w:b w:val="1"/>
          <w:bCs w:val="1"/>
          <w:color w:val="auto"/>
        </w:rPr>
        <w:t xml:space="preserve">ITEM 1B. UNRESOLVED STAFF COMMENTS </w:t>
      </w:r>
      <w:r>
        <w:rPr>
          <w:rFonts w:ascii="Arial" w:cs="Arial" w:eastAsia="Arial" w:hAnsi="Arial"/>
          <w:sz w:val="18"/>
          <w:szCs w:val="18"/>
          <w:color w:val="auto"/>
        </w:rPr>
        <w:t>None.</w:t>
      </w:r>
    </w:p>
    <w:p>
      <w:pPr>
        <w:spacing w:after="0" w:line="705" w:lineRule="exact"/>
        <w:rPr>
          <w:sz w:val="20"/>
          <w:szCs w:val="20"/>
          <w:color w:val="auto"/>
        </w:rPr>
      </w:pPr>
    </w:p>
    <w:p>
      <w:pPr>
        <w:sectPr>
          <w:pgSz w:w="11900" w:h="16838" w:orient="portrait"/>
          <w:cols w:equalWidth="0" w:num="2">
            <w:col w:w="5420" w:space="280"/>
            <w:col w:w="5540"/>
          </w:cols>
          <w:pgMar w:left="320" w:top="125" w:right="339" w:bottom="1440" w:gutter="0" w:footer="0" w:header="0"/>
        </w:sectPr>
      </w:pPr>
    </w:p>
    <w:p>
      <w:pPr>
        <w:jc w:val="both"/>
        <w:spacing w:after="0" w:line="269" w:lineRule="auto"/>
        <w:rPr>
          <w:sz w:val="20"/>
          <w:szCs w:val="20"/>
          <w:color w:val="auto"/>
        </w:rPr>
      </w:pPr>
      <w:r>
        <w:rPr>
          <w:rFonts w:ascii="Arial" w:cs="Arial" w:eastAsia="Arial" w:hAnsi="Arial"/>
          <w:sz w:val="17"/>
          <w:szCs w:val="17"/>
          <w:color w:val="auto"/>
        </w:rPr>
        <w:t>Our global business operations require the use of various facilities and other properties for manufacturing, distribution, warehousing, engineering and product testing, sales and marketing, and other corporate activities. As of October 31, 2021, we utilized manufacturing, distribution, warehouse, engineering, and office facilities totaling approximately 9.0 million square feet of space worldwide. The extent to which we utilize our properties can vary by property and from period to period, including manufacturing plant utilization, which typically varies during the year depending on the production cycle and the seasonality of our business. We generally consider each of our current facilities to be in good operating condition, suitable for their respective uses, and adequate for our current and future business needs as our business is presently conducted. However, we make ongoing capital investments in our facilities, including expansion efforts when needed, and believe that our historical capital investments in our manufacturing facilities have increased the production capacity of our operations and have enabled us to meet the needs of our customers. We also believe that we would be able to obtain replacements for our leased premises at acceptable costs should our existing leases not be renewed in a future period. From time to time, we may determine that certain of our properties exceed our business requirements as we continue to optimize our global business operations and global footprint and such properties may be exited, sold, or utilized in another manner.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facilities are listed below by location, ownership, and function as of October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22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Reportable Segment</w:t>
            </w:r>
          </w:p>
        </w:tc>
        <w:tc>
          <w:tcPr>
            <w:tcW w:w="47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Facility Type/Use</w:t>
            </w:r>
          </w:p>
        </w:tc>
        <w:tc>
          <w:tcPr>
            <w:tcW w:w="18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Ownership</w:t>
            </w:r>
          </w:p>
        </w:tc>
      </w:t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8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El Cajon, California</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 and test site</w:t>
            </w:r>
          </w:p>
        </w:tc>
        <w:tc>
          <w:tcPr>
            <w:tcW w:w="1860" w:type="dxa"/>
            <w:vAlign w:val="bottom"/>
          </w:tcPr>
          <w:p>
            <w:pPr>
              <w:ind w:left="540"/>
              <w:spacing w:after="0"/>
              <w:rPr>
                <w:sz w:val="20"/>
                <w:szCs w:val="20"/>
                <w:color w:val="auto"/>
              </w:rPr>
            </w:pPr>
            <w:r>
              <w:rPr>
                <w:rFonts w:ascii="Arial" w:cs="Arial" w:eastAsia="Arial" w:hAnsi="Arial"/>
                <w:sz w:val="14"/>
                <w:szCs w:val="14"/>
                <w:color w:val="auto"/>
              </w:rPr>
              <w:t>Owned/Leased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Riverside, California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 and test facility</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Sanford, Florida</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Ankeny, Iowa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 center</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Sterling, Kentucky</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Iron Mountain, Michigan</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Bloomington, Minnesota</w:t>
            </w:r>
          </w:p>
        </w:tc>
        <w:tc>
          <w:tcPr>
            <w:tcW w:w="2280" w:type="dxa"/>
            <w:vAlign w:val="bottom"/>
          </w:tcPr>
          <w:p>
            <w:pPr>
              <w:ind w:left="380"/>
              <w:spacing w:after="0"/>
              <w:rPr>
                <w:sz w:val="20"/>
                <w:szCs w:val="20"/>
                <w:color w:val="auto"/>
              </w:rPr>
            </w:pPr>
            <w:r>
              <w:rPr>
                <w:rFonts w:ascii="Arial" w:cs="Arial" w:eastAsia="Arial" w:hAnsi="Arial"/>
                <w:sz w:val="14"/>
                <w:szCs w:val="14"/>
                <w:color w:val="auto"/>
              </w:rPr>
              <w:t>Other activities</w:t>
            </w:r>
          </w:p>
        </w:tc>
        <w:tc>
          <w:tcPr>
            <w:tcW w:w="4780" w:type="dxa"/>
            <w:vAlign w:val="bottom"/>
          </w:tcPr>
          <w:p>
            <w:pPr>
              <w:ind w:left="360"/>
              <w:spacing w:after="0"/>
              <w:rPr>
                <w:sz w:val="20"/>
                <w:szCs w:val="20"/>
                <w:color w:val="auto"/>
              </w:rPr>
            </w:pPr>
            <w:r>
              <w:rPr>
                <w:rFonts w:ascii="Arial" w:cs="Arial" w:eastAsia="Arial" w:hAnsi="Arial"/>
                <w:sz w:val="14"/>
                <w:szCs w:val="14"/>
                <w:color w:val="auto"/>
              </w:rPr>
              <w:t>Corporate headquarters and test facility</w:t>
            </w:r>
          </w:p>
        </w:tc>
        <w:tc>
          <w:tcPr>
            <w:tcW w:w="1860" w:type="dxa"/>
            <w:vAlign w:val="bottom"/>
          </w:tcPr>
          <w:p>
            <w:pPr>
              <w:ind w:left="540"/>
              <w:spacing w:after="0"/>
              <w:rPr>
                <w:sz w:val="20"/>
                <w:szCs w:val="20"/>
                <w:color w:val="auto"/>
              </w:rPr>
            </w:pPr>
            <w:r>
              <w:rPr>
                <w:rFonts w:ascii="Arial" w:cs="Arial" w:eastAsia="Arial" w:hAnsi="Arial"/>
                <w:sz w:val="14"/>
                <w:szCs w:val="14"/>
                <w:color w:val="auto"/>
              </w:rPr>
              <w:t>Owned/Leased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Brooklyn Center, Minnesota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activities</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 facility</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Shakopee, Minnesota</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tcPr>
          <w:p>
            <w:pPr>
              <w:ind w:left="360"/>
              <w:spacing w:after="0"/>
              <w:rPr>
                <w:sz w:val="20"/>
                <w:szCs w:val="20"/>
                <w:color w:val="auto"/>
              </w:rPr>
            </w:pPr>
            <w:r>
              <w:rPr>
                <w:rFonts w:ascii="Arial" w:cs="Arial" w:eastAsia="Arial" w:hAnsi="Arial"/>
                <w:sz w:val="14"/>
                <w:szCs w:val="14"/>
                <w:color w:val="auto"/>
              </w:rPr>
              <w:t>Component part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Owned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Windom, Minnesota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St. Louis, Missouri</w:t>
            </w:r>
          </w:p>
        </w:tc>
        <w:tc>
          <w:tcPr>
            <w:tcW w:w="2280" w:type="dxa"/>
            <w:vAlign w:val="bottom"/>
          </w:tcPr>
          <w:p>
            <w:pPr>
              <w:ind w:left="380"/>
              <w:spacing w:after="0"/>
              <w:rPr>
                <w:sz w:val="20"/>
                <w:szCs w:val="20"/>
                <w:color w:val="auto"/>
              </w:rPr>
            </w:pPr>
            <w:r>
              <w:rPr>
                <w:rFonts w:ascii="Arial" w:cs="Arial" w:eastAsia="Arial" w:hAnsi="Arial"/>
                <w:sz w:val="14"/>
                <w:szCs w:val="14"/>
                <w:color w:val="auto"/>
              </w:rPr>
              <w:t>Other activities</w:t>
            </w:r>
          </w:p>
        </w:tc>
        <w:tc>
          <w:tcPr>
            <w:tcW w:w="4780" w:type="dxa"/>
            <w:vAlign w:val="bottom"/>
          </w:tcPr>
          <w:p>
            <w:pPr>
              <w:ind w:left="360"/>
              <w:spacing w:after="0"/>
              <w:rPr>
                <w:sz w:val="20"/>
                <w:szCs w:val="20"/>
                <w:color w:val="auto"/>
              </w:rPr>
            </w:pPr>
            <w:r>
              <w:rPr>
                <w:rFonts w:ascii="Arial" w:cs="Arial" w:eastAsia="Arial" w:hAnsi="Arial"/>
                <w:sz w:val="14"/>
                <w:szCs w:val="14"/>
                <w:color w:val="auto"/>
              </w:rPr>
              <w:t>Distribution facility</w:t>
            </w:r>
          </w:p>
        </w:tc>
        <w:tc>
          <w:tcPr>
            <w:tcW w:w="1860" w:type="dxa"/>
            <w:vAlign w:val="bottom"/>
          </w:tcPr>
          <w:p>
            <w:pPr>
              <w:ind w:left="540"/>
              <w:spacing w:after="0"/>
              <w:rPr>
                <w:sz w:val="20"/>
                <w:szCs w:val="20"/>
                <w:color w:val="auto"/>
              </w:rPr>
            </w:pPr>
            <w:r>
              <w:rPr>
                <w:rFonts w:ascii="Arial" w:cs="Arial" w:eastAsia="Arial" w:hAnsi="Arial"/>
                <w:sz w:val="14"/>
                <w:szCs w:val="14"/>
                <w:color w:val="auto"/>
              </w:rPr>
              <w:t>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Beatrice, Nebraska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 test facility, and office</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Orrville, Ohio</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 and office</w:t>
            </w:r>
          </w:p>
        </w:tc>
        <w:tc>
          <w:tcPr>
            <w:tcW w:w="1860" w:type="dxa"/>
            <w:vAlign w:val="bottom"/>
          </w:tcPr>
          <w:p>
            <w:pPr>
              <w:ind w:left="540"/>
              <w:spacing w:after="0"/>
              <w:rPr>
                <w:sz w:val="20"/>
                <w:szCs w:val="20"/>
                <w:color w:val="auto"/>
              </w:rPr>
            </w:pPr>
            <w:r>
              <w:rPr>
                <w:rFonts w:ascii="Arial" w:cs="Arial" w:eastAsia="Arial" w:hAnsi="Arial"/>
                <w:sz w:val="14"/>
                <w:szCs w:val="14"/>
                <w:color w:val="auto"/>
              </w:rPr>
              <w:t>Owned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West Salem, Ohio</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 and office</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Perry, Oklahoma</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 test facility, and office</w:t>
            </w:r>
          </w:p>
        </w:tc>
        <w:tc>
          <w:tcPr>
            <w:tcW w:w="1860" w:type="dxa"/>
            <w:vAlign w:val="bottom"/>
          </w:tcPr>
          <w:p>
            <w:pPr>
              <w:ind w:left="540"/>
              <w:spacing w:after="0"/>
              <w:rPr>
                <w:sz w:val="20"/>
                <w:szCs w:val="20"/>
                <w:color w:val="auto"/>
              </w:rPr>
            </w:pPr>
            <w:r>
              <w:rPr>
                <w:rFonts w:ascii="Arial" w:cs="Arial" w:eastAsia="Arial" w:hAnsi="Arial"/>
                <w:sz w:val="14"/>
                <w:szCs w:val="14"/>
                <w:color w:val="auto"/>
              </w:rPr>
              <w:t>Owned/Leased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El Paso, Texas</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Component part and product manufacturing and distribution center</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Weatherford, Texas</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Owned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Baraboo, Wisconsin</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 center</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Lake Mills, Wisconsin</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Owned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Plymouth, Wisconsin</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 center</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Tomah, Wisconsin</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 and distribution center</w:t>
            </w:r>
          </w:p>
        </w:tc>
        <w:tc>
          <w:tcPr>
            <w:tcW w:w="1860" w:type="dxa"/>
            <w:vAlign w:val="bottom"/>
          </w:tcPr>
          <w:p>
            <w:pPr>
              <w:ind w:left="540"/>
              <w:spacing w:after="0"/>
              <w:rPr>
                <w:sz w:val="20"/>
                <w:szCs w:val="20"/>
                <w:color w:val="auto"/>
              </w:rPr>
            </w:pPr>
            <w:r>
              <w:rPr>
                <w:rFonts w:ascii="Arial" w:cs="Arial" w:eastAsia="Arial" w:hAnsi="Arial"/>
                <w:sz w:val="14"/>
                <w:szCs w:val="14"/>
                <w:color w:val="auto"/>
              </w:rPr>
              <w:t>Owned/Leased</w:t>
            </w:r>
          </w:p>
        </w:tc>
      </w:tr>
      <w:tr>
        <w:trPr>
          <w:trHeight w:val="19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International Countries:</w:t>
            </w:r>
          </w:p>
        </w:tc>
        <w:tc>
          <w:tcPr>
            <w:tcW w:w="22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Beverley, Australia</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Owned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Braeside, Australia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 facility</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Oevel, Belgium</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tcPr>
          <w:p>
            <w:pPr>
              <w:ind w:left="360"/>
              <w:spacing w:after="0"/>
              <w:rPr>
                <w:sz w:val="20"/>
                <w:szCs w:val="20"/>
                <w:color w:val="auto"/>
              </w:rPr>
            </w:pPr>
            <w:r>
              <w:rPr>
                <w:rFonts w:ascii="Arial" w:cs="Arial" w:eastAsia="Arial" w:hAnsi="Arial"/>
                <w:sz w:val="14"/>
                <w:szCs w:val="14"/>
                <w:color w:val="auto"/>
              </w:rPr>
              <w:t>Distribution center</w:t>
            </w:r>
          </w:p>
        </w:tc>
        <w:tc>
          <w:tcPr>
            <w:tcW w:w="1860" w:type="dxa"/>
            <w:vAlign w:val="bottom"/>
          </w:tcPr>
          <w:p>
            <w:pPr>
              <w:ind w:left="540"/>
              <w:spacing w:after="0"/>
              <w:rPr>
                <w:sz w:val="20"/>
                <w:szCs w:val="20"/>
                <w:color w:val="auto"/>
              </w:rPr>
            </w:pPr>
            <w:r>
              <w:rPr>
                <w:rFonts w:ascii="Arial" w:cs="Arial" w:eastAsia="Arial" w:hAnsi="Arial"/>
                <w:sz w:val="14"/>
                <w:szCs w:val="14"/>
                <w:color w:val="auto"/>
              </w:rPr>
              <w:t>Owned/Leased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Xiamen City, China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and component part manufacturing</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Althengstett, Germany</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Owned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Fiano Romano, Italy</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Owned/Leased</w:t>
            </w: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Juarez, Mexico</w:t>
            </w:r>
          </w:p>
        </w:tc>
        <w:tc>
          <w:tcPr>
            <w:tcW w:w="2280" w:type="dxa"/>
            <w:vAlign w:val="bottom"/>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tcPr>
          <w:p>
            <w:pPr>
              <w:ind w:left="360"/>
              <w:spacing w:after="0"/>
              <w:rPr>
                <w:sz w:val="20"/>
                <w:szCs w:val="20"/>
                <w:color w:val="auto"/>
              </w:rPr>
            </w:pPr>
            <w:r>
              <w:rPr>
                <w:rFonts w:ascii="Arial" w:cs="Arial" w:eastAsia="Arial" w:hAnsi="Arial"/>
                <w:sz w:val="14"/>
                <w:szCs w:val="14"/>
                <w:color w:val="auto"/>
              </w:rPr>
              <w:t>Product manufacturing</w:t>
            </w:r>
          </w:p>
        </w:tc>
        <w:tc>
          <w:tcPr>
            <w:tcW w:w="1860" w:type="dxa"/>
            <w:vAlign w:val="bottom"/>
          </w:tcPr>
          <w:p>
            <w:pPr>
              <w:ind w:left="540"/>
              <w:spacing w:after="0"/>
              <w:rPr>
                <w:sz w:val="20"/>
                <w:szCs w:val="20"/>
                <w:color w:val="auto"/>
              </w:rPr>
            </w:pPr>
            <w:r>
              <w:rPr>
                <w:rFonts w:ascii="Arial" w:cs="Arial" w:eastAsia="Arial" w:hAnsi="Arial"/>
                <w:sz w:val="14"/>
                <w:szCs w:val="14"/>
                <w:color w:val="auto"/>
              </w:rPr>
              <w:t>Leased</w:t>
            </w: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Ploiesti, Romania</w:t>
            </w:r>
          </w:p>
        </w:tc>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Professional</w:t>
            </w:r>
          </w:p>
        </w:tc>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 manufacturing and test facility</w:t>
            </w:r>
          </w:p>
        </w:tc>
        <w:tc>
          <w:tcPr>
            <w:tcW w:w="18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Owned</w:t>
            </w:r>
          </w:p>
        </w:tc>
      </w:tr>
      <w:tr>
        <w:trPr>
          <w:trHeight w:val="186"/>
        </w:trPr>
        <w:tc>
          <w:tcPr>
            <w:tcW w:w="2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Hertfordshire, United Kingdom</w:t>
            </w:r>
          </w:p>
        </w:tc>
        <w:tc>
          <w:tcPr>
            <w:tcW w:w="22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Professional &amp; Residential</w:t>
            </w:r>
          </w:p>
        </w:tc>
        <w:tc>
          <w:tcPr>
            <w:tcW w:w="47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Product manufacturing and test facility</w:t>
            </w:r>
          </w:p>
        </w:tc>
        <w:tc>
          <w:tcPr>
            <w:tcW w:w="186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Owned</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refer to the headings titled "Litigation" and "Litigation Settlement" within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Consolidated Financial Statements included in Part II, Item 8, "Financial Statements and Supplementary Data," of this Annual Report on Form 10-K, which is incorporated into this Item 3 by reference.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list below identifies those persons designated by our Board of Directors as executive officers of the company. The list sets forth each such person's age and position with the company as of December 10, 2021, as well as other positions held by him or her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4"/>
                <w:szCs w:val="14"/>
                <w:b w:val="1"/>
                <w:bCs w:val="1"/>
                <w:color w:val="auto"/>
              </w:rPr>
              <w:t>Name, Age, and Position</w:t>
            </w:r>
          </w:p>
        </w:tc>
        <w:tc>
          <w:tcPr>
            <w:tcW w:w="7580" w:type="dxa"/>
            <w:vAlign w:val="bottom"/>
            <w:tcBorders>
              <w:top w:val="single" w:sz="8" w:color="auto"/>
              <w:bottom w:val="single" w:sz="8" w:color="auto"/>
            </w:tcBorders>
          </w:tcPr>
          <w:p>
            <w:pPr>
              <w:ind w:left="208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30"/>
        </w:trPr>
        <w:tc>
          <w:tcPr>
            <w:tcW w:w="3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Richard M. Olson</w:t>
            </w:r>
          </w:p>
        </w:tc>
        <w:tc>
          <w:tcPr>
            <w:tcW w:w="7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Chairman of the Board since November 2017 and President and Chief Executive Officer since November 2016. From September</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57, Chairman of the Board, President and Chief Executive</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2"/>
              </w:rPr>
              <w:t>2015 through October 2016, he served as President and Chief Operating Officer. From June 2014 through August 2015, he served</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 Group Vice President, International Business, Global Ag-Irrigation Business and Distributor Development.</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Kevin N. Carpenter</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7"/>
              </w:rPr>
              <w:t>Vice President, Global Operations and Integrated Supply Chain since December 2021. Prior to joining the company, he held</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w w:val="96"/>
              </w:rPr>
              <w:t>47, Vice President, Global Operations and Integrated Supply</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9"/>
              </w:rPr>
              <w:t>several roles at the Carrier Global Corporation, serving as Vice President of Operations, Residential and Light Commercial</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Chain</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5"/>
              </w:rPr>
              <w:t>Systems from June 2021 to November 2021, Vice President of Quality and Continuous Improvement from August 2020 to May</w:t>
            </w:r>
          </w:p>
        </w:tc>
      </w:tr>
      <w:tr>
        <w:trPr>
          <w:trHeight w:val="135"/>
        </w:trPr>
        <w:tc>
          <w:tcPr>
            <w:tcW w:w="3660" w:type="dxa"/>
            <w:vAlign w:val="bottom"/>
          </w:tcPr>
          <w:p>
            <w:pPr>
              <w:spacing w:after="0"/>
              <w:rPr>
                <w:sz w:val="11"/>
                <w:szCs w:val="11"/>
                <w:color w:val="auto"/>
              </w:rPr>
            </w:pP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9"/>
              </w:rPr>
              <w:t>2021, Vice President of Operations, Commercial HVAC from February 2020 to July 2020, and Vice President of Advanced</w:t>
            </w:r>
          </w:p>
        </w:tc>
      </w:tr>
      <w:tr>
        <w:trPr>
          <w:trHeight w:val="135"/>
        </w:trPr>
        <w:tc>
          <w:tcPr>
            <w:tcW w:w="3660" w:type="dxa"/>
            <w:vAlign w:val="bottom"/>
          </w:tcPr>
          <w:p>
            <w:pPr>
              <w:spacing w:after="0"/>
              <w:rPr>
                <w:sz w:val="11"/>
                <w:szCs w:val="11"/>
                <w:color w:val="auto"/>
              </w:rPr>
            </w:pP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4"/>
              </w:rPr>
              <w:t>Manufacturing from May 2019 to January 2020. Prior to joining the Carrier Global Corporation, he held several roles at Rockwell</w:t>
            </w:r>
          </w:p>
        </w:tc>
      </w:tr>
      <w:tr>
        <w:trPr>
          <w:trHeight w:val="135"/>
        </w:trPr>
        <w:tc>
          <w:tcPr>
            <w:tcW w:w="3660" w:type="dxa"/>
            <w:vAlign w:val="bottom"/>
          </w:tcPr>
          <w:p>
            <w:pPr>
              <w:spacing w:after="0"/>
              <w:rPr>
                <w:sz w:val="11"/>
                <w:szCs w:val="11"/>
                <w:color w:val="auto"/>
              </w:rPr>
            </w:pP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6"/>
              </w:rPr>
              <w:t>Automation, serving as Vice President of Manufacturing Services from June 2018 to April 2019 and Director of Manufacturing</w:t>
            </w:r>
          </w:p>
        </w:tc>
      </w:tr>
      <w:tr>
        <w:trPr>
          <w:trHeight w:val="186"/>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rPr>
              <w:t>Services from May 2016 to May 2018.</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Jody M. Christy</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4"/>
              </w:rPr>
              <w:t>Vice President, BOSS since December 2018. From June 2016 to November 2018, he served as General Manager, BOSS. At the</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53, Vice President, BOSS</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time of the acquisition of BOSS in November 2014 to May 2016, he served as Director, Engineering for BOSS.</w:t>
            </w: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Amy E. Dahl</w:t>
            </w:r>
          </w:p>
        </w:tc>
        <w:tc>
          <w:tcPr>
            <w:tcW w:w="7580" w:type="dxa"/>
            <w:vAlign w:val="bottom"/>
          </w:tcPr>
          <w:p>
            <w:pPr>
              <w:ind w:left="60"/>
              <w:spacing w:after="0" w:line="149" w:lineRule="exact"/>
              <w:rPr>
                <w:sz w:val="20"/>
                <w:szCs w:val="20"/>
                <w:color w:val="auto"/>
              </w:rPr>
            </w:pPr>
            <w:r>
              <w:rPr>
                <w:rFonts w:ascii="Arial" w:cs="Arial" w:eastAsia="Arial" w:hAnsi="Arial"/>
                <w:sz w:val="14"/>
                <w:szCs w:val="14"/>
                <w:color w:val="auto"/>
                <w:w w:val="94"/>
              </w:rPr>
              <w:t>Vice President, Human Resources and General Counsel since November 2020. From January 2020 through October 2020, she</w:t>
            </w:r>
          </w:p>
        </w:tc>
      </w:tr>
      <w:tr>
        <w:trPr>
          <w:trHeight w:val="184"/>
        </w:trPr>
        <w:tc>
          <w:tcPr>
            <w:tcW w:w="3660" w:type="dxa"/>
            <w:vAlign w:val="bottom"/>
          </w:tcPr>
          <w:p>
            <w:pPr>
              <w:ind w:left="20"/>
              <w:spacing w:after="0"/>
              <w:rPr>
                <w:sz w:val="20"/>
                <w:szCs w:val="20"/>
                <w:color w:val="auto"/>
              </w:rPr>
            </w:pPr>
            <w:r>
              <w:rPr>
                <w:rFonts w:ascii="Arial" w:cs="Arial" w:eastAsia="Arial" w:hAnsi="Arial"/>
                <w:sz w:val="14"/>
                <w:szCs w:val="14"/>
                <w:color w:val="auto"/>
                <w:w w:val="96"/>
              </w:rPr>
              <w:t>47, Vice President, Human Resources and General Counsel</w:t>
            </w:r>
          </w:p>
        </w:tc>
        <w:tc>
          <w:tcPr>
            <w:tcW w:w="7580" w:type="dxa"/>
            <w:vAlign w:val="bottom"/>
          </w:tcPr>
          <w:p>
            <w:pPr>
              <w:ind w:left="60"/>
              <w:spacing w:after="0"/>
              <w:rPr>
                <w:sz w:val="20"/>
                <w:szCs w:val="20"/>
                <w:color w:val="auto"/>
              </w:rPr>
            </w:pPr>
            <w:r>
              <w:rPr>
                <w:rFonts w:ascii="Arial" w:cs="Arial" w:eastAsia="Arial" w:hAnsi="Arial"/>
                <w:sz w:val="14"/>
                <w:szCs w:val="14"/>
                <w:color w:val="auto"/>
                <w:w w:val="97"/>
              </w:rPr>
              <w:t>served as Vice President, Human Resources, Distributor Development and General Counsel. From December 2016 through</w:t>
            </w:r>
          </w:p>
        </w:tc>
      </w:tr>
      <w:tr>
        <w:trPr>
          <w:trHeight w:val="162"/>
        </w:trPr>
        <w:tc>
          <w:tcPr>
            <w:tcW w:w="3660" w:type="dxa"/>
            <w:vAlign w:val="bottom"/>
          </w:tcPr>
          <w:p>
            <w:pPr>
              <w:spacing w:after="0"/>
              <w:rPr>
                <w:sz w:val="14"/>
                <w:szCs w:val="14"/>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w w:val="99"/>
              </w:rPr>
              <w:t>December 2019, she served as Vice President, Human Resources and Distributor Development. From April 2015 through</w:t>
            </w:r>
          </w:p>
        </w:tc>
      </w:tr>
      <w:tr>
        <w:trPr>
          <w:trHeight w:val="162"/>
        </w:trPr>
        <w:tc>
          <w:tcPr>
            <w:tcW w:w="3660" w:type="dxa"/>
            <w:vAlign w:val="bottom"/>
          </w:tcPr>
          <w:p>
            <w:pPr>
              <w:spacing w:after="0"/>
              <w:rPr>
                <w:sz w:val="14"/>
                <w:szCs w:val="14"/>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w w:val="92"/>
              </w:rPr>
              <w:t>November 2016, she served as Vice President, Human Resources. From June 2013 through March 2015, she served as Managing</w:t>
            </w:r>
          </w:p>
        </w:tc>
      </w:tr>
      <w:tr>
        <w:trPr>
          <w:trHeight w:val="162"/>
        </w:trPr>
        <w:tc>
          <w:tcPr>
            <w:tcW w:w="3660" w:type="dxa"/>
            <w:vAlign w:val="bottom"/>
          </w:tcPr>
          <w:p>
            <w:pPr>
              <w:spacing w:after="0"/>
              <w:rPr>
                <w:sz w:val="14"/>
                <w:szCs w:val="14"/>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w w:val="98"/>
              </w:rPr>
              <w:t>Director, Corporate Communications and Investor Relations. From July 2012 to May 2013, she served as Assistant General</w:t>
            </w:r>
          </w:p>
        </w:tc>
      </w:tr>
      <w:tr>
        <w:trPr>
          <w:trHeight w:val="182"/>
        </w:trPr>
        <w:tc>
          <w:tcPr>
            <w:tcW w:w="3660" w:type="dxa"/>
            <w:vAlign w:val="bottom"/>
          </w:tcPr>
          <w:p>
            <w:pPr>
              <w:spacing w:after="0"/>
              <w:rPr>
                <w:sz w:val="15"/>
                <w:szCs w:val="15"/>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rPr>
              <w:t>Counsel and Assistant Secretary.</w:t>
            </w:r>
          </w:p>
        </w:tc>
      </w:tr>
      <w:tr>
        <w:trPr>
          <w:trHeight w:val="26"/>
        </w:trPr>
        <w:tc>
          <w:tcPr>
            <w:tcW w:w="366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Angela C. Drake</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6"/>
              </w:rPr>
              <w:t>Vice President, Construction since April 2020. From April 2019 through March 2020, she served as Senior Managing Director,</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49, Vice President, Construction</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3"/>
              </w:rPr>
              <w:t>Integration. From February 2011 through March 2019, she served as Chief Financial Officer for The Charles Machine Works, Inc.</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Blake M. Grams</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3"/>
              </w:rPr>
              <w:t>Vice President, Sustainability, Business Analytics and Process Improvement since December 2021. From June 2013 to November</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54, Vice President, Sustainability, Business Analytics and</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2"/>
              </w:rPr>
              <w:t>2021, he served as Vice President, Global Operations. From December 2008 to May 2013, he served as Vice President, Corporate</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Process Improvement</w:t>
            </w:r>
          </w:p>
        </w:tc>
        <w:tc>
          <w:tcPr>
            <w:tcW w:w="7580" w:type="dxa"/>
            <w:vAlign w:val="bottom"/>
          </w:tcPr>
          <w:p>
            <w:pPr>
              <w:ind w:left="60"/>
              <w:spacing w:after="0"/>
              <w:rPr>
                <w:sz w:val="20"/>
                <w:szCs w:val="20"/>
                <w:color w:val="auto"/>
              </w:rPr>
            </w:pPr>
            <w:r>
              <w:rPr>
                <w:rFonts w:ascii="Arial" w:cs="Arial" w:eastAsia="Arial" w:hAnsi="Arial"/>
                <w:sz w:val="14"/>
                <w:szCs w:val="14"/>
                <w:color w:val="auto"/>
              </w:rPr>
              <w:t>Controller.</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Bradley A. Hamilton</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6"/>
              </w:rPr>
              <w:t>Group Vice President, Commercial, International, Ventrac, and Irrigation Businesses since March 2020. From October 2018 to</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57, Group Vice President, Commercial, International, Ventrac</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3"/>
              </w:rPr>
              <w:t>February 2020, he served as Group Vice President, Commercial, International and Irrigation Businesses. From November 2017 to</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and Irrigation Businesses</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4"/>
              </w:rPr>
              <w:t>September 2018, he served as Group Vice President, Commercial and International Businesses. From October 2016 to October</w:t>
            </w:r>
          </w:p>
        </w:tc>
      </w:tr>
      <w:tr>
        <w:trPr>
          <w:trHeight w:val="135"/>
        </w:trPr>
        <w:tc>
          <w:tcPr>
            <w:tcW w:w="3660" w:type="dxa"/>
            <w:vAlign w:val="bottom"/>
            <w:shd w:val="clear" w:color="auto" w:fill="CCEEFF"/>
          </w:tcPr>
          <w:p>
            <w:pPr>
              <w:spacing w:after="0"/>
              <w:rPr>
                <w:sz w:val="11"/>
                <w:szCs w:val="11"/>
                <w:color w:val="auto"/>
              </w:rPr>
            </w:pP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4"/>
              </w:rPr>
              <w:t>2017, he served as Vice President, Commercial Business. From April 2015 to September 2016, he served as General Manager,</w:t>
            </w:r>
          </w:p>
        </w:tc>
      </w:tr>
      <w:tr>
        <w:trPr>
          <w:trHeight w:val="189"/>
        </w:trPr>
        <w:tc>
          <w:tcPr>
            <w:tcW w:w="3660" w:type="dxa"/>
            <w:vAlign w:val="bottom"/>
            <w:shd w:val="clear" w:color="auto" w:fill="CCEEFF"/>
          </w:tcPr>
          <w:p>
            <w:pPr>
              <w:spacing w:after="0"/>
              <w:rPr>
                <w:sz w:val="16"/>
                <w:szCs w:val="16"/>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Commercial Business.</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Gregory S. Janey</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3"/>
              </w:rPr>
              <w:t>Vice President, Residential and Landscape Contractor Businesses since November 2019. From November 2017 to October 2019,</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43, Vice President, Residential and Landscape Contractor</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2"/>
              </w:rPr>
              <w:t>he served as General Manager, Residential and Landscape Contractor Businesses. From April 2015 to October 2017, he served as</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Businesses</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6"/>
              </w:rPr>
              <w:t>Director, Marketing International Business. From January 2013 through March 2015, he served as Director, Residential Mass</w:t>
            </w:r>
          </w:p>
        </w:tc>
      </w:tr>
      <w:tr>
        <w:trPr>
          <w:trHeight w:val="186"/>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rPr>
              <w:t>Sales and National Accounts in our Residential Business.</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Peter D. Moeller</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2"/>
              </w:rPr>
              <w:t>Vice President, International since November 2020. From November 2019 to October 2020, he served as Vice President, Sitework</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44, Vice President, International</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5"/>
              </w:rPr>
              <w:t>Systems Business. From November 2017 to October 2019, he served as General Manager, Sitework Systems Business. From</w:t>
            </w:r>
          </w:p>
        </w:tc>
      </w:tr>
      <w:tr>
        <w:trPr>
          <w:trHeight w:val="189"/>
        </w:trPr>
        <w:tc>
          <w:tcPr>
            <w:tcW w:w="3660" w:type="dxa"/>
            <w:vAlign w:val="bottom"/>
            <w:shd w:val="clear" w:color="auto" w:fill="CCEEFF"/>
          </w:tcPr>
          <w:p>
            <w:pPr>
              <w:spacing w:after="0"/>
              <w:rPr>
                <w:sz w:val="16"/>
                <w:szCs w:val="16"/>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April 2015 to October 2017, he served as Managing Director, Business Development and Strategic Planning.</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Renee J. Peterson</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8"/>
              </w:rPr>
              <w:t>Vice President and Chief Financial Officer since August 2011. She also served as Treasurer from July 2013 to March 2021.</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60, Vice President and Chief Financial Officer</w:t>
            </w:r>
          </w:p>
        </w:tc>
        <w:tc>
          <w:tcPr>
            <w:tcW w:w="7580" w:type="dxa"/>
            <w:vAlign w:val="bottom"/>
          </w:tcPr>
          <w:p>
            <w:pPr>
              <w:spacing w:after="0"/>
              <w:rPr>
                <w:sz w:val="16"/>
                <w:szCs w:val="16"/>
                <w:color w:val="auto"/>
              </w:rPr>
            </w:pP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Darren L. Redetzke</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6"/>
              </w:rPr>
              <w:t>Vice President, Strategic Technologies since November 2020. From April 2015 to October 2020, he served as Vice President,</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57, Vice President, Strategic Technologies</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International Business.</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Richard W. Rodier</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7"/>
              </w:rPr>
              <w:t>Group Vice President, Construction, Contractor and Residential Business since May 2020. From April 2019 to April 2020, he</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61, Group Vice President, Construction, Contractor and</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7"/>
              </w:rPr>
              <w:t>served as Group Vice President, Construction Businesses. From November 2017 to April 2019, he served as Vice President,</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Residential Businesses</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5"/>
              </w:rPr>
              <w:t>Commercial Business. From October 2016 to November 2017, he served as Vice President, Sitework Systems. From February</w:t>
            </w:r>
          </w:p>
        </w:tc>
      </w:tr>
      <w:tr>
        <w:trPr>
          <w:trHeight w:val="186"/>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rPr>
              <w:t>2009 to October 2016, he served as General Manager, Sitework Systems.</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Kurt D. Svendsen</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2"/>
              </w:rPr>
              <w:t>Vice President, Strategy, Corporate and Channel Development since November 2020. From June 2013 to October 2020, he served</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55, Vice President, Strategy, Corporate and Channel</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as Vice President, Information Services.</w:t>
            </w:r>
          </w:p>
        </w:tc>
      </w:tr>
      <w:tr>
        <w:trPr>
          <w:trHeight w:val="186"/>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7580" w:type="dxa"/>
            <w:vAlign w:val="bottom"/>
            <w:tcBorders>
              <w:bottom w:val="single" w:sz="8" w:color="auto"/>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Cash Dividends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common stock is listed for trading on the New York Stock Exchange and trades under the symbol "TTC." As of October 31, 2021 and 2020, we had 175,000,000 shares of common stock authorized, $1.00 par value. As of October 31, 2021 and 2020, we had 105,205,734 and 107,582,670 shares of common stock outstanding, respectively. In each quarter of fiscal 2021, our Board of Directors declared a common stock cash dividend of $0.2625 per share, which was a 5.0 percent increase over our common stock cash dividend of $0.25 per share paid in each quarter of fiscal 2020. As announced on December 14, 2021, our Board of Directors increased our fiscal 2022 first quarter common stock cash dividend by 14.3 percent to $0.30 per share from the quarterly common stock cash dividend of $0.2625 paid in the first quarter of fiscal 2021.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2021 and 2020, we had 1,000,000 voting shares and 850,000 non-voting shares of preferred stock authorized, $1.00 par value. No shares of preferred stock were outstanding as of October 31, 2021 and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10, 2021, we had 2,648 shareholders of record.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fourth quarter ended October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 Shares (or</w:t>
            </w:r>
          </w:p>
        </w:tc>
        <w:tc>
          <w:tcPr>
            <w:tcW w:w="1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Number of Shares (or</w:t>
            </w:r>
          </w:p>
        </w:tc>
        <w:tc>
          <w:tcPr>
            <w:tcW w:w="14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9"/>
              </w:rPr>
              <w:t>Average Price Paid</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Units) Purchased As Part of</w:t>
            </w:r>
          </w:p>
        </w:tc>
        <w:tc>
          <w:tcPr>
            <w:tcW w:w="18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35"/>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580" w:type="dxa"/>
            <w:vAlign w:val="bottom"/>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Publicly Announced Plans or</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jc w:val="right"/>
              <w:ind w:right="268"/>
              <w:spacing w:after="0" w:line="189" w:lineRule="exact"/>
              <w:rPr>
                <w:sz w:val="20"/>
                <w:szCs w:val="20"/>
                <w:color w:val="auto"/>
              </w:rPr>
            </w:pPr>
            <w:r>
              <w:rPr>
                <w:rFonts w:ascii="Arial" w:cs="Arial" w:eastAsia="Arial" w:hAnsi="Arial"/>
                <w:sz w:val="14"/>
                <w:szCs w:val="14"/>
                <w:b w:val="1"/>
                <w:bCs w:val="1"/>
                <w:color w:val="auto"/>
              </w:rPr>
              <w:t>Units) Purchased</w:t>
            </w:r>
            <w:r>
              <w:rPr>
                <w:rFonts w:ascii="Arial" w:cs="Arial" w:eastAsia="Arial" w:hAnsi="Arial"/>
                <w:sz w:val="18"/>
                <w:szCs w:val="18"/>
                <w:b w:val="1"/>
                <w:bCs w:val="1"/>
                <w:color w:val="auto"/>
                <w:vertAlign w:val="superscript"/>
              </w:rPr>
              <w:t>1, 2</w:t>
            </w:r>
          </w:p>
        </w:tc>
        <w:tc>
          <w:tcPr>
            <w:tcW w:w="14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per Share (or Unit)</w:t>
            </w:r>
          </w:p>
        </w:tc>
        <w:tc>
          <w:tcPr>
            <w:tcW w:w="20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8"/>
                <w:szCs w:val="18"/>
                <w:b w:val="1"/>
                <w:bCs w:val="1"/>
                <w:color w:val="auto"/>
                <w:w w:val="91"/>
                <w:vertAlign w:val="superscript"/>
              </w:rPr>
              <w:t>1</w:t>
            </w:r>
          </w:p>
        </w:tc>
        <w:tc>
          <w:tcPr>
            <w:tcW w:w="1880" w:type="dxa"/>
            <w:vAlign w:val="bottom"/>
            <w:tcBorders>
              <w:bottom w:val="single" w:sz="8" w:color="auto"/>
            </w:tcBorders>
          </w:tcPr>
          <w:p>
            <w:pPr>
              <w:jc w:val="center"/>
              <w:ind w:left="8"/>
              <w:spacing w:after="0" w:line="189" w:lineRule="exact"/>
              <w:rPr>
                <w:sz w:val="20"/>
                <w:szCs w:val="20"/>
                <w:color w:val="auto"/>
              </w:rPr>
            </w:pPr>
            <w:r>
              <w:rPr>
                <w:rFonts w:ascii="Arial" w:cs="Arial" w:eastAsia="Arial" w:hAnsi="Arial"/>
                <w:sz w:val="14"/>
                <w:szCs w:val="14"/>
                <w:b w:val="1"/>
                <w:bCs w:val="1"/>
                <w:color w:val="auto"/>
                <w:w w:val="91"/>
              </w:rPr>
              <w:t>Plans or Programs</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July 31, 2021 through September 3, 2021</w:t>
            </w:r>
          </w:p>
        </w:tc>
        <w:tc>
          <w:tcPr>
            <w:tcW w:w="2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5,308,779</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September 4, 2021 through October 1, 2021</w:t>
            </w:r>
          </w:p>
        </w:tc>
        <w:tc>
          <w:tcPr>
            <w:tcW w:w="2580" w:type="dxa"/>
            <w:vAlign w:val="bottom"/>
          </w:tcPr>
          <w:p>
            <w:pPr>
              <w:jc w:val="right"/>
              <w:ind w:right="28"/>
              <w:spacing w:after="0"/>
              <w:rPr>
                <w:sz w:val="20"/>
                <w:szCs w:val="20"/>
                <w:color w:val="auto"/>
              </w:rPr>
            </w:pPr>
            <w:r>
              <w:rPr>
                <w:rFonts w:ascii="Arial" w:cs="Arial" w:eastAsia="Arial" w:hAnsi="Arial"/>
                <w:sz w:val="14"/>
                <w:szCs w:val="14"/>
                <w:color w:val="auto"/>
              </w:rPr>
              <w:t>749,483</w:t>
            </w:r>
          </w:p>
        </w:tc>
        <w:tc>
          <w:tcPr>
            <w:tcW w:w="52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100.24</w:t>
            </w: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749,483</w:t>
            </w:r>
          </w:p>
        </w:tc>
        <w:tc>
          <w:tcPr>
            <w:tcW w:w="1880" w:type="dxa"/>
            <w:vAlign w:val="bottom"/>
          </w:tcPr>
          <w:p>
            <w:pPr>
              <w:jc w:val="right"/>
              <w:spacing w:after="0"/>
              <w:rPr>
                <w:sz w:val="20"/>
                <w:szCs w:val="20"/>
                <w:color w:val="auto"/>
              </w:rPr>
            </w:pPr>
            <w:r>
              <w:rPr>
                <w:rFonts w:ascii="Arial" w:cs="Arial" w:eastAsia="Arial" w:hAnsi="Arial"/>
                <w:sz w:val="14"/>
                <w:szCs w:val="14"/>
                <w:color w:val="auto"/>
              </w:rPr>
              <w:t>4,559,296</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2, 2021 through October 31, 2021</w:t>
            </w:r>
          </w:p>
        </w:tc>
        <w:tc>
          <w:tcPr>
            <w:tcW w:w="2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507,779</w:t>
            </w:r>
          </w:p>
        </w:tc>
        <w:tc>
          <w:tcPr>
            <w:tcW w:w="5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98.64</w:t>
            </w:r>
          </w:p>
        </w:tc>
        <w:tc>
          <w:tcPr>
            <w:tcW w:w="2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506,834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4,052,462</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1,257,262</w:t>
            </w: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99.59</w:t>
            </w:r>
          </w:p>
        </w:tc>
        <w:tc>
          <w:tcPr>
            <w:tcW w:w="2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1,256,317</w:t>
            </w:r>
          </w:p>
        </w:tc>
        <w:tc>
          <w:tcPr>
            <w:tcW w:w="1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40" w:hanging="332"/>
        <w:spacing w:after="0" w:line="254" w:lineRule="auto"/>
        <w:tabs>
          <w:tab w:leader="none" w:pos="178"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On December 3, 2015, the company's Board of Directors authorized the repurchase of 8,000,000 shares of the company's common stock in open-market or in privately negotiated transactions. The company repurchased 308,779 shares under this tranche of authorized shares under the company's stock repurchase program during the period indicated above and as a result, no shares remain available to repurchase under this tranche as of October 31, 2021. On December 4, 2018, the company’s Board of Directors authorized the repurchase of up to an additional 5,000,000 shares of the company’s common stock in open-market or in privately negotiated transactions. This authorized stock repurchase program has no expiration date but may be terminated by the company's Board of Directors at any time. The company repurchased 947,538 shares under this tranche of authorized shares under the company's stock repurchase program during the period indicated above and as a result, 4,052,462 shares remained available to repurchase under this tranche of authorized shares under the company's stock repurchase program as of October 31, 2021.</w:t>
      </w:r>
    </w:p>
    <w:p>
      <w:pPr>
        <w:spacing w:after="0" w:line="83" w:lineRule="exact"/>
        <w:rPr>
          <w:sz w:val="20"/>
          <w:szCs w:val="20"/>
          <w:color w:val="auto"/>
        </w:rPr>
      </w:pPr>
    </w:p>
    <w:p>
      <w:pPr>
        <w:ind w:left="340" w:hanging="332"/>
        <w:spacing w:after="0" w:line="227" w:lineRule="auto"/>
        <w:tabs>
          <w:tab w:leader="none" w:pos="23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Includes 945 shares of the company's common stock purchased in open-market transactions at an average price of $98.55 per share on behalf of a rabbi trust formed to pay benefit obligations of the company to participants in the company's deferred compensation plans. These 945 shares were not repurchased under the company's authorized stock repurchase program described in footnote 1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stock performance graph and table depict the cumulative total shareholder return (assuming reinvestment of dividends) on $100 invested in each of TTC common stock, the S&amp;P 500 Index, the S&amp;P 500 Industrial Machinery Index, and an industry peer group for the five-year period from October 31, 2016 through October 31, 2021. The total returns on TTC common stock depicted in the stock performance graph and table are not necessarily indicative of future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The Toro Company, the S&amp;P 500 Index, the S&amp;P 500 Industrial Machinery Index, and Industry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85725</wp:posOffset>
            </wp:positionV>
            <wp:extent cx="5254625" cy="3137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46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 invested on 10/31/16 in stock or index, including reinvestment of dividends. Fiscal years ending October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1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r>
      <w:tr>
        <w:trPr>
          <w:trHeight w:val="184"/>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Toro Company</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132.75</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120.53</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180.58</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212.18</w:t>
            </w: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S&amp;P 500</w:t>
            </w:r>
          </w:p>
        </w:tc>
        <w:tc>
          <w:tcPr>
            <w:tcW w:w="13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123.63</w:t>
            </w:r>
          </w:p>
        </w:tc>
        <w:tc>
          <w:tcPr>
            <w:tcW w:w="3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132.71</w:t>
            </w:r>
          </w:p>
        </w:tc>
        <w:tc>
          <w:tcPr>
            <w:tcW w:w="3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151.73</w:t>
            </w:r>
          </w:p>
        </w:tc>
        <w:tc>
          <w:tcPr>
            <w:tcW w:w="3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166.46</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237.90</w:t>
            </w: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500 Industrial Machinery Index</w:t>
            </w:r>
          </w:p>
        </w:tc>
        <w:tc>
          <w:tcPr>
            <w:tcW w:w="13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137.87</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127.21</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155.14</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170.16</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224.61</w:t>
            </w:r>
          </w:p>
        </w:tc>
      </w:tr>
      <w:tr>
        <w:trPr>
          <w:trHeight w:val="18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Industry Peer Group</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146.12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134.40</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165.57</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191.21</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258.51</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S&amp;P 500 Industrial Machinery Index has been added to the stock performance chart during fiscal 2021 and will be included in future filings. The S&amp;P 500 Industrial Machinery Index is a widely used market capitalization index that we believe more appropriately represents manufacturing companies of comparable industry, size, and complexity to that of TTC as compared to our industry peer group. As a result, we will not include the industry peer group in future filings. The industry peer group is based on companies previously included in the Fortune 500 Industrial and Farm Equipment Index, which was discontinued after 2002 and currently includes: AGCO Corporation, Caterpillar Inc., Crane Co., Cummins Inc., Deere &amp; Company, Dover Corporation, Flowserve Corporation, Harsco Corporation, Illinois Tool Works Inc., International Game Technology Plc, ITT Inc., Kennametal Inc., Lennox International Inc., NACCO Industries, Inc., Parker-Hannifin Corporation, Pentair Plc, Snap-On Inc., Teleflex Inc., Terex Corporation, and The Timken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intended to provide a reader of our Consolidated Financial Statements with a narrative from the perspective of management on our Financial Condition, Results of Operations, Liquidity, and certain other factors that may affect our future results. Our Consolidated Financial Statements and Notes to Consolidated Financial Statements are included in Part II, Item 8, "Financial Statements and Supplementary Data," of this Annual Report on Form 10-K and all references in this MD&amp;A to the Notes to Consolidated Financial Statements can be found in Part II, Item 8, "Financial Statements and Supplementary Data," of this Annual Report on Form 10-K.</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expressly stated otherwise, the comparisons presented in this MD&amp;A refer to the year-over-year comparison of changes in our Financial Condition and Results of Operations as of and for the fiscal years ended October 31, 2021 and 2020. Discussion of fiscal 2019 items and the year-over-year comparison of changes in our Financial Condition and Results of Operations as of and for the fiscal years ended October 31, 2020 and 2019 can be found in Part II, Item 7, "Management’s Discussion and Analysis of Financial Condition and Results of Operations," of our Annual Report on Form 10-K for the fiscal year ended October 31, 2020.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MD&amp;A is presented as follows: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Throughout this MD&amp;A, we have provided financial measures that are not calculated or presented in accordance with U.S. GAAP ("non-GAAP financial measures"), as information supplemental and in addition to the most directly comparable financial measures presented in this Annual Report on Form 10-K that are calculated and presented in accordance with U.S. GAAP. 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ag-irrigation systems; rental, specialty, and underground construction equipment; and residential yard and snow thrower products. Our purpose is to help our customers enrich the beauty, productivity, and sustainability of the land. Sustainability is the foundation of our enterprise strategic priorities of accelerating growth, driving productivity and operational excellence, and empowering our people, and our focus on alternative power, smart connected, and autonomous solutions are embedded as part of our "Sustainability Endures" strategy. Our Sustainability Endures strategy also provides transparency on our continued efforts to address sustainability-focused matters, including ESG priorities.</w:t>
      </w:r>
    </w:p>
    <w:p>
      <w:pPr>
        <w:spacing w:after="0" w:line="76"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and our remaining activities are presented as "Other" due to their insignificance, as described in greater detail within the section titled "Business Segments" in this MD&amp;A.</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We began fiscal 2021 in the midst of the COVID-19 pandemic, which continued to cause many challenges for our business and manufacturing operations. Specifically, COVID-19 was the catalyst for the current challenging global macroeconomic environment that has disrupted the global supply chain and created an inflationary environment throughout fiscal 2021. The impact of COVID-19 on our business is more fully described within the section titled "Impact of COVID-19" in this MD&amp;A. Despite these challenges, we achieved double-digit consolidated net sales growth in fiscal 2021.</w:t>
      </w:r>
    </w:p>
    <w:p>
      <w:pPr>
        <w:spacing w:after="0" w:line="8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Our Professional segment achieved 16.1 percent net sales growth in fiscal 2021 primarily due to a combination of strong demand for most products and strategic pricing actions across our product lines. More specifically, we benefited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a continued strong rebound in demand for many of the products in our Professional segment businesses that were more adversely impacted by COVID-19 during fiscal 2020. Most notably, our landscape contractor business continued to build upon the momentum generated during the fourth quarter of fiscal 2020 as we continued to experience strong retail demand from contractors and our channel partners worked to replenish their field inventory levels during fiscal 2021. Additionally, our golf business continued to experience strong demand as golf course investments increased and spending patterns normalized as budgetary constraints moderated. Our rental and specialty construction business also experienced strong demand primarily due to favorable construction industry trends. While the strong demand experienced in our Professional segment was positive, our Professional segment growth was partially offset by a reduction of net sales within our underground construction business driven by supply chain disruptions that resulted in product availability issues that limited our ability to meet the heightened demand for most of our products.</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Residential segment continued to build on the momentum generated during fiscal 2020 and achieved 23.1 percent net sales growth in fiscal 2021 primarily as a result of strong retail demand across most product lines as a result of new and enhanced products, favorable weather conditions, expanded retail placement, and continued investments by homeowners in their properties. We also achieved net sales growth during fiscal 2021 as a result of strategic pricing actions across our product lines. While the sales growth achieved in our Residential segment was positive, the shift to a greater percentage of Residential segment net sales as a percentage of consolidated net sales has, and may continue to, adversely pressure our consolidated gross margins.</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continued our history of paying quarterly cash dividends throughout fiscal 2021 and increased our fiscal 2021 quarterly cash dividend by 5.0 percent to $0.2625 per share compared to $0.25 per share paid in fiscal 2020. We also resumed repurchasing shares of our common stock, thereby reducing our total shares outstanding. As a result of the combination of quarterly cash dividends and share repurchases, we returned $414.7 million of cash to our shareholders during fiscal 2021. As of October 31, 2021, we had a strong liquidity profile with available liquidity of $1,002.5 million, consisting of cash and cash equivalents of $405.6 million and availability under our revolving credit facility of $596.9 million.</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our fiscal 2021 results included the following items of significance that are provided in summary format here and described in greater detail throughout the "Results of Operations," "Business Segments," and "Financial Position" sections of this MD&amp;A:</w:t>
      </w:r>
    </w:p>
    <w:p>
      <w:pPr>
        <w:spacing w:after="0" w:line="63" w:lineRule="exact"/>
        <w:rPr>
          <w:sz w:val="20"/>
          <w:szCs w:val="20"/>
          <w:color w:val="auto"/>
        </w:rPr>
      </w:pPr>
    </w:p>
    <w:p>
      <w:pPr>
        <w:ind w:left="340" w:hanging="332"/>
        <w:spacing w:after="0" w:line="342"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Consolidated net sales for fiscal 2021 were $3,959.6 million, an increase of 17.2 percent compared to $3,378.8 million in fiscal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00" w:hanging="332"/>
        <w:spacing w:after="0" w:line="255"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segment net sales for fiscal 2021 were $2,929.6 million, an increase of 16.1 percent compared to $2,523.5 million in fiscal 2020.</w:t>
      </w:r>
    </w:p>
    <w:p>
      <w:pPr>
        <w:spacing w:after="0" w:line="2" w:lineRule="exact"/>
        <w:rPr>
          <w:rFonts w:ascii="Arial" w:cs="Arial" w:eastAsia="Arial" w:hAnsi="Arial"/>
          <w:sz w:val="18"/>
          <w:szCs w:val="18"/>
          <w:color w:val="auto"/>
        </w:rPr>
      </w:pPr>
    </w:p>
    <w:p>
      <w:pPr>
        <w:jc w:val="both"/>
        <w:ind w:left="500" w:hanging="332"/>
        <w:spacing w:after="0" w:line="281" w:lineRule="auto"/>
        <w:tabs>
          <w:tab w:leader="none" w:pos="4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Residential segment net sales for fiscal 2021 were $1,010.1 million, an increase of 23.1 percent compared to $820.7 million in fiscal 2020.</w:t>
      </w:r>
    </w:p>
    <w:p>
      <w:pPr>
        <w:spacing w:after="0" w:line="1" w:lineRule="exact"/>
        <w:rPr>
          <w:rFonts w:ascii="Arial" w:cs="Arial" w:eastAsia="Arial" w:hAnsi="Arial"/>
          <w:sz w:val="16"/>
          <w:szCs w:val="16"/>
          <w:color w:val="auto"/>
        </w:rPr>
      </w:pPr>
    </w:p>
    <w:p>
      <w:pPr>
        <w:ind w:left="500" w:hanging="332"/>
        <w:spacing w:after="0" w:line="250"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was 33.8 percent in fiscal 2021 compared to 35.2 percent in fiscal 2020, a decrease of 140 basis points.</w:t>
      </w:r>
    </w:p>
    <w:p>
      <w:pPr>
        <w:ind w:left="500" w:hanging="332"/>
        <w:spacing w:after="0" w:line="265" w:lineRule="auto"/>
        <w:tabs>
          <w:tab w:leader="none" w:pos="4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Non-GAAP gross margin was 33.8 percent in fiscal 2021 compared to 35.4 percent in fiscal 2020, a decrease of 160 basis points.</w:t>
      </w:r>
    </w:p>
    <w:p>
      <w:pPr>
        <w:jc w:val="both"/>
        <w:ind w:left="500" w:hanging="332"/>
        <w:spacing w:after="0" w:line="250"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SG&amp;A expense as a percentage of net sales in fiscal 2021 was 20.7 percent compared to 22.6 percent in fiscal 2020, an improvement of 190 basis points.</w:t>
      </w:r>
    </w:p>
    <w:p>
      <w:pPr>
        <w:spacing w:after="0" w:line="1"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earnings for fiscal 2021 were $409.9 million, or $3.78 per diluted share, compared to $329.7 million, or $3.03 per diluted share, in fiscal 2020.</w:t>
      </w:r>
    </w:p>
    <w:p>
      <w:pPr>
        <w:spacing w:after="0" w:line="1"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Non-GAAP net earnings for fiscal 2021 were $392.7 million, or $3.62 per diluted share, compared to $327.7 million, or $3.02 per diluted share, in fiscal 2020.</w:t>
      </w:r>
    </w:p>
    <w:p>
      <w:pPr>
        <w:spacing w:after="0" w:line="1" w:lineRule="exact"/>
        <w:rPr>
          <w:rFonts w:ascii="Arial" w:cs="Arial" w:eastAsia="Arial" w:hAnsi="Arial"/>
          <w:sz w:val="18"/>
          <w:szCs w:val="18"/>
          <w:color w:val="auto"/>
        </w:rPr>
      </w:pPr>
    </w:p>
    <w:p>
      <w:pPr>
        <w:jc w:val="both"/>
        <w:ind w:left="500" w:hanging="332"/>
        <w:spacing w:after="0" w:line="255"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Field inventory levels were lower as of the end of fiscal 2021 compared to the end of fiscal 2020 as a result of strong retail demand for our products that exceeded product availability.</w:t>
      </w:r>
    </w:p>
    <w:p>
      <w:pPr>
        <w:spacing w:after="0" w:line="82" w:lineRule="exact"/>
        <w:rPr>
          <w:sz w:val="20"/>
          <w:szCs w:val="20"/>
          <w:color w:val="auto"/>
        </w:rPr>
      </w:pPr>
    </w:p>
    <w:p>
      <w:pPr>
        <w:jc w:val="both"/>
        <w:ind w:left="160"/>
        <w:spacing w:after="0" w:line="286" w:lineRule="auto"/>
        <w:rPr>
          <w:sz w:val="20"/>
          <w:szCs w:val="20"/>
          <w:color w:val="auto"/>
        </w:rPr>
      </w:pPr>
      <w:r>
        <w:rPr>
          <w:rFonts w:ascii="Arial" w:cs="Arial" w:eastAsia="Arial" w:hAnsi="Arial"/>
          <w:sz w:val="17"/>
          <w:szCs w:val="17"/>
          <w:color w:val="auto"/>
        </w:rPr>
        <w:t>Please refer to the section titled "Non-GAAP Financial Measures" within this MD&amp;A for reconciliations of non-GAAP financial measures to the most directly comparable reported U.S. GAAP financial measures.</w:t>
      </w:r>
    </w:p>
    <w:p>
      <w:pPr>
        <w:spacing w:after="0" w:line="57"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As we look ahead to fiscal 2022, we currently expect the strong demand environment to continue across both our Professional and Residential segments and benefit our future net sales. We also expect to continue to realize favorable impacts to both our net sales and gross margins as a result of our strategic pricing actions and to our gross margins from our productivity initiatives. However, the current challenging supply chain and inflationary environment is anticipated to continue and adversely impact our gross margins into fiscal 2022 and we anticipate that our quarterly sales cadence during fiscal 2022 will be driven more by our ability to produce product than historical demand patterns and seasonality. We intend to continue our historical practice of prudently managing expenses and adjusting production levels as needed to align with anticipated sales volumes and availability of commodity and component parts inventories, while also prioritizing investments that support long-term sustainable growth across our businesses. However, given our current expectation of continuing supply chain disruptions into fiscal 2022 our ability to effectively and efficiently adjust production levels as needed may be limited.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Power Forward</w:t>
      </w:r>
    </w:p>
    <w:p>
      <w:pPr>
        <w:spacing w:after="0" w:line="117"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Despite uncertainty concerning the duration of COVID-19 and its impact on the global economy and supply chains, we continued to embrace employee initiatives aligned with driving defined enterprise financial performance goals. As a result, for fiscal 2021, we implemented a one-year employee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initiative, "Power Forward." This employee initiative was intended to help us drive net sales and operating earnings growth and specifically focused on enterprise-wide financial performance goals of net sales of $3.7 billion and non-GAAP operating earnings of $485.0 million for fiscal 2021. Due to strong business performance, we exceeded both enterprise-wide financial performance goals during fiscal 2021 as we realized $4.0 billion of net sales and $507.0 million of non-GAAP operating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Multi-Year Employee Initiative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new multi-year employee initiative, "Drive for Five," is intended to align and engage employees on furthering our strategic growth by offering innovative business and product categories to serve our customers. As such, the core focus of this initiative is our goal of exceeding $5.0 billion in net sales through organic growth, while continuing our historical focus on improving profitability, by the end of fiscal 2024. We believe this goal will continue and enhance the innovation and growth momentum for the organization.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the World Health Organization declared COVID-19 a global pandemic. COVID-19 has negatively impacted public health and portions of the global economy, significantly disrupted global supply chains, and created volatility in financial markets. The global impact of the pandemic has had a material impact on parts of our business, as well as our employees, customers, and suppliers, and caused many challenges for our business and manufacturing operations.</w:t>
      </w:r>
    </w:p>
    <w:p>
      <w:pPr>
        <w:spacing w:after="0" w:line="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main focus from the beginning of the pandemic has been, and will continue to be, the health, safety, and well-being of our employees, customers, suppliers and communities around the world. In support of continuing our global manufacturing and business operations, we have adopted, and continue to adhere to, rigorous and meaningful safety measures recommended by the U.S. Centers for Disease Control and Prevention, World Health Organization, and federal, state, local, and foreign authorities in an effort to protect our employees, customers, suppliers, and communities. These important safety measures enacted at our facilities and other sites include implementing social distancing protocols such as the reconfiguration of manufacturing processes and other workspaces, frequent disinfecting of our facilities and workspaces, and providing or accommodating the wearing of face coverings and other sanitary measures at our facilities and sites where face coverings are required by government mandates. During fiscal 2021, we implemented an employee campaign in support of COVID-19 vaccine efforts. This campaign was designed to provide information about, and support and encourage our employees to receive, a COVID-19 vaccination. As part of this campaign, we facilitated offering the vaccine to our employees at certain of our facilities. We expect to continue certain applicable and appropriate safety measures for purposes of our global manufacturing and business operations and we may take further actions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authorities require or recommend or as we determine to be in the best interests of our employees, customers, suppliers, and communities.</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our vigilant safety measures, we have also maintained our focus on our responsibility to meet the needs of our customers. While our facilities remained operational during fiscal 2021 and we experienced a lesser degree of intermittent partial or full factory closures due to government mandated measures as compared to fiscal 2020, our manufacturing operations were adversely impacted by the global macroeconomic environment, and more specifically, global supply chain disruptions that limited our ability to procure certain commodities and components parts in a timely manner to meet manufacturing production requirements. As a result, we experienced various degrees of commodity and component parts availability issues, which resulted in manufacturing inefficiencies and limited our ability to meet customer demand and adequately replenish certain raw materials, work in process, and finish goods inventory levels. Additionally, the global macroeconomic environment has resulted in a greater degree of inflationary cost pressures on commodity, component parts, and other related costs during fiscal 2021 as compared to fiscal 2020. Although we regularly monitor the adequacy of the supply of commodities, components, parts, and accessories and the financial health of the companies in our supply chain, and use alternative suppliers when necessary and available, financial hardship and/or government mandated restrictions on our suppliers caused by COVID-19, insufficient demand planning, and/or the inability of companies throughout our supply chain to deliver on supply commitments, requirements, and/or demands as a result of COVID-19 or otherwise, has and could continue to cause a disruption in our ability to procure the commodities, components, and parts required to manufacture our products. Ongoing communications continue with our suppliers in an attempt to identify and mitigate such risks and to proactively manage inventory levels of commodities, components, and parts to align with anticipated demand for our products and other government actions.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continuing implications of COVID-19 on our business and manufacturing operations remain uncertain and will depend on certain future developments, including the duration of the pandemic; any adverse impact due to variants of the virus; its impact on market demand for our products; its impact on the global supply chain; its impact on our employees, customers, and suppliers; the range of government mandated restrictions and other measures; and the success of the deployment of COVID-19 vaccines, their effectiveness against the novel strain and related variants, and their rate of adoption. As a result, the ultimate impact on our future business and manufacturing operations, as well as Results of Operations, Financial Position, and Cash Flows as a result of COVID-19 is unknown at this time. We will continue to monitor the situation and the guidance from global government authorities, as well as federal, state, local and foreign public health authorities, and may take additional</w:t>
      </w:r>
    </w:p>
    <w:p>
      <w:pPr>
        <w:spacing w:after="0" w:line="3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meaningful actions based on their requirements and recommendations in an attempt to protect the health and well-being of our employees, customers, suppliers, and communities. In these circumstances, there may be developments outside our control requiring us to adjust our operating plans and implement appropriate cost reduction measures and such developments could occur rapidly. If the adverse impacts from COVID-19 continue or worsen beyond expectations,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Part I, Item 1A, "Risk Factors,"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Venture Products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On March 2, 2020, during the second quarter of fiscal 2020, we completed our acquisition of Venture Products, the manufacturer of Ventrac-branded products. Venture Products designs, manufactures, markets, and sells articulating turf, landscape, and snow and ice management equipment for grounds, landscape contractor, golf, municipal, and rural acreage customers and provides innovative product offerings that broadened and strengthened our Professional segment and expanded our dealer network. The acquisition consideration was $163.2 million, of which $24.9 million of cash consideration was paid to the former Venture Products shareholders during fiscal 2021 upon the satisfaction of indemnification and certain other obligations of Venture Products to the company. We funded the acquisition consideration with borrowings under our revolving credit facility and net cash provided by operating activities. Subsequent to the closing date, results of operations for Venture Products have been included within our Professional segment within our Consolidated Financial Statements and had an incremental impact to our Professional segment net sales and segment earnings for the fiscal year ended October 31, 2021. For additional information regarding the Venture Products acquisition, refer to Note 2, </w:t>
      </w:r>
      <w:r>
        <w:rPr>
          <w:rFonts w:ascii="Arial" w:cs="Arial" w:eastAsia="Arial" w:hAnsi="Arial"/>
          <w:sz w:val="16"/>
          <w:szCs w:val="16"/>
          <w:i w:val="1"/>
          <w:iCs w:val="1"/>
          <w:color w:val="auto"/>
        </w:rPr>
        <w:t>Business Combinations and 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the Notes to Consolidated Financial Statements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Part II, Item 8, "Financial Statements and Supplementary Data," of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sales in fiscal 2021 were $3,959.6 million compared to $3,378.8 million in fiscal 2020, an increase of 17.2 percent. This net sales increase was primarily driven by the following factors:</w:t>
      </w:r>
    </w:p>
    <w:p>
      <w:pPr>
        <w:spacing w:after="0" w:line="57" w:lineRule="exact"/>
        <w:rPr>
          <w:sz w:val="20"/>
          <w:szCs w:val="20"/>
          <w:color w:val="auto"/>
        </w:rPr>
      </w:pPr>
    </w:p>
    <w:p>
      <w:pPr>
        <w:jc w:val="both"/>
        <w:ind w:left="340" w:hanging="332"/>
        <w:spacing w:after="0" w:line="255"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sales of Professional landscape contractor zero-turn riding mowers due to strong retail demand and low field inventory levels at the end of fiscal 2020;</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increases across our Professional and Residential segment product lines;</w:t>
      </w:r>
    </w:p>
    <w:p>
      <w:pPr>
        <w:ind w:left="340" w:hanging="332"/>
        <w:spacing w:after="0" w:line="250"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retail demand for Residential zero-turn riding and walk power mowers due to new and enhanced products;</w:t>
      </w:r>
    </w:p>
    <w:p>
      <w:pPr>
        <w:jc w:val="both"/>
        <w:ind w:left="340" w:hanging="332"/>
        <w:spacing w:after="0" w:line="250"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shipments of golf equipment and Professional irrigation products as a result of the normalization of golf course spending patterns and course investments; and</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demand for rental and specialty construction equipment due to favorable construction industry trends.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net sales increase was partially offset by reduced sales of underground construction equipment as a result of supply chain challenges limiting product availability and our ability to meet construction industry demand.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in international markets were $827.6 million for fiscal 2021 compared to $678.1 million in fiscal 2020, an increase of 22.0 percent. Changes in foreign currency exchange rates resulted in an increase in our net sales of $19.3 million in fiscal 2021. The international net sales increase was primarily driven by increased shipments of golf equipment and irrigation products and strong demand for both Professional and Residential segment zero-turn riding products.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17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r>
      <w:tr>
        <w:trPr>
          <w:trHeight w:val="184"/>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100.0 %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8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(66.2)</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(64.8)</w:t>
            </w:r>
          </w:p>
        </w:tc>
      </w:tr>
      <w:tr>
        <w:trPr>
          <w:trHeight w:val="186"/>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margin</w:t>
            </w:r>
          </w:p>
        </w:tc>
        <w:tc>
          <w:tcPr>
            <w:tcW w:w="17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33.8</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35.2</w:t>
            </w:r>
          </w:p>
        </w:tc>
      </w:tr>
      <w:tr>
        <w:trPr>
          <w:trHeight w:val="18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SG&amp;A expense</w:t>
            </w: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(20.7)</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w:t>
            </w:r>
          </w:p>
        </w:tc>
      </w:tr>
      <w:tr>
        <w:trPr>
          <w:trHeight w:val="186"/>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earnings</w:t>
            </w:r>
          </w:p>
        </w:tc>
        <w:tc>
          <w:tcPr>
            <w:tcW w:w="17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13.1</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w:t>
            </w:r>
          </w:p>
        </w:tc>
      </w:tr>
      <w:tr>
        <w:trPr>
          <w:trHeight w:val="186"/>
        </w:trPr>
        <w:tc>
          <w:tcPr>
            <w:tcW w:w="27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760" w:type="dxa"/>
            <w:vAlign w:val="bottom"/>
          </w:tcPr>
          <w:p>
            <w:pPr>
              <w:jc w:val="right"/>
              <w:ind w:right="308"/>
              <w:spacing w:after="0"/>
              <w:rPr>
                <w:sz w:val="20"/>
                <w:szCs w:val="20"/>
                <w:color w:val="auto"/>
              </w:rPr>
            </w:pPr>
            <w:r>
              <w:rPr>
                <w:rFonts w:ascii="Arial" w:cs="Arial" w:eastAsia="Arial" w:hAnsi="Arial"/>
                <w:sz w:val="14"/>
                <w:szCs w:val="14"/>
                <w:color w:val="auto"/>
              </w:rPr>
              <w:t>(0.7)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189"/>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7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0.2</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r>
      <w:tr>
        <w:trPr>
          <w:trHeight w:val="183"/>
        </w:trPr>
        <w:tc>
          <w:tcPr>
            <w:tcW w:w="2780" w:type="dxa"/>
            <w:vAlign w:val="bottom"/>
          </w:tcPr>
          <w:p>
            <w:pPr>
              <w:ind w:left="140"/>
              <w:spacing w:after="0"/>
              <w:rPr>
                <w:sz w:val="20"/>
                <w:szCs w:val="20"/>
                <w:color w:val="auto"/>
              </w:rPr>
            </w:pPr>
            <w:r>
              <w:rPr>
                <w:rFonts w:ascii="Arial" w:cs="Arial" w:eastAsia="Arial" w:hAnsi="Arial"/>
                <w:sz w:val="14"/>
                <w:szCs w:val="14"/>
                <w:color w:val="auto"/>
              </w:rPr>
              <w:t>Earnings before income taxes</w:t>
            </w:r>
          </w:p>
        </w:tc>
        <w:tc>
          <w:tcPr>
            <w:tcW w:w="1760" w:type="dxa"/>
            <w:vAlign w:val="bottom"/>
          </w:tcPr>
          <w:p>
            <w:pPr>
              <w:jc w:val="right"/>
              <w:ind w:right="348"/>
              <w:spacing w:after="0"/>
              <w:rPr>
                <w:sz w:val="20"/>
                <w:szCs w:val="20"/>
                <w:color w:val="auto"/>
              </w:rPr>
            </w:pPr>
            <w:r>
              <w:rPr>
                <w:rFonts w:ascii="Arial" w:cs="Arial" w:eastAsia="Arial" w:hAnsi="Arial"/>
                <w:sz w:val="14"/>
                <w:szCs w:val="14"/>
                <w:color w:val="auto"/>
              </w:rPr>
              <w:t>12.6</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12.0</w:t>
            </w:r>
          </w:p>
        </w:tc>
      </w:tr>
      <w:tr>
        <w:trPr>
          <w:trHeight w:val="189"/>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7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(2.2)</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r>
      <w:tr>
        <w:trPr>
          <w:trHeight w:val="183"/>
        </w:trPr>
        <w:tc>
          <w:tcPr>
            <w:tcW w:w="2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earnings</w:t>
            </w:r>
          </w:p>
        </w:tc>
        <w:tc>
          <w:tcPr>
            <w:tcW w:w="1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10.4 %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r>
      <w:tr>
        <w:trPr>
          <w:trHeight w:val="24"/>
        </w:trPr>
        <w:tc>
          <w:tcPr>
            <w:tcW w:w="2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Gross profit represents net sales less cost of sales and gross margin represents gross profit as a percentage of net sales. Refer to Note 1, </w:t>
      </w:r>
      <w:r>
        <w:rPr>
          <w:rFonts w:ascii="Arial" w:cs="Arial" w:eastAsia="Arial" w:hAnsi="Arial"/>
          <w:sz w:val="17"/>
          <w:szCs w:val="17"/>
          <w:i w:val="1"/>
          <w:iCs w:val="1"/>
          <w:color w:val="auto"/>
        </w:rPr>
        <w:t>Summary of Significant Accounting Policies and Related Data</w:t>
      </w:r>
      <w:r>
        <w:rPr>
          <w:rFonts w:ascii="Arial" w:cs="Arial" w:eastAsia="Arial" w:hAnsi="Arial"/>
          <w:sz w:val="17"/>
          <w:szCs w:val="17"/>
          <w:color w:val="auto"/>
        </w:rPr>
        <w: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Consolidated Financial Statements within the section entitled "Cost of Sales," for a description of expenses included in cost of sales. Gross profit for fiscal 2021 was $1,338.5 million, up 12.5 percent compared to gross profit of $1,189.8 million in fiscal 2020.</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margin was 33.8 percent in fiscal 2021 compared to 35.2 percent in fiscal 2020, a decrease of 140 basis points. Non-GAAP gross profit was $1,338.5 million, up 12.0 percent compared to non-GAAP gross profit of $1,194.6 million in fiscal 2020. Non-GAAP gross margin was 33.8 percent in fiscal 2021 compared to 35.4 percent in fiscal 2020, a decrease of 160 basis points. The decrease in gross margin and non-GAAP gross margin in fiscal 2021 as compared to fiscal 2020 was primarily due to the macroeconomic inflationary environment resulting in higher commodity, component parts, and freight costs. This negative impact was partially offset by the following factors:</w:t>
      </w:r>
    </w:p>
    <w:p>
      <w:pPr>
        <w:spacing w:after="0" w:line="77" w:lineRule="exact"/>
        <w:rPr>
          <w:sz w:val="20"/>
          <w:szCs w:val="20"/>
          <w:color w:val="auto"/>
        </w:rPr>
      </w:pPr>
    </w:p>
    <w:p>
      <w:pPr>
        <w:ind w:left="340" w:hanging="332"/>
        <w:spacing w:after="0" w:line="258"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improved net price realization as a result of price increases across our Professional and Residential segment product lines;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productivity improvements;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product mix.</w:t>
      </w:r>
    </w:p>
    <w:p>
      <w:pPr>
        <w:spacing w:after="0" w:line="1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Non-GAAP gross profit and non-GAAP gross margin exclude the impact of acquisition-related costs for our acquisitions of Venture Products and CMW, including charges incurred for the take-down of the inventory fair value step-up amounts resulting from purchase accounting adjustments, and the impact of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SG&amp;A expense increased $56.8 million, or 7.4 percent, in fiscal 2021 compared to fiscal 2020. Refer to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Policies and Related Data</w:t>
      </w:r>
      <w:r>
        <w:rPr>
          <w:rFonts w:ascii="Arial" w:cs="Arial" w:eastAsia="Arial" w:hAnsi="Arial"/>
          <w:sz w:val="17"/>
          <w:szCs w:val="17"/>
          <w:color w:val="auto"/>
        </w:rPr>
        <w:t>, of the Notes to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within the section entitled "Selling, General and Administrative Expense" for a description of expenses included in SG&amp;A expense. The SG&amp;A expense rate represents SG&amp;A expense as a percentage of net sales. The SG&amp;A expense rate in fiscal 2021 was 20.7 percent compared to 22.6 percent in fiscal 2020, an improvement of 190 basis points. This SG&amp;A expense rate improvement was primarily the result of leveraging expense over higher sales volumes, which further benefited from a favorable net legal settlement with Briggs &amp; Stratton Corporation.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2021 decreased $4.5 million compared to fiscal 2020. This decrease was driven by lower average outstanding borrowings under our debt arrangements and lower average interest rates due to reductions in LIBOR rates in fiscal 2021 compared to fiscal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Other income, net primarily consists of our proportionate share of income or losses from our Red Iron joint venture, realized foreign currency exchange rate gains and losses, interest and dividend income, gains or losses recognized on actuarial valuation changes for our pension and post-retirement plans, retail financing revenue, and other miscellaneous income. Other income, net for fiscal 2021 was $10.2 million compared to $13.9 million in fiscal 2020, a decrease of $3.7 million. This decrease in other income, net was primarily due to the following factors:</w:t>
      </w:r>
    </w:p>
    <w:p>
      <w:pPr>
        <w:spacing w:after="0" w:line="57" w:lineRule="exact"/>
        <w:rPr>
          <w:sz w:val="20"/>
          <w:szCs w:val="20"/>
          <w:color w:val="auto"/>
        </w:rPr>
      </w:pPr>
    </w:p>
    <w:p>
      <w:pPr>
        <w:jc w:val="both"/>
        <w:ind w:left="500" w:hanging="332"/>
        <w:spacing w:after="0" w:line="253"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income from our Red Iron joint venture as a result of lower field inventory levels and increased inventory turnover at our channel partners throughout fiscal 2021 as compared to fiscal 2020 as a result of strong retail demand for our products that exceeded product availability and</w:t>
      </w:r>
    </w:p>
    <w:p>
      <w:pPr>
        <w:spacing w:after="0" w:line="3" w:lineRule="exact"/>
        <w:rPr>
          <w:rFonts w:ascii="Arial" w:cs="Arial" w:eastAsia="Arial" w:hAnsi="Arial"/>
          <w:sz w:val="18"/>
          <w:szCs w:val="18"/>
          <w:color w:val="auto"/>
        </w:rPr>
      </w:pPr>
    </w:p>
    <w:p>
      <w:pPr>
        <w:ind w:left="480" w:hanging="31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unfavorable impact of foreign currency exchange rates.</w:t>
      </w:r>
    </w:p>
    <w:p>
      <w:pPr>
        <w:spacing w:after="0" w:line="103" w:lineRule="exact"/>
        <w:rPr>
          <w:sz w:val="20"/>
          <w:szCs w:val="20"/>
          <w:color w:val="auto"/>
        </w:rPr>
      </w:pPr>
    </w:p>
    <w:p>
      <w:pPr>
        <w:jc w:val="both"/>
        <w:ind w:left="160"/>
        <w:spacing w:after="0" w:line="286" w:lineRule="auto"/>
        <w:rPr>
          <w:sz w:val="20"/>
          <w:szCs w:val="20"/>
          <w:color w:val="auto"/>
        </w:rPr>
      </w:pPr>
      <w:r>
        <w:rPr>
          <w:rFonts w:ascii="Arial" w:cs="Arial" w:eastAsia="Arial" w:hAnsi="Arial"/>
          <w:sz w:val="17"/>
          <w:szCs w:val="17"/>
          <w:color w:val="auto"/>
        </w:rPr>
        <w:t>The other income, net decrease was partially offset by a settlement charge incurred for the termination of our U.S. defined benefit pension plan recognized in fiscal 2020 that did not reoccur in fiscal 2021.</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effective tax rate for fiscal 2021 was 18.0 percent compared to 19.0 percent in fiscal 2020. The decrease in the effective tax rate for fiscal 2021 was driven by the following factors:</w:t>
      </w:r>
    </w:p>
    <w:p>
      <w:pPr>
        <w:spacing w:after="0" w:line="76" w:lineRule="exact"/>
        <w:rPr>
          <w:sz w:val="20"/>
          <w:szCs w:val="20"/>
          <w:color w:val="auto"/>
        </w:rPr>
      </w:pPr>
    </w:p>
    <w:p>
      <w:pPr>
        <w:ind w:left="480" w:hanging="31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earnings in more favorable tax jurisdictions,</w:t>
      </w:r>
    </w:p>
    <w:p>
      <w:pPr>
        <w:spacing w:after="0" w:line="23" w:lineRule="exact"/>
        <w:rPr>
          <w:rFonts w:ascii="Arial" w:cs="Arial" w:eastAsia="Arial" w:hAnsi="Arial"/>
          <w:sz w:val="18"/>
          <w:szCs w:val="18"/>
          <w:color w:val="auto"/>
        </w:rPr>
      </w:pPr>
    </w:p>
    <w:p>
      <w:pPr>
        <w:ind w:left="480" w:hanging="312"/>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one-time adjustments related to prior fiscal years, partially offset by</w:t>
      </w:r>
    </w:p>
    <w:p>
      <w:pPr>
        <w:spacing w:after="0" w:line="20" w:lineRule="exact"/>
        <w:rPr>
          <w:rFonts w:ascii="Arial" w:cs="Arial" w:eastAsia="Arial" w:hAnsi="Arial"/>
          <w:sz w:val="17"/>
          <w:szCs w:val="17"/>
          <w:color w:val="auto"/>
        </w:rPr>
      </w:pPr>
    </w:p>
    <w:p>
      <w:pPr>
        <w:ind w:left="500" w:hanging="332"/>
        <w:spacing w:after="0" w:line="260"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tax benefits recorded as excess tax deductions for stock-based compensation.</w:t>
      </w:r>
    </w:p>
    <w:p>
      <w:pPr>
        <w:spacing w:after="0" w:line="7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The non-GAAP effective tax rate for fiscal 2021 was 19.6 percent, compared to a non-GAAP effective tax rate of 20.9 percent in fiscal 2020. The decrease in the non-GAAP effective tax rate or fiscal 2021 was primarily driven by the following factors:</w:t>
      </w:r>
    </w:p>
    <w:p>
      <w:pPr>
        <w:spacing w:after="0" w:line="79" w:lineRule="exact"/>
        <w:rPr>
          <w:sz w:val="20"/>
          <w:szCs w:val="20"/>
          <w:color w:val="auto"/>
        </w:rPr>
      </w:pPr>
    </w:p>
    <w:p>
      <w:pPr>
        <w:ind w:left="480" w:hanging="31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earnings in more favorable tax jurisdictions, and</w:t>
      </w:r>
    </w:p>
    <w:p>
      <w:pPr>
        <w:spacing w:after="0" w:line="23" w:lineRule="exact"/>
        <w:rPr>
          <w:rFonts w:ascii="Arial" w:cs="Arial" w:eastAsia="Arial" w:hAnsi="Arial"/>
          <w:sz w:val="18"/>
          <w:szCs w:val="18"/>
          <w:color w:val="auto"/>
        </w:rPr>
      </w:pPr>
    </w:p>
    <w:p>
      <w:pPr>
        <w:ind w:left="480" w:hanging="31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one-time adjustments related to prior fiscal years.</w:t>
      </w:r>
    </w:p>
    <w:p>
      <w:pPr>
        <w:spacing w:after="0" w:line="103"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The non-GAAP effective tax rate excludes the impact of discrete tax benefits recorded as excess tax deductions for stock-based compensation. Reconciliations of non-GAAP financial measures to the most directly comparable reported U.S. GAAP financial measures are included in the section titled "Non-GAAP Financial Measures" within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and Net Earnings per Diluted Share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Fiscal 2021 net earnings were $409.9 million compared to $329.7 million in fiscal 2020, an increase of 24.3 percent. Fiscal 2021 diluted net earnings per share were $3.78, an increase of 24.8 percent from $3.03 per diluted share in fiscal 2020. The net earnings increase for fiscal 2021 was primarily driven by the following factors:</w:t>
      </w:r>
    </w:p>
    <w:p>
      <w:pPr>
        <w:spacing w:after="0" w:line="68" w:lineRule="exact"/>
        <w:rPr>
          <w:sz w:val="20"/>
          <w:szCs w:val="20"/>
          <w:color w:val="auto"/>
        </w:rPr>
      </w:pPr>
    </w:p>
    <w:p>
      <w:pPr>
        <w:jc w:val="both"/>
        <w:ind w:left="340" w:hanging="332"/>
        <w:spacing w:after="0" w:line="287"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higher sales volumes, which were further benefited from improved net price realization as a result of price increases across our Professional and Residential segment product line and favorable product mix;</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productivity improvements;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net legal settlements; and</w:t>
      </w:r>
    </w:p>
    <w:p>
      <w:pPr>
        <w:spacing w:after="0" w:line="9" w:lineRule="exact"/>
        <w:rPr>
          <w:rFonts w:ascii="Arial" w:cs="Arial" w:eastAsia="Arial" w:hAnsi="Arial"/>
          <w:sz w:val="18"/>
          <w:szCs w:val="18"/>
          <w:color w:val="auto"/>
        </w:rPr>
      </w:pPr>
    </w:p>
    <w:p>
      <w:pPr>
        <w:ind w:left="340" w:hanging="332"/>
        <w:spacing w:after="0" w:line="290" w:lineRule="auto"/>
        <w:tabs>
          <w:tab w:leader="none" w:pos="3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acquisition-related costs for our acquisitions of Venture Products and CMW recorded in fiscal 2020 that did not repeat in fiscal 2021.</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Those favorable net earnings factors were partially offset by the adverse impacts of the macroeconomic inflationary environment, which resulted in higher commodity, component parts, and freight costs.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Non-GAAP net earnings for fiscal 2021 were $392.7 million, or $3.62 per diluted share, compared to $327.7 million, or $3.02 per diluted share, in fiscal 2020, an increase of 19.9 percent per diluted share. The non-GAAP net earnings increase for fiscal 2021 was primarily driven by the following factors:</w:t>
      </w:r>
    </w:p>
    <w:p>
      <w:pPr>
        <w:spacing w:after="0" w:line="80" w:lineRule="exact"/>
        <w:rPr>
          <w:sz w:val="20"/>
          <w:szCs w:val="20"/>
          <w:color w:val="auto"/>
        </w:rPr>
      </w:pPr>
    </w:p>
    <w:p>
      <w:pPr>
        <w:jc w:val="both"/>
        <w:ind w:left="340" w:hanging="332"/>
        <w:spacing w:after="0" w:line="287"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higher sales volumes, which were further benefited from improved net price realization as a result of price increases across our Professional and Residential segment product line and favorable product mix,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productivity improvements.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Those favorable non-GAAP net earnings factors were partially offset by the adverse impacts of the macroeconomic inflationary environment, which resulted in higher commodity, component parts, and freight costs.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net earnings and non-GAAP net earnings per diluted share exclude the net impact of certain litigation settlements; the impact of discrete tax benefits recorded as excess tax deductions for stock-based compensation; acquisition-related costs related to our acquisitions of Venture Products and CMW, including charges incurred related to certain purchase accounting adjustments and integration and transaction costs; and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 within this MD&amp;A.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 xml:space="preserve">As more fully described in Note 3, </w:t>
      </w:r>
      <w:r>
        <w:rPr>
          <w:rFonts w:ascii="Arial" w:cs="Arial" w:eastAsia="Arial" w:hAnsi="Arial"/>
          <w:sz w:val="16"/>
          <w:szCs w:val="16"/>
          <w:i w:val="1"/>
          <w:iCs w:val="1"/>
          <w:color w:val="auto"/>
        </w:rPr>
        <w:t>Segment Data</w:t>
      </w:r>
      <w:r>
        <w:rPr>
          <w:rFonts w:ascii="Arial" w:cs="Arial" w:eastAsia="Arial" w:hAnsi="Arial"/>
          <w:sz w:val="16"/>
          <w:szCs w:val="16"/>
          <w:color w:val="auto"/>
        </w:rPr>
        <w:t>, of the Notes to Consolidated Financial Statements, we operate in two reportable business segments: Professional and Residential. Segment earnings for our Professional and Residential reportable segments are defined as earnings from operations plus other income, net. Our remaining activities consisting of our wholly-owned domestic distribution companies, Red Iron joint venture, our corporate activities, and the elimination of intersegment revenues and expenses, are presented as "Other" due to their insignificance. Corporate activities include general corporate expenditures, such as finance, human resources, legal, information services, public relations, business development, and similar activities, as well as other unallocated corporate assets and liabilities, such as corporate facilities and deferred tax assets and liabilities. The following information provides perspective on the net sales and operating results of our reportable business segments' and Other activities.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Professional Segment</w:t>
      </w:r>
    </w:p>
    <w:p>
      <w:pPr>
        <w:spacing w:after="0" w:line="121"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Professional segment net sales represented 74.0 percent and 74.7 percent of consolidated net sales for fiscal 2021 and 2020, respectively. The following table presents our Professional segment's net sales, earnings, and earnings as a percentage of net sales (dollars in millions):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2,929.6</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2,523.5</w:t>
            </w:r>
          </w:p>
        </w:tc>
        <w:tc>
          <w:tcPr>
            <w:tcW w:w="0" w:type="dxa"/>
            <w:vAlign w:val="bottom"/>
          </w:tcPr>
          <w:p>
            <w:pPr>
              <w:spacing w:after="0"/>
              <w:rPr>
                <w:sz w:val="1"/>
                <w:szCs w:val="1"/>
                <w:color w:val="auto"/>
              </w:rPr>
            </w:pPr>
          </w:p>
        </w:tc>
      </w:tr>
      <w:tr>
        <w:trPr>
          <w:trHeight w:val="186"/>
        </w:trPr>
        <w:tc>
          <w:tcPr>
            <w:tcW w:w="2840" w:type="dxa"/>
            <w:vAlign w:val="bottom"/>
          </w:tcPr>
          <w:p>
            <w:pPr>
              <w:ind w:left="140"/>
              <w:spacing w:after="0"/>
              <w:rPr>
                <w:sz w:val="20"/>
                <w:szCs w:val="20"/>
                <w:color w:val="auto"/>
              </w:rPr>
            </w:pPr>
            <w:r>
              <w:rPr>
                <w:rFonts w:ascii="Arial" w:cs="Arial" w:eastAsia="Arial" w:hAnsi="Arial"/>
                <w:sz w:val="14"/>
                <w:szCs w:val="14"/>
                <w:color w:val="auto"/>
              </w:rPr>
              <w:t>Percentage change from prior year</w:t>
            </w:r>
          </w:p>
        </w:tc>
        <w:tc>
          <w:tcPr>
            <w:tcW w:w="4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16.1 %</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earnings</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507.3</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426.6</w:t>
            </w:r>
          </w:p>
        </w:tc>
        <w:tc>
          <w:tcPr>
            <w:tcW w:w="0" w:type="dxa"/>
            <w:vAlign w:val="bottom"/>
          </w:tcPr>
          <w:p>
            <w:pPr>
              <w:spacing w:after="0"/>
              <w:rPr>
                <w:sz w:val="1"/>
                <w:szCs w:val="1"/>
                <w:color w:val="auto"/>
              </w:rPr>
            </w:pPr>
          </w:p>
        </w:tc>
      </w:tr>
      <w:tr>
        <w:trPr>
          <w:trHeight w:val="135"/>
        </w:trPr>
        <w:tc>
          <w:tcPr>
            <w:tcW w:w="2840" w:type="dxa"/>
            <w:vAlign w:val="bottom"/>
          </w:tcPr>
          <w:p>
            <w:pPr>
              <w:ind w:left="40"/>
              <w:spacing w:after="0" w:line="135" w:lineRule="exact"/>
              <w:rPr>
                <w:sz w:val="20"/>
                <w:szCs w:val="20"/>
                <w:color w:val="auto"/>
              </w:rPr>
            </w:pPr>
            <w:r>
              <w:rPr>
                <w:rFonts w:ascii="Arial" w:cs="Arial" w:eastAsia="Arial" w:hAnsi="Arial"/>
                <w:sz w:val="14"/>
                <w:szCs w:val="14"/>
                <w:color w:val="auto"/>
                <w:w w:val="95"/>
              </w:rPr>
              <w:t>Segment earnings as a percentage of segment</w:t>
            </w:r>
          </w:p>
        </w:tc>
        <w:tc>
          <w:tcPr>
            <w:tcW w:w="42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17.3 %</w:t>
            </w:r>
          </w:p>
        </w:tc>
        <w:tc>
          <w:tcPr>
            <w:tcW w:w="3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sales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Professional Segment Net Sales</w:t>
      </w:r>
    </w:p>
    <w:p>
      <w:pPr>
        <w:spacing w:after="0" w:line="117"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Net sales for our Professional segment in fiscal 2021 increased 16.1 percent compared to fiscal 2020. This increase was primarily driven by strong demand for many of the products in our portfolio of Professional segment businesses, most notably the Professional segment businesses that were adversely impacted by COVID-19 during fiscal 2020.</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Factors driving the Professional segment net sales increase include:</w:t>
      </w:r>
    </w:p>
    <w:p>
      <w:pPr>
        <w:spacing w:after="0" w:line="129" w:lineRule="exact"/>
        <w:rPr>
          <w:sz w:val="20"/>
          <w:szCs w:val="20"/>
          <w:color w:val="auto"/>
        </w:rPr>
      </w:pPr>
    </w:p>
    <w:p>
      <w:pPr>
        <w:jc w:val="both"/>
        <w:ind w:left="500" w:hanging="332"/>
        <w:spacing w:after="0" w:line="255"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sales of landscape contractor zero-turn riding mowers due to strong retail demand and low field inventory levels at the end of fiscal 2020;</w:t>
      </w:r>
    </w:p>
    <w:p>
      <w:pPr>
        <w:spacing w:after="0" w:line="2" w:lineRule="exact"/>
        <w:rPr>
          <w:rFonts w:ascii="Arial" w:cs="Arial" w:eastAsia="Arial" w:hAnsi="Arial"/>
          <w:sz w:val="18"/>
          <w:szCs w:val="18"/>
          <w:color w:val="auto"/>
        </w:rPr>
      </w:pPr>
    </w:p>
    <w:p>
      <w:pPr>
        <w:ind w:left="480" w:hanging="31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increases across our Professional segment product lines;</w:t>
      </w:r>
    </w:p>
    <w:p>
      <w:pPr>
        <w:spacing w:after="0" w:line="9"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shipments of golf equipment and irrigation products as a result of the normalization of golf course spending patterns and course investments;</w:t>
      </w:r>
    </w:p>
    <w:p>
      <w:pPr>
        <w:spacing w:after="0" w:line="1"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strong demand for rental and specialty construction equipment due to favorable construction industry trends; and</w:t>
      </w:r>
    </w:p>
    <w:p>
      <w:pPr>
        <w:ind w:left="500" w:hanging="332"/>
        <w:spacing w:after="0" w:line="260"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incremental net sales as a result of our acquisition of Venture Products and increased sales of such products in fiscal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Professional segment net sales increase was partially offset by reduced sales of underground construction equipment as a result of product availability that limited our ability to meet construction industry demand.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Segment Earnings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Professional segment earnings increased 18.9 percent in fiscal 2021 compared to fiscal 2020, and when expressed as a percentage of Professional segment net sales, increased to 17.3 percent from 16.9 percent. The following factors positively impacted Professional segment earnings as a percentage of Professional segment net sales for fiscal 2021:</w:t>
      </w:r>
    </w:p>
    <w:p>
      <w:pPr>
        <w:spacing w:after="0" w:line="53" w:lineRule="exact"/>
        <w:rPr>
          <w:sz w:val="20"/>
          <w:szCs w:val="20"/>
          <w:color w:val="auto"/>
        </w:rPr>
      </w:pPr>
    </w:p>
    <w:p>
      <w:pPr>
        <w:ind w:left="340" w:hanging="332"/>
        <w:spacing w:after="0" w:line="25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improved net price realization as a result of price increases across our Professional segment product lines;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SG&amp;A expense as a percentage of net sales due to leveraging expense over higher sales volumes;</w:t>
      </w:r>
    </w:p>
    <w:p>
      <w:pPr>
        <w:jc w:val="both"/>
        <w:ind w:left="340" w:hanging="332"/>
        <w:spacing w:after="0" w:line="250"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productivity improvements, including COVID-19-related production downtime in fiscal 2020 that was experienced to a lesser degree in fiscal 2021;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favorable product mix.</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Professional segment earnings increase as a percentage of Professional segment net sales was partially offset by the macroeconomic inflationary environment resulting in higher commodity, component parts, and freight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Residential segment net sales represented 25.5 percent and 24.3 percent of consolidated net sales for fiscal 2021 and 2020, respectively. The following table presents our Residential segment's net sales, earnings, and earnings as a percentage of net sales (dollars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1,010.1</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820.7</w:t>
            </w:r>
          </w:p>
        </w:tc>
        <w:tc>
          <w:tcPr>
            <w:tcW w:w="0" w:type="dxa"/>
            <w:vAlign w:val="bottom"/>
          </w:tcPr>
          <w:p>
            <w:pPr>
              <w:spacing w:after="0"/>
              <w:rPr>
                <w:sz w:val="1"/>
                <w:szCs w:val="1"/>
                <w:color w:val="auto"/>
              </w:rPr>
            </w:pPr>
          </w:p>
        </w:tc>
      </w:tr>
      <w:tr>
        <w:trPr>
          <w:trHeight w:val="186"/>
        </w:trPr>
        <w:tc>
          <w:tcPr>
            <w:tcW w:w="2840" w:type="dxa"/>
            <w:vAlign w:val="bottom"/>
          </w:tcPr>
          <w:p>
            <w:pPr>
              <w:ind w:left="140"/>
              <w:spacing w:after="0"/>
              <w:rPr>
                <w:sz w:val="20"/>
                <w:szCs w:val="20"/>
                <w:color w:val="auto"/>
              </w:rPr>
            </w:pPr>
            <w:r>
              <w:rPr>
                <w:rFonts w:ascii="Arial" w:cs="Arial" w:eastAsia="Arial" w:hAnsi="Arial"/>
                <w:sz w:val="14"/>
                <w:szCs w:val="14"/>
                <w:color w:val="auto"/>
              </w:rPr>
              <w:t>Percentage change from prior year</w:t>
            </w:r>
          </w:p>
        </w:tc>
        <w:tc>
          <w:tcPr>
            <w:tcW w:w="4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23.1 %</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24.1 %</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earnings</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121.5</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35"/>
        </w:trPr>
        <w:tc>
          <w:tcPr>
            <w:tcW w:w="2840" w:type="dxa"/>
            <w:vAlign w:val="bottom"/>
          </w:tcPr>
          <w:p>
            <w:pPr>
              <w:ind w:left="40"/>
              <w:spacing w:after="0" w:line="135" w:lineRule="exact"/>
              <w:rPr>
                <w:sz w:val="20"/>
                <w:szCs w:val="20"/>
                <w:color w:val="auto"/>
              </w:rPr>
            </w:pPr>
            <w:r>
              <w:rPr>
                <w:rFonts w:ascii="Arial" w:cs="Arial" w:eastAsia="Arial" w:hAnsi="Arial"/>
                <w:sz w:val="14"/>
                <w:szCs w:val="14"/>
                <w:color w:val="auto"/>
                <w:w w:val="95"/>
              </w:rPr>
              <w:t>Segment earnings as a percentage of segment</w:t>
            </w:r>
          </w:p>
        </w:tc>
        <w:tc>
          <w:tcPr>
            <w:tcW w:w="42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12.0 %</w:t>
            </w:r>
          </w:p>
        </w:tc>
        <w:tc>
          <w:tcPr>
            <w:tcW w:w="3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sales</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Segment Net Sales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our Residential segment in fiscal 2021 increased by 23.1 percent compared to fiscal 2020. This increase was primarily driven by growth across most of our product lines, most notably due to the following drivers:</w:t>
      </w:r>
    </w:p>
    <w:p>
      <w:pPr>
        <w:spacing w:after="0" w:line="79" w:lineRule="exact"/>
        <w:rPr>
          <w:sz w:val="20"/>
          <w:szCs w:val="20"/>
          <w:color w:val="auto"/>
        </w:rPr>
      </w:pPr>
    </w:p>
    <w:p>
      <w:pPr>
        <w:ind w:left="340" w:hanging="332"/>
        <w:spacing w:after="0" w:line="258"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strong retail demand for zero-turn riding and walk power mowers due to new and enhanced products;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increases across our Residential segment product lines;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sales of snow thrower products as a result of favorable weather conditions in key regions during the first half of fiscal 2021, enhanced retail placement, and strong pre-season retail demand; and</w:t>
      </w:r>
    </w:p>
    <w:p>
      <w:pPr>
        <w:spacing w:after="0" w:line="1" w:lineRule="exact"/>
        <w:rPr>
          <w:rFonts w:ascii="Arial" w:cs="Arial" w:eastAsia="Arial" w:hAnsi="Arial"/>
          <w:sz w:val="16"/>
          <w:szCs w:val="16"/>
          <w:color w:val="auto"/>
        </w:rPr>
      </w:pPr>
    </w:p>
    <w:p>
      <w:pPr>
        <w:jc w:val="both"/>
        <w:ind w:left="340" w:hanging="332"/>
        <w:spacing w:after="0" w:line="255"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sales of our 60V Flex-Force battery-powered home solutions products primarily due to successful new product introductions and enhanced retail placement.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Residential Segment Earnings</w:t>
      </w:r>
    </w:p>
    <w:p>
      <w:pPr>
        <w:spacing w:after="0" w:line="117" w:lineRule="exact"/>
        <w:rPr>
          <w:sz w:val="20"/>
          <w:szCs w:val="20"/>
          <w:color w:val="auto"/>
        </w:rPr>
      </w:pPr>
    </w:p>
    <w:p>
      <w:pPr>
        <w:jc w:val="both"/>
        <w:ind w:left="160"/>
        <w:spacing w:after="0" w:line="291" w:lineRule="auto"/>
        <w:rPr>
          <w:sz w:val="20"/>
          <w:szCs w:val="20"/>
          <w:color w:val="auto"/>
        </w:rPr>
      </w:pPr>
      <w:r>
        <w:rPr>
          <w:rFonts w:ascii="Arial" w:cs="Arial" w:eastAsia="Arial" w:hAnsi="Arial"/>
          <w:sz w:val="16"/>
          <w:szCs w:val="16"/>
          <w:color w:val="auto"/>
        </w:rPr>
        <w:t>Residential segment earnings increased 6.9 percent in fiscal 2021 compared to fiscal 2020, and when expressed as a percentage of Residential segment net sales, decreased to 12.0 percent from 13.8 percent. This Residential segment earnings decrease as a percentage of Residential segment net sales was due to the macroeconomic inflationary environment resulting in higher commodity, component parts, and freight costs. The decrease was partially offset by the following items:</w:t>
      </w:r>
    </w:p>
    <w:p>
      <w:pPr>
        <w:spacing w:after="0" w:line="58" w:lineRule="exact"/>
        <w:rPr>
          <w:sz w:val="20"/>
          <w:szCs w:val="20"/>
          <w:color w:val="auto"/>
        </w:rPr>
      </w:pPr>
    </w:p>
    <w:p>
      <w:pPr>
        <w:ind w:left="500" w:hanging="332"/>
        <w:spacing w:after="0" w:line="258"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improved net price realization as a result of price increases across our Residential segment product lines;</w:t>
      </w:r>
    </w:p>
    <w:p>
      <w:pPr>
        <w:spacing w:after="0" w:line="1"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productivity improvements, including COVID-19-related production downtime in fiscal 2020 that was experienced to a lesser degree in fiscal 2021;</w:t>
      </w:r>
    </w:p>
    <w:p>
      <w:pPr>
        <w:spacing w:after="0" w:line="1"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SG&amp;A expense as a percentage of net sales due to leveraging expense over higher sales volumes; and</w:t>
      </w:r>
    </w:p>
    <w:p>
      <w:pPr>
        <w:ind w:left="480" w:hanging="31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product mix.</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Activities</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 xml:space="preserve">Net sales for our Other activities consist of sales from our wholly-owned domestic distribution companies less intercompany sales from our Professional and Residential business segments to the wholly-owned domestic distribution companies. As further described in Note 7, </w:t>
      </w:r>
      <w:r>
        <w:rPr>
          <w:rFonts w:ascii="Arial" w:cs="Arial" w:eastAsia="Arial" w:hAnsi="Arial"/>
          <w:sz w:val="16"/>
          <w:szCs w:val="16"/>
          <w:i w:val="1"/>
          <w:iCs w:val="1"/>
          <w:color w:val="auto"/>
        </w:rPr>
        <w:t>Management Actions</w:t>
      </w:r>
      <w:r>
        <w:rPr>
          <w:rFonts w:ascii="Arial" w:cs="Arial" w:eastAsia="Arial" w:hAnsi="Arial"/>
          <w:sz w:val="16"/>
          <w:szCs w:val="16"/>
          <w:color w:val="auto"/>
        </w:rPr>
        <w:t>, in the Notes to Consolidated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first quarter of fiscal 2021, we completed the sale of our Northeastern U.S. distribution company, resulting in us owning only one wholly-owned domestic distribution company during most of fiscal 2021. Net sales for our Other activities represented 0.5 percent and 1.0 percent of consolidated net sales for fiscal 2021 and 2020, respectively.</w:t>
      </w:r>
    </w:p>
    <w:p>
      <w:pPr>
        <w:spacing w:after="0" w:line="60"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following table presents net sales and operating loss for our Other activities (dollars in millions):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6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4"/>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19.9</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34.6</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Percentage change from prior year</w:t>
            </w:r>
          </w:p>
        </w:tc>
        <w:tc>
          <w:tcPr>
            <w:tcW w:w="6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189"/>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(129.0)</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(133.2)</w:t>
            </w: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Net Sales</w:t>
      </w:r>
    </w:p>
    <w:p>
      <w:pPr>
        <w:spacing w:after="0" w:line="11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Net sales for our Other activities in fiscal 2021 decreased $14.7 million compared to fiscal 2020, primarily as a result of the sale of our Northeastern U.S. distribution company during the first quarter of fiscal 2021, partially offset by the following factors:</w:t>
      </w:r>
    </w:p>
    <w:p>
      <w:pPr>
        <w:spacing w:after="0" w:line="79" w:lineRule="exact"/>
        <w:rPr>
          <w:sz w:val="20"/>
          <w:szCs w:val="20"/>
          <w:color w:val="auto"/>
        </w:rPr>
      </w:pPr>
    </w:p>
    <w:p>
      <w:pPr>
        <w:jc w:val="both"/>
        <w:ind w:left="500" w:hanging="332"/>
        <w:spacing w:after="0" w:line="254"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intercompany sales eliminations for sales from our Professional and Residential segments to our remaining wholly-owned domestic distribution company as a result of the sale of our Northeastern U.S. distribution company and</w:t>
      </w:r>
    </w:p>
    <w:p>
      <w:pPr>
        <w:spacing w:after="0" w:line="2" w:lineRule="exact"/>
        <w:rPr>
          <w:rFonts w:ascii="Arial" w:cs="Arial" w:eastAsia="Arial" w:hAnsi="Arial"/>
          <w:sz w:val="18"/>
          <w:szCs w:val="18"/>
          <w:color w:val="auto"/>
        </w:rPr>
      </w:pPr>
    </w:p>
    <w:p>
      <w:pPr>
        <w:ind w:left="500" w:hanging="332"/>
        <w:spacing w:after="0" w:line="260"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sales from our remaining wholly-owned domestic distribution company driven by strong retail demand.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loss for our Other activities decreased $4.2 million in fiscal 2021 compared to fiscal 2020. This operating loss decrease was primarily driven by the following factors:</w:t>
      </w:r>
    </w:p>
    <w:p>
      <w:pPr>
        <w:spacing w:after="0" w:line="76"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favorable net legal settlement with Briggs &amp; Stratton Corporation;</w:t>
      </w:r>
    </w:p>
    <w:p>
      <w:pPr>
        <w:spacing w:after="0" w:line="34" w:lineRule="exact"/>
        <w:rPr>
          <w:rFonts w:ascii="Arial" w:cs="Arial" w:eastAsia="Arial" w:hAnsi="Arial"/>
          <w:sz w:val="17"/>
          <w:szCs w:val="17"/>
          <w:color w:val="auto"/>
        </w:rPr>
      </w:pPr>
    </w:p>
    <w:p>
      <w:pPr>
        <w:ind w:left="340" w:hanging="332"/>
        <w:spacing w:after="0" w:line="250"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SG&amp;A expense as a result of the sale of our Northeastern U.S. distribution company; and</w:t>
      </w:r>
    </w:p>
    <w:p>
      <w:pPr>
        <w:jc w:val="both"/>
        <w:ind w:left="340" w:hanging="332"/>
        <w:spacing w:after="0" w:line="25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interest expense as a result of lower average outstanding borrowings under our debt arrangements and lower average interest rates due to reductions in LIBOR rates in fiscal 2021 compared to fiscal 2020.</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operating loss decrease for our Other activities was partially offset by the following items:</w:t>
      </w:r>
    </w:p>
    <w:p>
      <w:pPr>
        <w:spacing w:after="0" w:line="62" w:lineRule="exact"/>
        <w:rPr>
          <w:sz w:val="20"/>
          <w:szCs w:val="20"/>
          <w:color w:val="auto"/>
        </w:rPr>
      </w:pPr>
    </w:p>
    <w:p>
      <w:pPr>
        <w:ind w:left="340" w:hanging="332"/>
        <w:spacing w:after="0" w:line="258"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charge incurred for a legal settlement related to a series of ongoing patent infringement disputes; and</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incentive compensation costs as a result of strong business performance.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Consolidated Financial Statements within the section entitled "Litigation" for additional information regarding the favorable net legal settlement with Briggs &amp; Stratton Corporation.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Given the challenging macroeconomic environment experienced throughout most of fiscal 2021 that has created supply chain disruption and more specifically, resulted in challenging conditions for sourcing adequate amounts of certain commodity and component parts inventory and, in certain cases, the inability of our suppliers to meet our commodity and component parts demand requirements, our working capital strategy for fiscal 2021 shifted to place primary emphasis on increasing our commodity and component parts inventories in an attempt to hold requisite inventory levels to meet our production requirements, avoid manufacturing delays, and meet the strong demand for our products, as well as attempting to ensure service parts availability for our customers. The following table highlights several key measures of our working capital performance (dollars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r>
      <w:tr>
        <w:trPr>
          <w:trHeight w:val="184"/>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receivables, net</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w:t>
            </w: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color w:val="auto"/>
              </w:rPr>
              <w:t>Average inventories, net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678.0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705.1</w:t>
            </w:r>
          </w:p>
        </w:tc>
      </w:tr>
      <w:tr>
        <w:trPr>
          <w:trHeight w:val="192"/>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accounts payable</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color w:val="auto"/>
              </w:rPr>
              <w:t>Average days outstanding for receivables</w:t>
            </w:r>
          </w:p>
        </w:tc>
        <w:tc>
          <w:tcPr>
            <w:tcW w:w="3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29.1</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9"/>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Average inventory turnover (times per fiscal year)</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fiscal 2021, our average net working capital was 14.8 percent compared to 20.2 percent as of the end of fiscal 2020. We calculate our average net working capital as average net accounts receivable plus average net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less average accounts payable as a percentage of net sales for a twelve month period.</w:t>
      </w:r>
    </w:p>
    <w:p>
      <w:pPr>
        <w:spacing w:after="0" w:line="62"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The following factors impacted our average net working capital during fiscal 2021 as compared to fiscal 2020:</w:t>
      </w:r>
    </w:p>
    <w:p>
      <w:pPr>
        <w:spacing w:after="0" w:line="62" w:lineRule="exact"/>
        <w:rPr>
          <w:sz w:val="20"/>
          <w:szCs w:val="20"/>
          <w:color w:val="auto"/>
        </w:rPr>
      </w:pPr>
    </w:p>
    <w:p>
      <w:pPr>
        <w:jc w:val="both"/>
        <w:ind w:left="500" w:hanging="332"/>
        <w:spacing w:after="0" w:line="268" w:lineRule="auto"/>
        <w:tabs>
          <w:tab w:leader="none" w:pos="4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Average net receivables increased by 6.3 percent, primarily due to higher sales to channels not financed through our Red Iron joint venture or other third-party floor plan financing arrangements. Our average days outstanding for receivables decreased to 29.1 days in fiscal 2021 compared to 32.0 days in fiscal 2020.</w:t>
      </w:r>
    </w:p>
    <w:p>
      <w:pPr>
        <w:spacing w:after="0" w:line="2" w:lineRule="exact"/>
        <w:rPr>
          <w:rFonts w:ascii="Arial" w:cs="Arial" w:eastAsia="Arial" w:hAnsi="Arial"/>
          <w:sz w:val="17"/>
          <w:szCs w:val="17"/>
          <w:color w:val="auto"/>
        </w:rPr>
      </w:pPr>
    </w:p>
    <w:p>
      <w:pPr>
        <w:jc w:val="both"/>
        <w:ind w:left="500" w:hanging="332"/>
        <w:spacing w:after="0" w:line="281" w:lineRule="auto"/>
        <w:tabs>
          <w:tab w:leader="none" w:pos="4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Average net inventories decreased by 3.8 percent, mainly due to lower finished goods inventories in certain of our Professional segment businesses as a result of strong demand for our products that exceeded product availability. This decrease was partially offset by higher raw materials and work in process inventories in our Residential segment and certain of our Professional segment businesses due to supply chain challenges that prevented the conversion of raw materials and work in process inventories into finished goods.</w:t>
      </w:r>
    </w:p>
    <w:p>
      <w:pPr>
        <w:spacing w:after="0" w:line="4" w:lineRule="exact"/>
        <w:rPr>
          <w:rFonts w:ascii="Arial" w:cs="Arial" w:eastAsia="Arial" w:hAnsi="Arial"/>
          <w:sz w:val="16"/>
          <w:szCs w:val="16"/>
          <w:color w:val="auto"/>
        </w:rPr>
      </w:pPr>
    </w:p>
    <w:p>
      <w:pPr>
        <w:jc w:val="both"/>
        <w:ind w:left="500" w:hanging="332"/>
        <w:spacing w:after="0" w:line="253"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Average accounts payable increased by 27.4 percent, mainly due to largely normalized corporate spending activity throughout fiscal 2021 as compared to the lower corporate spending activity in fiscal 2020 as a result of COVID-19.</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Cash flows provided by/(used in) operating, investing, and financing activities during the past two fiscal years are shown in the following table (in millions):</w:t>
      </w:r>
    </w:p>
    <w:p>
      <w:pPr>
        <w:spacing w:after="0" w:line="97"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3"/>
          </w:tcPr>
          <w:p>
            <w:pPr>
              <w:jc w:val="right"/>
              <w:ind w:right="488"/>
              <w:spacing w:after="0" w:line="149" w:lineRule="exact"/>
              <w:rPr>
                <w:sz w:val="20"/>
                <w:szCs w:val="20"/>
                <w:color w:val="auto"/>
              </w:rPr>
            </w:pPr>
            <w:r>
              <w:rPr>
                <w:rFonts w:ascii="Arial" w:cs="Arial" w:eastAsia="Arial" w:hAnsi="Arial"/>
                <w:sz w:val="14"/>
                <w:szCs w:val="14"/>
                <w:b w:val="1"/>
                <w:bCs w:val="1"/>
                <w:color w:val="auto"/>
              </w:rPr>
              <w:t>Cash Provided by/</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(Used in)</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555.5</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(128.5)</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(503.7)</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 of exchange rates on cash</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2"/>
        </w:trPr>
        <w:tc>
          <w:tcPr>
            <w:tcW w:w="31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Net (decrease) increase in cash and cash</w:t>
            </w: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3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328.1</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equivalents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160" w:type="dxa"/>
            <w:vAlign w:val="bottom"/>
          </w:tcPr>
          <w:p>
            <w:pPr>
              <w:ind w:left="20"/>
              <w:spacing w:after="0" w:line="132" w:lineRule="exact"/>
              <w:rPr>
                <w:sz w:val="20"/>
                <w:szCs w:val="20"/>
                <w:color w:val="auto"/>
              </w:rPr>
            </w:pPr>
            <w:r>
              <w:rPr>
                <w:rFonts w:ascii="Arial" w:cs="Arial" w:eastAsia="Arial" w:hAnsi="Arial"/>
                <w:sz w:val="14"/>
                <w:szCs w:val="14"/>
                <w:color w:val="auto"/>
                <w:w w:val="95"/>
              </w:rPr>
              <w:t>Cash and cash equivalents as of the end of the fiscal</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405.6</w:t>
            </w:r>
          </w:p>
        </w:tc>
        <w:tc>
          <w:tcPr>
            <w:tcW w:w="3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479.9</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period</w:t>
            </w:r>
          </w:p>
        </w:tc>
        <w:tc>
          <w:tcPr>
            <w:tcW w:w="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Our primary source of funds is cash generated from operations. In fiscal 2021, cash provided by operating activities increased by $16.1 million, or 3.0 percent, from fiscal 2020. This increase was primarily due to a greater cash benefit from accounts payable due to largely normalized corporate spending activity and timing of invoice payments, as well as higher net earnings. The increase to cash provided by operating activities was partially offset by more cash utilized for inventory purchases in our Professional and Residential segment businesses as a result of strong demand for our products and timing of component parts purchases and higher accounts receivable as a result of the timing of sales to channels not financed through our Red Iron joint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20"/>
        <w:spacing w:after="0" w:line="375" w:lineRule="auto"/>
        <w:rPr>
          <w:sz w:val="20"/>
          <w:szCs w:val="20"/>
          <w:color w:val="auto"/>
        </w:rPr>
      </w:pPr>
      <w:r>
        <w:rPr>
          <w:rFonts w:ascii="Arial" w:cs="Arial" w:eastAsia="Arial" w:hAnsi="Arial"/>
          <w:sz w:val="18"/>
          <w:szCs w:val="18"/>
          <w:color w:val="auto"/>
        </w:rPr>
        <w:t xml:space="preserve">venture or other third-party floor plan financing arrangements. </w:t>
      </w:r>
      <w:r>
        <w:rPr>
          <w:rFonts w:ascii="Arial" w:cs="Arial" w:eastAsia="Arial" w:hAnsi="Arial"/>
          <w:sz w:val="18"/>
          <w:szCs w:val="18"/>
          <w:b w:val="1"/>
          <w:bCs w:val="1"/>
          <w:i w:val="1"/>
          <w:iCs w:val="1"/>
          <w:color w:val="auto"/>
        </w:rPr>
        <w:t>Cash Flows from Investing Activities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Capital expenditures and acquisitions are a significant use of our capital resources. These investments are intended to enable sales growth in new and expanding markets, help us meet product demand, and increase our manufacturing efficiencies and capacity. Cash used in investing activities in fiscal 2021 decreased by $87.6 million from fiscal 2020. This decrease was primarily due to less cash utilized for the fiscal 2021 holdback release for our Venture Products business than was used for the initial cash consideration transferred on the acquisition date during fiscal 2020, as well as cash proceeds received from the fiscal 2021 first quarter sale of our Northeastern U.S. distribution company. The decrease to cash used in investing activities was partially offset by higher cash used for our asset acquisitions of Turflynx, Lda and Left Hand Robotics, Inc. and increased purchases of property, plant and equipment in fiscal 2021 as a result of the cessation of the actions taken in fiscal 2020 to preserve our liquidity position as a result of COVID-19.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used in financing activities in fiscal 2021 was $503.7 million compared to $2.4 million of cash provided by financing activities in fiscal 2020. This increase in cash used in financing activities was mainly due to less cash provided by borrowings under our debt arrangements during fiscal 2021 as compared to fiscal 2020 and more cash used for repurchases of shares of our common stock under our Board authorized repurchase program as we resumed repurchase activity during fiscal 2021, partially offset by lower cash used for repayments of outstanding indebtedness.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and cash equivalents as of the end of fiscal 2021 decreased by $74.3 million compared to the end of fiscal 2020. As of October 31, 2021, cash and cash equivalents held by our foreign subsidiaries were $117.3 million. We consider that $30.9 million of cash and cash equivalents held by our foreign subsidiaries are intended to be indefinitely reinvested. Should these cash and cash equivalents be distributed in the future in the form of dividends or otherwise, we may be subject to foreign withholding taxes, state income taxes, and/or additional federal taxes for currency fluctuations. As of October 31, 2021,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ongoing capital investments in our property, plant, and equipment and believe that our historical capital investments in our manufacturing facilities and other capital assets have increased the production capacity of our operations and enabled us to meet the needs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customers. Fiscal 2021 capital expenditures of $104.0 million were $25.9 million higher than fiscal 2020. This increase was primarily due to increased capital investment levels in fiscal 2021 as a result of the cessation of the actions taken in fiscal 2020 to preserve our liquidity position as a result of COVID-19. We anticipate fiscal 2022 capital expenditures in the range of $150.0 million to $175.0 million as we plan to continue to invest in future growth through the expansion of our manufacturing operations and other facilities and capital assets, new product tooling, productivity and automation enhancements in our manufacturing and distribution processes, and continued replacement of production equipment.</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Long-Term Assets</w:t>
      </w:r>
    </w:p>
    <w:p>
      <w:pPr>
        <w:spacing w:after="0" w:line="121"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Other long-term assets as of October 31, 2021 were $1,447.0 million compared to $1,425.6 million as of October 31, 2020, an increase of $21.4 million. This increase was primarily due to an increase in purchases of property, plant, and equipment and an incremental increase of other intangible assets as a result of our asset acquisitions of Turflynx, Lda and Left Hand Robotics, Inc. These increases to other long-term assets were partially offset by depreciation of property, plant and equipment and the amortization of our other intangible assets and right-of-use lease assets during fiscal 2021.</w:t>
      </w:r>
    </w:p>
    <w:p>
      <w:pPr>
        <w:spacing w:after="0" w:line="73"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Additionally, included in other long-term assets as of October 31, 2021 was goodwill in the amount of $421.7 million. Based on our annual goodwill impairment analysis, we determined there was no impairment of goodwill during fiscal 2021 for any of our reporting units as the fair values of the reporting units exceeded their carrying values, including goodwill.</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 historically increases between January and April as a result of typically higher sales volumes and extended payment terms made available to our customers, and typically decreases between May and December when payments are received.</w:t>
      </w:r>
    </w:p>
    <w:p>
      <w:pPr>
        <w:spacing w:after="0" w:line="60"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We generally fund cash requirements for working capital needs, capital expenditures, contractual obligations, acquisitions, investments, debt repayments, interest payments, quarterly cash dividend payments, and common stock repurchases, all as applicable, through cash provided by operating activities, availability under our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or for other corporate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purposes. We currently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October 31, 2021, we had available liquidity of $1,002.5 million, consisting of cash and cash equivalents of $405.6 million, of which $117.3 million was held by our foreign subsidiaries, and availability under our revolving credit facility of $596.9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indebtedness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$270 million term loan</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 million term loan</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$300 million term loan</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180,000</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$190 million term loan</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3.81% series A senior notes</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3.91% series B senior notes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7.8% debentures</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6.625% senior notes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124,040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123,978</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Arial" w:cs="Arial" w:eastAsia="Arial" w:hAnsi="Arial"/>
                <w:sz w:val="14"/>
                <w:szCs w:val="14"/>
                <w:color w:val="auto"/>
                <w:w w:val="95"/>
              </w:rPr>
              <w:t>Less: unamortized discounts, debt issuance costs,</w:t>
            </w:r>
          </w:p>
        </w:tc>
        <w:tc>
          <w:tcPr>
            <w:tcW w:w="380" w:type="dxa"/>
            <w:vAlign w:val="bottom"/>
          </w:tcPr>
          <w:p>
            <w:pPr>
              <w:spacing w:after="0"/>
              <w:rPr>
                <w:sz w:val="11"/>
                <w:szCs w:val="11"/>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2,798</w:t>
            </w:r>
          </w:p>
        </w:tc>
        <w:tc>
          <w:tcPr>
            <w:tcW w:w="3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8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and deferred charges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long-term debt</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691,242</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791,123</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99,873</w:t>
            </w:r>
          </w:p>
        </w:tc>
        <w:tc>
          <w:tcPr>
            <w:tcW w:w="0" w:type="dxa"/>
            <w:vAlign w:val="bottom"/>
          </w:tcPr>
          <w:p>
            <w:pPr>
              <w:spacing w:after="0"/>
              <w:rPr>
                <w:sz w:val="1"/>
                <w:szCs w:val="1"/>
                <w:color w:val="auto"/>
              </w:rPr>
            </w:pPr>
          </w:p>
        </w:tc>
      </w:tr>
      <w:tr>
        <w:trPr>
          <w:trHeight w:val="208"/>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691,242</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691,250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Principal payments required on our outstanding indebtedness, based on the maturity dates defined within our debt arrangements, for each of the next five fiscal years are as follows: fiscal 2022, $0.0 million; fiscal 2023, $0.0 million; fiscal 2024, $0.0 million; fiscal 2025, $27.0 million; fiscal 2026, $243.0 million; and after fiscal 2026, $425.0 million. Interest payments required on our outstanding indebtedness, assuming no prepayments of indebtedness, for each of the next five fiscal years are as follows: fiscal 2022, $26.7 million; fiscal 2023, $26.7 million; fiscal 2024, $26.7 million; fiscal 2025, $26.6 million; fiscal 2026, $26.1 million; and after fiscal 2026, $128.2 million. Interest on variable rate debt was calculated using the interest rate as of October 31,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Seasonal cash requirements are financed from operations, cash on hand, and with borrowings under our revolving credit facility, as applicable. On October 5, 2021, we entered into an amended and restated credit agreement ("amended credit agreement") that provided for, among other things, a five-year unsecured revolving credit facility with a borrowing capacity of up to $600.0 million ("revolving credit facility") that matures on October 5, 2026 and replaced our prior $600.0 million unsecured senior revolving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scheduled to mature on June 19, 2023. Included in the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revolving credit facility may be increased by an amount of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within the amended credit agreement. As of October 31, 2021, we had no outstanding borrowings under the revolving credit facility and $3.1 million outstanding under the sublimit for standby letters of credit, resulting in $596.9 million of unutilized availability under our revolving credit facility. As of October 31, 2020, we had no outstanding borrowings under our prior revolving credit facility and $2.5 million outstanding under our prior sublimit for standby letters of credit, resulting in $597.5 million of unutilized availability under our prior revolving credit facility.</w:t>
      </w:r>
    </w:p>
    <w:p>
      <w:pPr>
        <w:spacing w:after="0" w:line="2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depending on the leverage ratio (as measured quarterly and defined as the ratio of (i) total indebtedness to (ii) consolidated EBIT (earnings before interest and taxes) plus depreciation and amortization expense) and our debt rating. Swingline loans under the revolving credit facility bear interest at a rate determined by the swingline lender or an alternative variable rate based on the highest of the Bank of America prime rate, the federal funds rate or a rate generally based on LIBOR, in each case depending on the leverage ratio and our debt rating. Interest is payable quarterly in arrears. Our debt rating for long-term unsecured senior, non-credit enhanced debt was unchanged during the fourth quarter of fiscal 2021 by Standard and Poor's Ratings Group at</w:t>
      </w:r>
    </w:p>
    <w:p>
      <w:pPr>
        <w:jc w:val="both"/>
        <w:ind w:firstLine="8"/>
        <w:spacing w:after="0" w:line="268" w:lineRule="auto"/>
        <w:tabs>
          <w:tab w:leader="none" w:pos="431"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During fiscal 2020, we incurred interest expense of $0.8 million on the outstanding borrowings under our prior revolving credit facility. No interest expense was incurred under our current and prior revolving credit facilities during fiscal 2021.</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revolving credit facility contains customary covenants, including, without limitation, financial covenants, such as a maximum leverage ratio; and negative covenants, which among other things, limit cash dividends, disposition of</w:t>
      </w:r>
    </w:p>
    <w:p>
      <w:pPr>
        <w:spacing w:after="0" w:line="748"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assets, consolidations and mergers,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October 31, 2021, we were not limited in the amount for payments of cash dividends and common stock repurchases. We were in compliance with all covenants under the amended credit agreement for our revolving credit facility as of October 31, 2021, and we expect to be in compliance with all covenants during fiscal 2022.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facility, and any amounts outstanding under the revolving credit facility could become due and payable if we were unable to obtain a covenant waiver or refinance our borrowings under the amended credit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$270.0 Million Term Loan Credit Agreement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amended credit agreement executed on October 5, 2021 also provided for a five-year unsecured term loan in an aggregate principal amount of $270.0 million, the entire amount of which was funded on October 5, 2021 and matures on October 5, 2026 ("$270.0 million term loan"). Under the amended credit agreement, incremental term loan commitments may be established at our election and the approval of the borrowers on the $270.0 million term loan by an amount of up to $100.0 million.</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December 31, 2024, we are required to make quarterly principal amortization payments on the $270.0 million term loan equal to $6.75 million. On October 5, 2026, the aggregate principal amount of any remaining outstanding borrowings under the $270.0 million term loan are required to be repaid. The $270.0 million term loan may be prepaid and terminated at our election at any time without penalty or premium. Amounts repaid or prepaid may not be reborrowed. As of October 31, 2021, there was $270.0 million of outstanding borrowings under the $270.0 million term loan.</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Outstanding borrowings under the $270.0 million term loan bear interest at a variable rate generally based on LIBOR or an alternative variable rate based on the highest of the Bank of America prime rate, the federal funds rate or a rate generally based on LIBOR, depending on the leverage ratio (as measured quarterly and defined as the ratio of (i) total indebtedness to (ii) consolidated EBIT (earnings before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and taxes) plus depreciation and amortization expense) and our debt rating. Interest is payable quarterly in arrears. For the fiscal year ended October 31, 2021, we incurred interest expense of $0.2 million on the outstanding borrowings under the $270.0 million term loan. No interest expense was incurred during fiscal 2020.</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$270.0 million term loan contains customary covenants, including, without limitation, financial covenants generally consistent with those applicable under our revolving credit facility. We were in compliance with all covenants related to the $270.0 million term loan as of October 31, 2021, and we expect to be in compliance with all covenants during fiscal 2022. If we were out of compliance with any covenant required by the $270.0 million term loan following the applicable cure period, our term loan facility, long-term senior notes, debentures, and any amounts outstanding under the revolving credit facility could become due and payable if we were unable to obtain a covenant waiver or refinance our borrowings under the $270.0 million term loan.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$500.0 Million Term Loan Credit Agreement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2019, we entered into a term loan credit agreement with a syndicate of financial institutions for the purpose of partially funding the CMW purchase price and the related fees and expenses incurred in connection with such acquisition. The term loan credit agreement provided for a $200.0 million three-year unsecured senior term loan facility maturing on April 1, 2022 ("$200.0 million term loan") and a $300.0 million five-year unsecured senior term loan facility maturing on April 1, 2024 ("$300.0 million term loan" and collectively with the $200.0 million term loan, the "$500.0 million term loan"). The funds under the $500.0 million term loan were received on the CMW closing date.</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October 31, 2020, we had prepaid $100.0 million and $120.0 million of the outstanding principal balances of the $200.0 million term loan and $300.0 million term loan, respectively. Thus, as of October 31, 2020, there was $100.0 million and $180.0 million of outstanding borrowings under the $200.0 million term loan and $300.0 million term loan, respectively. During the second quarter of fiscal 2021, we prepaid $10.0 million of the remaining outstanding borrowings under the $300.0 million term loan. As a result of the execution of the amended credit agreement during the fourth quarter of fiscal 2021, the remaining $100.0 million and $170.0 million outstanding principal balances under the $200.0 million term loan and $300.0 million term loan, respectively, were paid in full. As a result of the prepayment, there were no outstanding borrowings under the $200.0 million three-year unsecured senior term loan facility and $300.0 million five-year unsecured senior term loan facility, respectively, as of October 31, 2021.</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was previously calculated on outstanding borrowings under the $500.0 million term loan by utilizing a variable rate generally based on LIBOR or an alternative variable rate, based on the highest of the Bank of America prime rate, the federal funds rate, or a rate generally based on LIBOR, in each case subject to an additional basis point spread as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defined in the $500.0 million term loan. Interest was payable quarterly in arrears. During the fiscal years ended October 31, 2021 and 2020, we incurred $3.1 million and $5.2 million, respectively, of interest expense on the outstanding borrowings of the $500.0 million term loan.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$190.0 Million Term Loan Credit Agreement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30, 2020, we entered into a $190.0 million term loan credit agreement ("$190.0 million term loan") with certain financial institutions for the purpose of refinancing certain of our outstanding borrowings incurred in connection with the acquisition of Venture Products on March 2, 2020, as well as a precautionary measure to increase our liquidity and preserve financial flexibility in light of the uncertainty in the global financial and commercial markets as a result of COVID-19. The $190.0 million term loan provided for a $190.0 million three-year unsecured senior term loan facility maturing on June 19, 2023.</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31, 2020, we had prepaid $100.0 million of the outstanding principal balance of the $190.0 million term loan, resulting in a remaining outstanding principal balance of $90.0 million. During the first quarter of fiscal 2021, we prepaid the remaining $90.0 million outstanding principal balance under the $190.0 million term loan. As a result of the prepayment, there were no outstanding borrowings under the $190.0 million term loan as of October 31, 2021.</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was previously calculated on outstanding borrowings under the $190.0 million term loan by utilizing a variable rate based on LIBOR or an alternative variable rate with a minimum rate of 0.75 percent, subject to an additional basis point spread as defined in the term loan credit agreement. Interest was payable quarterly in arrears. For the fiscal years ended October 31, 2021 and 2020 we incurred interest expense of approximately $0.3 million and $2.4 million, respectively, on the outstanding borrowings under the $190.0 million term loan.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3.81% Series A and 3.91% Series B Senior Notes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30, 2019, we entered into a private placement note purchase agreement with certain purchasers ("holders") pursuant to which we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our unsecured senior obligations.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principal is due on the Senior Notes prior to their stated due dates. 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For each of the fiscal years ended October 31, 2021 and 2020, we incurred interest expense on the Senior Notes of $7.7 million.</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private placement note purchase agreement contains customary representations and warranties,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October 31, 2021, we were not limited in the amount for payments of cash dividends and common stock repurchases. We were in compliance with all covenants related to the private placement note purchase agreement as of October 31, 2021 and we expect to be in compliance with all covenants during fiscal 2022. If we were out of compliance with any covenant required by this private placement note purchase agreement following the applicable cure period, our term loan facility, long-term senior notes, debentures, and any amounts outstanding under the revolving credit facility would become due and payable if we were unable to obtain a covenant waiver or refinance our borrowings under our private placement note purchase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7.8% Debentures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1997, we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we paid $23.7 million to terminate three</w:t>
      </w:r>
    </w:p>
    <w:p>
      <w:pPr>
        <w:spacing w:after="0" w:line="538"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we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 Interest on the debentures is payable semiannually on the 15th day of June and December in each year. For each of the fiscal years ended October 31, 2021 and 2020, we incurred interest expense of $8.0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6.625% Senior Notes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April 26, 2007, we issued $125.0 million in aggregate principal amount of 6.625 percent senior notes due May 1, 2037 and priced at 98.513 percent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our unsecured senior obligations and rank equally with our other unsecured and unsubordinated indebtedness. The indentures under which the senior notes were issued contain customary covenants and event of default provisions. We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we would be required to make an offer to purchase the senior notes at a price equal to 101 percent of the principal amount of the senior notes plus accrued and unpaid interest to the date of repurchase. Interest on the senior notes is payable semiannually on the 1st day of May and November in each year. For each of the fiscal years ended October 31, 2021 and 2020, we incurred interest expense of $8.4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following table details the components of our capital structure and debt-to-capitalization ratio (in millions, except percentage data):</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7"/>
                <w:szCs w:val="17"/>
                <w:color w:val="auto"/>
              </w:rPr>
            </w:pPr>
          </w:p>
        </w:tc>
      </w:tr>
      <w:tr>
        <w:trPr>
          <w:trHeight w:val="184"/>
        </w:trPr>
        <w:tc>
          <w:tcPr>
            <w:tcW w:w="2720" w:type="dxa"/>
            <w:vAlign w:val="bottom"/>
            <w:shd w:val="clear" w:color="auto" w:fill="D1ECFA"/>
          </w:tcPr>
          <w:p>
            <w:pPr>
              <w:ind w:left="20"/>
              <w:spacing w:after="0"/>
              <w:rPr>
                <w:sz w:val="20"/>
                <w:szCs w:val="20"/>
                <w:color w:val="auto"/>
              </w:rPr>
            </w:pPr>
            <w:r>
              <w:rPr>
                <w:rFonts w:ascii="Arial" w:cs="Arial" w:eastAsia="Arial" w:hAnsi="Arial"/>
                <w:sz w:val="14"/>
                <w:szCs w:val="14"/>
                <w:color w:val="auto"/>
              </w:rPr>
              <w:t>Long-term debt, including current portion</w:t>
            </w:r>
          </w:p>
        </w:tc>
        <w:tc>
          <w:tcPr>
            <w:tcW w:w="540" w:type="dxa"/>
            <w:vAlign w:val="bottom"/>
            <w:shd w:val="clear" w:color="auto" w:fill="D1ECFA"/>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1ECFA"/>
          </w:tcPr>
          <w:p>
            <w:pPr>
              <w:jc w:val="right"/>
              <w:spacing w:after="0"/>
              <w:rPr>
                <w:sz w:val="20"/>
                <w:szCs w:val="20"/>
                <w:color w:val="auto"/>
              </w:rPr>
            </w:pPr>
            <w:r>
              <w:rPr>
                <w:rFonts w:ascii="Arial" w:cs="Arial" w:eastAsia="Arial" w:hAnsi="Arial"/>
                <w:sz w:val="14"/>
                <w:szCs w:val="14"/>
                <w:color w:val="auto"/>
              </w:rPr>
              <w:t>691.2</w:t>
            </w:r>
          </w:p>
        </w:tc>
        <w:tc>
          <w:tcPr>
            <w:tcW w:w="540" w:type="dxa"/>
            <w:vAlign w:val="bottom"/>
            <w:shd w:val="clear" w:color="auto" w:fill="D1ECFA"/>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D1ECFA"/>
          </w:tcPr>
          <w:p>
            <w:pPr>
              <w:jc w:val="right"/>
              <w:spacing w:after="0"/>
              <w:rPr>
                <w:sz w:val="20"/>
                <w:szCs w:val="20"/>
                <w:color w:val="auto"/>
              </w:rPr>
            </w:pPr>
            <w:r>
              <w:rPr>
                <w:rFonts w:ascii="Arial" w:cs="Arial" w:eastAsia="Arial" w:hAnsi="Arial"/>
                <w:sz w:val="14"/>
                <w:szCs w:val="14"/>
                <w:color w:val="auto"/>
              </w:rPr>
              <w:t>791.1</w:t>
            </w:r>
          </w:p>
        </w:tc>
        <w:tc>
          <w:tcPr>
            <w:tcW w:w="160" w:type="dxa"/>
            <w:vAlign w:val="bottom"/>
            <w:shd w:val="clear" w:color="auto" w:fill="D1ECFA"/>
          </w:tcPr>
          <w:p>
            <w:pPr>
              <w:spacing w:after="0"/>
              <w:rPr>
                <w:sz w:val="15"/>
                <w:szCs w:val="15"/>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1,151.1</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1,114.8</w:t>
            </w:r>
          </w:p>
        </w:tc>
        <w:tc>
          <w:tcPr>
            <w:tcW w:w="160" w:type="dxa"/>
            <w:vAlign w:val="bottom"/>
          </w:tcPr>
          <w:p>
            <w:pPr>
              <w:spacing w:after="0"/>
              <w:rPr>
                <w:sz w:val="16"/>
                <w:szCs w:val="16"/>
                <w:color w:val="auto"/>
              </w:rPr>
            </w:pPr>
          </w:p>
        </w:tc>
      </w:tr>
      <w:tr>
        <w:trPr>
          <w:trHeight w:val="189"/>
        </w:trPr>
        <w:tc>
          <w:tcPr>
            <w:tcW w:w="2720" w:type="dxa"/>
            <w:vAlign w:val="bottom"/>
            <w:tcBorders>
              <w:bottom w:val="single" w:sz="8" w:color="auto"/>
            </w:tcBorders>
            <w:shd w:val="clear" w:color="auto" w:fill="D1ECFA"/>
          </w:tcPr>
          <w:p>
            <w:pPr>
              <w:ind w:left="20"/>
              <w:spacing w:after="0"/>
              <w:rPr>
                <w:sz w:val="20"/>
                <w:szCs w:val="20"/>
                <w:color w:val="auto"/>
              </w:rPr>
            </w:pPr>
            <w:r>
              <w:rPr>
                <w:rFonts w:ascii="Arial" w:cs="Arial" w:eastAsia="Arial" w:hAnsi="Arial"/>
                <w:sz w:val="14"/>
                <w:szCs w:val="14"/>
                <w:color w:val="auto"/>
              </w:rPr>
              <w:t>Debt-to-capitalization ratio</w:t>
            </w:r>
          </w:p>
        </w:tc>
        <w:tc>
          <w:tcPr>
            <w:tcW w:w="540" w:type="dxa"/>
            <w:vAlign w:val="bottom"/>
            <w:tcBorders>
              <w:bottom w:val="single" w:sz="8" w:color="auto"/>
            </w:tcBorders>
            <w:shd w:val="clear" w:color="auto" w:fill="D1ECFA"/>
          </w:tcPr>
          <w:p>
            <w:pPr>
              <w:spacing w:after="0"/>
              <w:rPr>
                <w:sz w:val="16"/>
                <w:szCs w:val="16"/>
                <w:color w:val="auto"/>
              </w:rPr>
            </w:pPr>
          </w:p>
        </w:tc>
        <w:tc>
          <w:tcPr>
            <w:tcW w:w="72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37.5</w:t>
            </w:r>
          </w:p>
        </w:tc>
        <w:tc>
          <w:tcPr>
            <w:tcW w:w="540" w:type="dxa"/>
            <w:vAlign w:val="bottom"/>
            <w:tcBorders>
              <w:bottom w:val="single" w:sz="8" w:color="auto"/>
            </w:tcBorders>
            <w:shd w:val="clear" w:color="auto" w:fill="D1ECFA"/>
          </w:tcPr>
          <w:p>
            <w:pPr>
              <w:jc w:val="right"/>
              <w:ind w:right="328"/>
              <w:spacing w:after="0"/>
              <w:rPr>
                <w:sz w:val="20"/>
                <w:szCs w:val="20"/>
                <w:color w:val="auto"/>
              </w:rPr>
            </w:pPr>
            <w:r>
              <w:rPr>
                <w:rFonts w:ascii="Arial" w:cs="Arial" w:eastAsia="Arial" w:hAnsi="Arial"/>
                <w:sz w:val="14"/>
                <w:szCs w:val="14"/>
                <w:color w:val="auto"/>
                <w:w w:val="96"/>
              </w:rPr>
              <w:t>%</w:t>
            </w:r>
          </w:p>
        </w:tc>
        <w:tc>
          <w:tcPr>
            <w:tcW w:w="74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41.5</w:t>
            </w:r>
          </w:p>
        </w:tc>
        <w:tc>
          <w:tcPr>
            <w:tcW w:w="16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w w:val="96"/>
              </w:rPr>
              <w:t>%</w:t>
            </w:r>
          </w:p>
        </w:tc>
      </w:tr>
    </w:tbl>
    <w:p>
      <w:pPr>
        <w:spacing w:after="0" w:line="202" w:lineRule="exact"/>
        <w:rPr>
          <w:sz w:val="20"/>
          <w:szCs w:val="20"/>
          <w:color w:val="auto"/>
        </w:rPr>
      </w:pPr>
    </w:p>
    <w:p>
      <w:pPr>
        <w:jc w:val="both"/>
        <w:ind w:left="160"/>
        <w:spacing w:after="0" w:line="271" w:lineRule="auto"/>
        <w:rPr>
          <w:sz w:val="20"/>
          <w:szCs w:val="20"/>
          <w:color w:val="auto"/>
        </w:rPr>
      </w:pPr>
      <w:r>
        <w:rPr>
          <w:rFonts w:ascii="Arial" w:cs="Arial" w:eastAsia="Arial" w:hAnsi="Arial"/>
          <w:sz w:val="17"/>
          <w:szCs w:val="17"/>
          <w:color w:val="auto"/>
        </w:rPr>
        <w:t>Our debt-to-capitalization ratio decreased in fiscal 2021 compared to fiscal 2020 primarily due to lower outstanding indebtedness as a result of repayments of outstanding borrowings on our debt arrangements during fiscal 2021, as well as higher stockholders' equity in fiscal 2021 compared to fiscal 2020 as a result of higher net earnings, partially offset by increased repurchases of our common stock under our Board authorized repurchase program and increased cash dividend payments on shares of our common stock.</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In each quarter of fiscal 2021, our Board of Directors declared a common stock cash dividend of $0.2625 per share, which was a 5.0 percent increase over our common stock cash dividend of $0.25 per share paid each quarter in fiscal 2020. On December 14, 2021, our Board of Directors increased our fiscal 2022 first quarter common stock cash dividend by 14.3 percent to $0.30 per share from the quarterly common stock cash dividend of $0.2625 per share paid in the first quarter of fiscal 2021. Future common stock cash dividends will depend upon our Financial Condition, Results of Operations, capital requirements, and other factors deemed relevant by our Board of Directors.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jc w:val="both"/>
        <w:ind w:left="160"/>
        <w:spacing w:after="0" w:line="275" w:lineRule="auto"/>
        <w:rPr>
          <w:sz w:val="20"/>
          <w:szCs w:val="20"/>
          <w:color w:val="auto"/>
        </w:rPr>
      </w:pPr>
      <w:r>
        <w:rPr>
          <w:rFonts w:ascii="Arial" w:cs="Arial" w:eastAsia="Arial" w:hAnsi="Arial"/>
          <w:sz w:val="17"/>
          <w:szCs w:val="17"/>
          <w:color w:val="auto"/>
        </w:rPr>
        <w:t>Our Board authorized stock repurchase program provides shares for use in connection with our stock-based compensation plans, among other uses, and has no expiration. The following table provides information with respect to repurchases of our common stock during the past two fiscal years (in millions, except share and per share data):</w:t>
      </w:r>
    </w:p>
    <w:p>
      <w:pPr>
        <w:spacing w:after="0" w:line="89"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5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Shares of Board authorized common stock</w:t>
            </w:r>
          </w:p>
        </w:tc>
        <w:tc>
          <w:tcPr>
            <w:tcW w:w="5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2,989,794</w:t>
            </w:r>
          </w:p>
        </w:tc>
        <w:tc>
          <w:tcPr>
            <w:tcW w:w="3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w:t>
            </w:r>
          </w:p>
        </w:tc>
        <w:tc>
          <w:tcPr>
            <w:tcW w:w="5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Cost to repurchase common stock</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302.3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price paid per share</w:t>
            </w:r>
          </w:p>
        </w:tc>
        <w:tc>
          <w:tcPr>
            <w:tcW w:w="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In March 2020, we announced our intention to curtail share repurchases as a prudent measure to enhance our liquidity position in response to COVID-19. During fiscal 2021, we resumed repurchasing shares of our common stock, thereby reducing our total shares outstanding. As of October 31, 2021, 4,052,462 shares remained available for repurchase under our Board authorized stock repurchase program. We currently expect to continue share repurchases in fiscal 2022, depending on our cash balance, debt repayments, market conditions, our anticipated working capital needs, and/or other factors.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party to a joint venture with TCF Inventory Finance, Inc. ("TCFIF"), a subsidiary of The Huntington National Bank, established as Red Iron, the primary purpose of which is to provide inventory financing to certain distributors and dealers of certain of our products in the U.S. that enables them to carry representative inventories of certain of our products. Under separate agreements between Red Iron and the dealers and distributors, Red Iron provides loans to the dealers and distributors for the advances paid by Red Iron to us.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such inventories are monitored regularly. Financing terms to the distributors and dealers require payment as the equipment, which secures the indebtedness, is sold to customers or when payment otherwise become due under the agreements between these financing entities and the distributors and dealers, whichever occurs first. Rates are generally indexed to LIBOR, or an alternative variable rate, plus a fixed percentage that differs based on whether the financing is for a distributor or dealer. Rates may also vary based on the product that is financed. The net amount of receivables financed for dealers and distributors under these financing arrangements during fiscal 2021 and 2020 were $2,282.6 million and $1,832.5 million, respectively. The total amount of net receivables outstanding under this arrangement as of October 31, 2021 and 2020 was $420.5 million and $386.8 million, respectively. The total amount of receivables due from Red Iron to us as of October 31, 2021 and 2020 were $31.0 million and $12.6 million, respectively.</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or TCFCFC, which include agreements with third-party financial institutions in the U.S. and internationally. These third-party financial institutions and TCFCFC financed $460.5 million and $410.7 million of receivables for such dealers and distributors during the fiscal years ended October 31, 2021 and 2020, respectively. As of October 31, 2021 and 2020, $151.5 million and $137.6 million, respectively, of receivables financed by the third-party financing companies and TCFCFC, excluding Red Iron, were outstanding.</w:t>
      </w:r>
    </w:p>
    <w:p>
      <w:pPr>
        <w:spacing w:after="0" w:line="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October 31, 2021 and 2020, we were contingently liable to repurchase up to a maximum amount of $96.8 million and $128.1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continue to provide financing in the form of open account terms directly to home centers and mass retailers, general line irrigation dealers, certain domestic and international distributors and dealers other than the Canadian distributors and dealers to whom Red Iron or other third-party financing institutions provide financing arrangements, ag-irrigation dealers and distributors, government customers, and rental companies.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enter into agreements where we provide recourse to third-party finance companies in the event of default by the customer for financing payments to the third-party finance company. We may recover a portion of any required recourse payments incurred under these agreements from repossession and resale of the equipment collateralizing the receivables. Our maximum exposure for credit collection under those arrangements as of October 31, 2021 and 2020 was $11.4 million and $12.5 million, respectively.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338"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U.S. GAAP, as information supplemental and in addition to the most directly comparable financial measures presented in this Annual Report on Form 10-K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that these non-GAAP financial measures, when considered in conjunction with our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Performance Measures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provides a reconciliation of financial performance measures calculated and reported in accordance with U.S. GAAP to the most directly comparable non-GAAP financial performance measures for the fiscal years ended October 31, 2021 and 2020 (In thousands, except per share and percentage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0"/>
              </w:rPr>
              <w:t>October 31, 2021</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October 31, 2020</w:t>
            </w:r>
          </w:p>
        </w:tc>
      </w:tr>
      <w:tr>
        <w:trPr>
          <w:trHeight w:val="184"/>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1,338,492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1,189,774</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2</w:t>
            </w:r>
          </w:p>
        </w:tc>
        <w:tc>
          <w:tcPr>
            <w:tcW w:w="220" w:type="dxa"/>
            <w:vAlign w:val="bottom"/>
          </w:tcPr>
          <w:p>
            <w:pPr>
              <w:spacing w:after="0"/>
              <w:rPr>
                <w:sz w:val="16"/>
                <w:szCs w:val="16"/>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3,950</w:t>
            </w:r>
          </w:p>
        </w:tc>
      </w:tr>
      <w:tr>
        <w:trPr>
          <w:trHeight w:val="189"/>
        </w:trPr>
        <w:tc>
          <w:tcPr>
            <w:tcW w:w="2700" w:type="dxa"/>
            <w:vAlign w:val="bottom"/>
            <w:tcBorders>
              <w:bottom w:val="single" w:sz="8" w:color="auto"/>
            </w:tcBorders>
            <w:shd w:val="clear" w:color="auto" w:fill="CCEEFF"/>
          </w:tcPr>
          <w:p>
            <w:pPr>
              <w:ind w:left="140"/>
              <w:spacing w:after="0" w:line="189" w:lineRule="exact"/>
              <w:rPr>
                <w:sz w:val="20"/>
                <w:szCs w:val="20"/>
                <w:color w:val="auto"/>
              </w:rPr>
            </w:pPr>
            <w:r>
              <w:rPr>
                <w:rFonts w:ascii="Arial" w:cs="Arial" w:eastAsia="Arial" w:hAnsi="Arial"/>
                <w:sz w:val="14"/>
                <w:szCs w:val="14"/>
                <w:color w:val="auto"/>
              </w:rPr>
              <w:t>Management actions</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857</w:t>
            </w:r>
          </w:p>
        </w:tc>
      </w:tr>
      <w:tr>
        <w:trPr>
          <w:trHeight w:val="17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gross profit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1,338,492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1,194,581</w:t>
            </w:r>
          </w:p>
        </w:tc>
      </w:tr>
      <w:tr>
        <w:trPr>
          <w:trHeight w:val="78"/>
        </w:trPr>
        <w:tc>
          <w:tcPr>
            <w:tcW w:w="2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33.8 %</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35.2 %</w:t>
            </w:r>
          </w:p>
        </w:tc>
      </w:tr>
      <w:tr>
        <w:trPr>
          <w:trHeight w:val="189"/>
        </w:trPr>
        <w:tc>
          <w:tcPr>
            <w:tcW w:w="27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2</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0.2 %</w:t>
            </w:r>
          </w:p>
        </w:tc>
      </w:tr>
      <w:tr>
        <w:trPr>
          <w:trHeight w:val="17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Non-GAAP gross margin</w:t>
            </w: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33.8 %</w:t>
            </w: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35.4 %</w:t>
            </w:r>
          </w:p>
        </w:tc>
      </w:tr>
      <w:tr>
        <w:trPr>
          <w:trHeight w:val="78"/>
        </w:trPr>
        <w:tc>
          <w:tcPr>
            <w:tcW w:w="2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earnings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518,280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426,357</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Litigation settlements, net</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(11,325)</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270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6,183</w:t>
            </w:r>
          </w:p>
        </w:tc>
      </w:tr>
      <w:tr>
        <w:trPr>
          <w:trHeight w:val="189"/>
        </w:trPr>
        <w:tc>
          <w:tcPr>
            <w:tcW w:w="27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4"/>
                <w:szCs w:val="14"/>
                <w:color w:val="auto"/>
              </w:rPr>
              <w:t>Management actions</w:t>
            </w:r>
            <w:r>
              <w:rPr>
                <w:rFonts w:ascii="Arial" w:cs="Arial" w:eastAsia="Arial" w:hAnsi="Arial"/>
                <w:sz w:val="18"/>
                <w:szCs w:val="18"/>
                <w:color w:val="auto"/>
                <w:vertAlign w:val="superscript"/>
              </w:rPr>
              <w:t>3</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857</w:t>
            </w:r>
          </w:p>
        </w:tc>
      </w:tr>
      <w:tr>
        <w:trPr>
          <w:trHeight w:val="17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Non-GAAP operating earnings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506,955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433,397</w:t>
            </w:r>
          </w:p>
        </w:tc>
      </w:tr>
      <w:tr>
        <w:trPr>
          <w:trHeight w:val="78"/>
        </w:trPr>
        <w:tc>
          <w:tcPr>
            <w:tcW w:w="2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499,818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407,070</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Litigation settlements, net</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(11,325)</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270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6,183</w:t>
            </w:r>
          </w:p>
        </w:tc>
      </w:tr>
      <w:tr>
        <w:trPr>
          <w:trHeight w:val="189"/>
        </w:trPr>
        <w:tc>
          <w:tcPr>
            <w:tcW w:w="27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4"/>
                <w:szCs w:val="14"/>
                <w:color w:val="auto"/>
              </w:rPr>
              <w:t>Management actions</w:t>
            </w:r>
            <w:r>
              <w:rPr>
                <w:rFonts w:ascii="Arial" w:cs="Arial" w:eastAsia="Arial" w:hAnsi="Arial"/>
                <w:sz w:val="18"/>
                <w:szCs w:val="18"/>
                <w:color w:val="auto"/>
                <w:vertAlign w:val="superscript"/>
              </w:rPr>
              <w:t>3</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857</w:t>
            </w:r>
          </w:p>
        </w:tc>
      </w:tr>
      <w:tr>
        <w:trPr>
          <w:trHeight w:val="17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Non-GAAP earnings before income taxes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488,493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414,110</w:t>
            </w:r>
          </w:p>
        </w:tc>
      </w:tr>
      <w:tr>
        <w:trPr>
          <w:trHeight w:val="78"/>
        </w:trPr>
        <w:tc>
          <w:tcPr>
            <w:tcW w:w="2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82"/>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409,880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329,701</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Litigation settlements, net</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(9,022)</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270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5,021</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Management actions</w:t>
            </w:r>
            <w:r>
              <w:rPr>
                <w:rFonts w:ascii="Arial" w:cs="Arial" w:eastAsia="Arial" w:hAnsi="Arial"/>
                <w:sz w:val="18"/>
                <w:szCs w:val="18"/>
                <w:color w:val="auto"/>
                <w:vertAlign w:val="superscript"/>
              </w:rPr>
              <w:t>3</w:t>
            </w:r>
          </w:p>
        </w:tc>
        <w:tc>
          <w:tcPr>
            <w:tcW w:w="220" w:type="dxa"/>
            <w:vAlign w:val="bottom"/>
          </w:tcPr>
          <w:p>
            <w:pPr>
              <w:spacing w:after="0"/>
              <w:rPr>
                <w:sz w:val="16"/>
                <w:szCs w:val="16"/>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677</w:t>
            </w:r>
          </w:p>
        </w:tc>
      </w:tr>
      <w:tr>
        <w:trPr>
          <w:trHeight w:val="189"/>
        </w:trPr>
        <w:tc>
          <w:tcPr>
            <w:tcW w:w="2700" w:type="dxa"/>
            <w:vAlign w:val="bottom"/>
            <w:tcBorders>
              <w:bottom w:val="single" w:sz="8" w:color="auto"/>
            </w:tcBorders>
            <w:shd w:val="clear" w:color="auto" w:fill="CCEEFF"/>
          </w:tcPr>
          <w:p>
            <w:pPr>
              <w:ind w:left="140"/>
              <w:spacing w:after="0" w:line="189" w:lineRule="exact"/>
              <w:rPr>
                <w:sz w:val="20"/>
                <w:szCs w:val="20"/>
                <w:color w:val="auto"/>
              </w:rPr>
            </w:pPr>
            <w:r>
              <w:rPr>
                <w:rFonts w:ascii="Arial" w:cs="Arial" w:eastAsia="Arial" w:hAnsi="Arial"/>
                <w:sz w:val="14"/>
                <w:szCs w:val="14"/>
                <w:color w:val="auto"/>
                <w:w w:val="97"/>
              </w:rPr>
              <w:t>Tax impact of stock-based compensation</w:t>
            </w:r>
            <w:r>
              <w:rPr>
                <w:rFonts w:ascii="Arial" w:cs="Arial" w:eastAsia="Arial" w:hAnsi="Arial"/>
                <w:sz w:val="18"/>
                <w:szCs w:val="18"/>
                <w:color w:val="auto"/>
                <w:w w:val="97"/>
                <w:vertAlign w:val="superscript"/>
              </w:rPr>
              <w:t>4</w:t>
            </w: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(8,185)</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(7,652)</w:t>
            </w:r>
          </w:p>
        </w:tc>
      </w:tr>
      <w:tr>
        <w:trPr>
          <w:trHeight w:val="17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earnings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392,673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327,747</w:t>
            </w:r>
          </w:p>
        </w:tc>
      </w:tr>
      <w:tr>
        <w:trPr>
          <w:trHeight w:val="24"/>
        </w:trPr>
        <w:tc>
          <w:tcPr>
            <w:tcW w:w="2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1"/>
        </w:trPr>
        <w:tc>
          <w:tcPr>
            <w:tcW w:w="2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per diluted share</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3.03</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Litigation settlements, net</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(0.08)</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270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0.05</w:t>
            </w: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4"/>
                <w:szCs w:val="14"/>
                <w:color w:val="auto"/>
              </w:rPr>
              <w:t>Management actions</w:t>
            </w:r>
            <w:r>
              <w:rPr>
                <w:rFonts w:ascii="Arial" w:cs="Arial" w:eastAsia="Arial" w:hAnsi="Arial"/>
                <w:sz w:val="18"/>
                <w:szCs w:val="18"/>
                <w:color w:val="auto"/>
                <w:vertAlign w:val="superscript"/>
              </w:rPr>
              <w:t>3</w:t>
            </w:r>
          </w:p>
        </w:tc>
        <w:tc>
          <w:tcPr>
            <w:tcW w:w="220" w:type="dxa"/>
            <w:vAlign w:val="bottom"/>
          </w:tcPr>
          <w:p>
            <w:pPr>
              <w:spacing w:after="0"/>
              <w:rPr>
                <w:sz w:val="16"/>
                <w:szCs w:val="16"/>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0.01</w:t>
            </w:r>
          </w:p>
        </w:tc>
      </w:tr>
      <w:tr>
        <w:trPr>
          <w:trHeight w:val="189"/>
        </w:trPr>
        <w:tc>
          <w:tcPr>
            <w:tcW w:w="2700" w:type="dxa"/>
            <w:vAlign w:val="bottom"/>
            <w:tcBorders>
              <w:bottom w:val="single" w:sz="8" w:color="auto"/>
            </w:tcBorders>
            <w:shd w:val="clear" w:color="auto" w:fill="CCEEFF"/>
          </w:tcPr>
          <w:p>
            <w:pPr>
              <w:ind w:left="140"/>
              <w:spacing w:after="0" w:line="189" w:lineRule="exact"/>
              <w:rPr>
                <w:sz w:val="20"/>
                <w:szCs w:val="20"/>
                <w:color w:val="auto"/>
              </w:rPr>
            </w:pPr>
            <w:r>
              <w:rPr>
                <w:rFonts w:ascii="Arial" w:cs="Arial" w:eastAsia="Arial" w:hAnsi="Arial"/>
                <w:sz w:val="14"/>
                <w:szCs w:val="14"/>
                <w:color w:val="auto"/>
                <w:w w:val="97"/>
              </w:rPr>
              <w:t>Tax impact of stock-based compensation</w:t>
            </w:r>
            <w:r>
              <w:rPr>
                <w:rFonts w:ascii="Arial" w:cs="Arial" w:eastAsia="Arial" w:hAnsi="Arial"/>
                <w:sz w:val="18"/>
                <w:szCs w:val="18"/>
                <w:color w:val="auto"/>
                <w:w w:val="97"/>
                <w:vertAlign w:val="superscript"/>
              </w:rPr>
              <w:t>4</w:t>
            </w: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(0.08)</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(0.07)</w:t>
            </w:r>
          </w:p>
        </w:tc>
      </w:tr>
      <w:tr>
        <w:trPr>
          <w:trHeight w:val="17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earnings per diluted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3.02</w:t>
            </w:r>
          </w:p>
        </w:tc>
      </w:tr>
      <w:tr>
        <w:trPr>
          <w:trHeight w:val="24"/>
        </w:trPr>
        <w:tc>
          <w:tcPr>
            <w:tcW w:w="2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1"/>
        </w:trPr>
        <w:tc>
          <w:tcPr>
            <w:tcW w:w="2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18.0 %</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r>
      <w:tr>
        <w:trPr>
          <w:trHeight w:val="189"/>
        </w:trPr>
        <w:tc>
          <w:tcPr>
            <w:tcW w:w="27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4"/>
                <w:szCs w:val="14"/>
                <w:color w:val="auto"/>
                <w:w w:val="97"/>
              </w:rPr>
              <w:t>Tax impact of stock-based compensation</w:t>
            </w:r>
            <w:r>
              <w:rPr>
                <w:rFonts w:ascii="Arial" w:cs="Arial" w:eastAsia="Arial" w:hAnsi="Arial"/>
                <w:sz w:val="18"/>
                <w:szCs w:val="18"/>
                <w:color w:val="auto"/>
                <w:w w:val="97"/>
                <w:vertAlign w:val="superscript"/>
              </w:rPr>
              <w:t>4</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1.6 %</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204"/>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Non-GAAP effective tax rate</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19.6 %</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20.9 %</w:t>
            </w: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180" w:hanging="172"/>
        <w:spacing w:after="0" w:line="255" w:lineRule="auto"/>
        <w:tabs>
          <w:tab w:leader="none" w:pos="18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80"/>
        <w:spacing w:after="0" w:line="264" w:lineRule="auto"/>
        <w:rPr>
          <w:sz w:val="20"/>
          <w:szCs w:val="20"/>
          <w:color w:val="auto"/>
        </w:rPr>
      </w:pPr>
      <w:r>
        <w:rPr>
          <w:rFonts w:ascii="Arial" w:cs="Arial" w:eastAsia="Arial" w:hAnsi="Arial"/>
          <w:sz w:val="14"/>
          <w:szCs w:val="14"/>
          <w:color w:val="auto"/>
        </w:rPr>
        <w:t>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Consolidated Statements of Earnings during the first quarter of fiscal 2021</w:t>
      </w:r>
    </w:p>
    <w:p>
      <w:pPr>
        <w:spacing w:after="0" w:line="1" w:lineRule="exact"/>
        <w:rPr>
          <w:sz w:val="20"/>
          <w:szCs w:val="20"/>
          <w:color w:val="auto"/>
        </w:rPr>
      </w:pPr>
    </w:p>
    <w:p>
      <w:pPr>
        <w:jc w:val="both"/>
        <w:ind w:left="180" w:hanging="10"/>
        <w:spacing w:after="0" w:line="264" w:lineRule="auto"/>
        <w:tabs>
          <w:tab w:leader="none" w:pos="36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the gain associated with the Infringement Action and (ii) a corresponding expense related to the contingent fee arrangement with our external legal counsel customary in patent infringement cases equal to approximately 50 percent of the Settlement Amount. Additionally, during the third quarter of fiscal 2021, we recorded a charge related to a legal settlement for a series of ongoing patent infringement disputes within selling, general and administrative expense in the Consolidated Statements of Earnings. Accordingly, litigation settlements, net represent the net amount recorded for the settlement of the Infringement Action and the charge incurred for the settlement of the patent infringement disputes. Refer to the headings titled "Litigation" and "Litigation Settlement" within Note 12, </w:t>
      </w:r>
      <w:r>
        <w:rPr>
          <w:rFonts w:ascii="Arial" w:cs="Arial" w:eastAsia="Arial" w:hAnsi="Arial"/>
          <w:sz w:val="14"/>
          <w:szCs w:val="14"/>
          <w:i w:val="1"/>
          <w:iCs w:val="1"/>
          <w:color w:val="auto"/>
        </w:rPr>
        <w:t>Commitments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Contingencies</w:t>
      </w:r>
      <w:r>
        <w:rPr>
          <w:rFonts w:ascii="Arial" w:cs="Arial" w:eastAsia="Arial" w:hAnsi="Arial"/>
          <w:sz w:val="14"/>
          <w:szCs w:val="14"/>
          <w:color w:val="auto"/>
        </w:rPr>
        <w:t>, of the Notes to Consolidated Financial Statements for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regarding the settlement of the Infringement Action.</w:t>
      </w:r>
    </w:p>
    <w:p>
      <w:pPr>
        <w:spacing w:after="0" w:line="77" w:lineRule="exact"/>
        <w:rPr>
          <w:sz w:val="20"/>
          <w:szCs w:val="20"/>
          <w:color w:val="auto"/>
        </w:rPr>
      </w:pPr>
    </w:p>
    <w:p>
      <w:pPr>
        <w:jc w:val="both"/>
        <w:ind w:left="180" w:hanging="172"/>
        <w:spacing w:after="0" w:line="238" w:lineRule="auto"/>
        <w:tabs>
          <w:tab w:leader="none" w:pos="180"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 xml:space="preserve">On March 2, 2020, we completed the acquisition of Venture Products and on April 1, 2019, we completed the acquisition of CMW. Acquisition-related costs for the fiscal year ended October 31, 2020 represent transaction costs incurred for our acquisition of Venture Products, as well as integration costs and charges incurred for the take-down of the inventory fair value step-up amounts resulting from purchase accounting adjustments related to the acquisitions of Venture Products and CMW. No acquisition-related costs were incurred for the fiscal year ended October 31, 2021. For additional information regarding these acquisitions, refer to Note 2,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Combinations and Asset Acquisitions</w:t>
      </w:r>
      <w:r>
        <w:rPr>
          <w:rFonts w:ascii="Arial" w:cs="Arial" w:eastAsia="Arial" w:hAnsi="Arial"/>
          <w:sz w:val="15"/>
          <w:szCs w:val="15"/>
          <w:color w:val="auto"/>
        </w:rPr>
        <w:t>, of the Notes to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w:t>
      </w:r>
    </w:p>
    <w:p>
      <w:pPr>
        <w:spacing w:after="0" w:line="96" w:lineRule="exact"/>
        <w:rPr>
          <w:sz w:val="20"/>
          <w:szCs w:val="20"/>
          <w:color w:val="auto"/>
        </w:rPr>
      </w:pPr>
    </w:p>
    <w:p>
      <w:pPr>
        <w:jc w:val="both"/>
        <w:ind w:left="180" w:hanging="172"/>
        <w:spacing w:after="0" w:line="236" w:lineRule="auto"/>
        <w:tabs>
          <w:tab w:leader="none" w:pos="221"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 xml:space="preserve">During the third quarter of fiscal 2019, we announced the Toro underground wind down. Management actions for the fiscal year ended October 31, 2020 represent inventory write-down charges incurred for the Toro underground wind down. No charges were incurred for the Toro underground wind down for the fiscal year ended October 31, 2021. Refer to Note 7, </w:t>
      </w:r>
      <w:r>
        <w:rPr>
          <w:rFonts w:ascii="Arial" w:cs="Arial" w:eastAsia="Arial" w:hAnsi="Arial"/>
          <w:sz w:val="15"/>
          <w:szCs w:val="15"/>
          <w:i w:val="1"/>
          <w:iCs w:val="1"/>
          <w:color w:val="auto"/>
        </w:rPr>
        <w:t>Management Actions</w:t>
      </w:r>
      <w:r>
        <w:rPr>
          <w:rFonts w:ascii="Arial" w:cs="Arial" w:eastAsia="Arial" w:hAnsi="Arial"/>
          <w:sz w:val="15"/>
          <w:szCs w:val="15"/>
          <w:color w:val="auto"/>
        </w:rPr>
        <w:t>, of the Notes to Consolidated Financial Statements for additional information regarding these management actions.</w:t>
      </w:r>
    </w:p>
    <w:p>
      <w:pPr>
        <w:spacing w:after="0" w:line="93" w:lineRule="exact"/>
        <w:rPr>
          <w:sz w:val="20"/>
          <w:szCs w:val="20"/>
          <w:color w:val="auto"/>
        </w:rPr>
      </w:pPr>
    </w:p>
    <w:p>
      <w:pPr>
        <w:jc w:val="both"/>
        <w:ind w:left="180" w:hanging="172"/>
        <w:spacing w:after="0" w:line="238" w:lineRule="auto"/>
        <w:tabs>
          <w:tab w:leader="none" w:pos="306"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can be unpredictable and can significantly impact our net earnings, net earnings per diluted share, and effective tax rate. These amounts represent the discrete tax benefits recorded as excess tax deductions for stock-based compensation during the fiscal years ended October 31, 2021 and 2020.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non-GAAP free cash flow as net cash provided by operating activities less purchases of property, plant and equipment. Non-GAAP free cash flow conversion percentage represents non-GAAP free cash flow as a percentage of net earnings. We consider non-GAAP free cash flow and non-GAAP free cash flow conversion percentage to be liquidity measures that provide useful information to management and investors about our ability to convert net earnings into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resources that can be used to pursue opportunities to enhance shareholder value, fund ongoing and prospective business initiatives, and strengthen our Consolidated Balance Sheets, after reinvesting in necessary capital expenditures required to maintain and grow our business. The following table provides a reconciliation of net cash provided by operating activities, the most directly comparable GAAP financial measure, to non-GAAP free cash flow for the fiscal years ended October 31, 2021 and October 31, 2020 (In thousands, except percentage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October 31, 2021</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October 31, 2020</w:t>
            </w:r>
          </w:p>
        </w:tc>
        <w:tc>
          <w:tcPr>
            <w:tcW w:w="0" w:type="dxa"/>
            <w:vAlign w:val="bottom"/>
          </w:tcPr>
          <w:p>
            <w:pPr>
              <w:spacing w:after="0"/>
              <w:rPr>
                <w:sz w:val="1"/>
                <w:szCs w:val="1"/>
                <w:color w:val="auto"/>
              </w:rPr>
            </w:pPr>
          </w:p>
        </w:tc>
      </w:tr>
      <w:tr>
        <w:trPr>
          <w:trHeight w:val="130"/>
        </w:trPr>
        <w:tc>
          <w:tcPr>
            <w:tcW w:w="23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cash provided by operating</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555,469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539,374</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activities</w:t>
            </w:r>
          </w:p>
        </w:tc>
        <w:tc>
          <w:tcPr>
            <w:tcW w:w="22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40"/>
              <w:spacing w:after="0" w:line="135" w:lineRule="exact"/>
              <w:rPr>
                <w:sz w:val="20"/>
                <w:szCs w:val="20"/>
                <w:color w:val="auto"/>
              </w:rPr>
            </w:pPr>
            <w:r>
              <w:rPr>
                <w:rFonts w:ascii="Arial" w:cs="Arial" w:eastAsia="Arial" w:hAnsi="Arial"/>
                <w:sz w:val="14"/>
                <w:szCs w:val="14"/>
                <w:color w:val="auto"/>
              </w:rPr>
              <w:t>Less: Purchases of property, plant</w:t>
            </w:r>
          </w:p>
        </w:tc>
        <w:tc>
          <w:tcPr>
            <w:tcW w:w="220" w:type="dxa"/>
            <w:vAlign w:val="bottom"/>
          </w:tcPr>
          <w:p>
            <w:pPr>
              <w:spacing w:after="0"/>
              <w:rPr>
                <w:sz w:val="11"/>
                <w:szCs w:val="11"/>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104,012</w:t>
            </w:r>
          </w:p>
        </w:tc>
        <w:tc>
          <w:tcPr>
            <w:tcW w:w="220" w:type="dxa"/>
            <w:vAlign w:val="bottom"/>
          </w:tcPr>
          <w:p>
            <w:pPr>
              <w:spacing w:after="0"/>
              <w:rPr>
                <w:sz w:val="11"/>
                <w:szCs w:val="11"/>
                <w:color w:val="auto"/>
              </w:rPr>
            </w:pP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78,068</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and equipment</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Non-GAAP free cash flow</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451,457</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461,306</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earnings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409,880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329,701</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6"/>
              </w:rPr>
              <w:t>Non-GAAP free cash flow percentage</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110.1 %</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and susceptible to change at the time the accounting estimate is made and different estimates reasonably could have been used and (ii) changes in the estimate may have a material impact on the presentation of our Financial Condition or Results of Operations. Our critical accounting policies and estimates include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revenues based on the transaction price of the good or service sold to our customers, which is measured as the amount of consideration we expect to receive in exchange for transferring product or rendering services pursuant to the terms of the contract with a customer. The amount of consideration we receive and the revenue we recognize varies</w:t>
      </w:r>
    </w:p>
    <w:p>
      <w:pPr>
        <w:spacing w:after="0" w:line="417"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changes in the variable consideration associated with the estimated expense of certain of our sales promotions and incentives programs offered to customers that are determined to represent price concessions. The estimated expense of each sales promotion and incentive program is classified and recorded as a reduction from gross sales or as a component of selling, general and administrative expense within the Consolidated Statements of Earnings when revenue is recognized, depending on the nature of the respective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to be provided to the customer or (ii) we anticipate a future cost based on historical or expected future business practice for which we do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we receive a distinct good or service in exchange for the future consideration provided to the customer under the program.</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Examples of significant sales promotions and incentive programs that are considered to be variable consideration because the cost of the program is classified as a reduction from gross sales are as follows:</w:t>
      </w:r>
    </w:p>
    <w:p>
      <w:pPr>
        <w:spacing w:after="0" w:line="53" w:lineRule="exact"/>
        <w:rPr>
          <w:sz w:val="20"/>
          <w:szCs w:val="20"/>
          <w:color w:val="auto"/>
        </w:rPr>
      </w:pPr>
    </w:p>
    <w:p>
      <w:pPr>
        <w:jc w:val="both"/>
        <w:ind w:left="340" w:hanging="332"/>
        <w:spacing w:after="0" w:line="255"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Off-Invoice Discounts: </w:t>
      </w:r>
      <w:r>
        <w:rPr>
          <w:rFonts w:ascii="Arial" w:cs="Arial" w:eastAsia="Arial" w:hAnsi="Arial"/>
          <w:sz w:val="18"/>
          <w:szCs w:val="18"/>
          <w:color w:val="auto"/>
        </w:rPr>
        <w:t>Our off-invoice discounts represent an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reduction in the selling price of our products that is realized at the time of sale with no anticipated future cost or consideration provided to the customer.</w:t>
      </w:r>
    </w:p>
    <w:p>
      <w:pPr>
        <w:spacing w:after="0" w:line="2"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Rebate Programs: </w:t>
      </w:r>
      <w:r>
        <w:rPr>
          <w:rFonts w:ascii="Arial" w:cs="Arial" w:eastAsia="Arial" w:hAnsi="Arial"/>
          <w:sz w:val="16"/>
          <w:szCs w:val="16"/>
          <w:color w:val="auto"/>
        </w:rPr>
        <w:t>Our rebate programs are generally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claims submitted from either our direct customers or end-users of our products or are based on our purchase or retail sales goals for our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our selling price. Consideration is typically provided to our customers for our rebate programs after the initial sale of our products to our direct customers and thus, there is generally an anticipated future cost at the time revenue is recognized based on historical and expected future business practice.</w:t>
      </w:r>
    </w:p>
    <w:p>
      <w:pPr>
        <w:spacing w:after="0" w:line="7" w:lineRule="exact"/>
        <w:rPr>
          <w:rFonts w:ascii="Arial" w:cs="Arial" w:eastAsia="Arial" w:hAnsi="Arial"/>
          <w:sz w:val="16"/>
          <w:szCs w:val="16"/>
          <w:b w:val="1"/>
          <w:bCs w:val="1"/>
          <w:color w:val="auto"/>
        </w:rPr>
      </w:pPr>
    </w:p>
    <w:p>
      <w:pPr>
        <w:jc w:val="both"/>
        <w:ind w:left="340" w:hanging="332"/>
        <w:spacing w:after="0" w:line="269" w:lineRule="auto"/>
        <w:tabs>
          <w:tab w:leader="none" w:pos="335"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Financing Programs: </w:t>
      </w:r>
      <w:r>
        <w:rPr>
          <w:rFonts w:ascii="Arial" w:cs="Arial" w:eastAsia="Arial" w:hAnsi="Arial"/>
          <w:sz w:val="17"/>
          <w:szCs w:val="17"/>
          <w:color w:val="auto"/>
        </w:rPr>
        <w:t>Our financing programs consist of wholesale</w:t>
      </w:r>
      <w:r>
        <w:rPr>
          <w:rFonts w:ascii="Arial" w:cs="Arial" w:eastAsia="Arial" w:hAnsi="Arial"/>
          <w:sz w:val="17"/>
          <w:szCs w:val="17"/>
          <w:b w:val="1"/>
          <w:bCs w:val="1"/>
          <w:color w:val="auto"/>
        </w:rPr>
        <w:t xml:space="preserve"> </w:t>
      </w:r>
      <w:r>
        <w:rPr>
          <w:rFonts w:ascii="Arial" w:cs="Arial" w:eastAsia="Arial" w:hAnsi="Arial"/>
          <w:sz w:val="17"/>
          <w:szCs w:val="17"/>
          <w:color w:val="auto"/>
        </w:rPr>
        <w:t>floor plan financing with Red Iron and separate third-party financial institutions and end-user retail financing. Costs incurred for wholesale floor plan financing programs represent financing costs associated with programs under which we share the expense of financing distributor and dealer inventories through third-party financing arrangements for a specific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of time. This charge represents interest for a pre-established length of time based on a predefined rate from the contract between the company and Red Iron or the separate third-party financial institution to finance distributor and dealer inventory purchases. End-user retail financing is similar to floor planning with the difference being that retail financing programs are offered to end-user customers under which we, at our discretion, may pay a portion of interest costs on behalf of end-users for financing purchases of our equipment.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75" w:lineRule="exact"/>
        <w:rPr>
          <w:sz w:val="20"/>
          <w:szCs w:val="20"/>
          <w:color w:val="auto"/>
        </w:rPr>
      </w:pPr>
    </w:p>
    <w:p>
      <w:pPr>
        <w:jc w:val="both"/>
        <w:ind w:left="340" w:hanging="332"/>
        <w:spacing w:after="0" w:line="283"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Commissions Paid to Distributors and Dealers</w:t>
      </w:r>
      <w:r>
        <w:rPr>
          <w:rFonts w:ascii="Arial" w:cs="Arial" w:eastAsia="Arial" w:hAnsi="Arial"/>
          <w:sz w:val="16"/>
          <w:szCs w:val="16"/>
          <w:color w:val="auto"/>
        </w:rPr>
        <w:t>: For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we use a distribution network of distributors and dealers that purchase and take possession of products for sale to the end customer. We also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 In addition, TTC dealers are often paid a commission to set up and deliver riding product purchased at certain home centers.</w:t>
      </w:r>
    </w:p>
    <w:p>
      <w:pPr>
        <w:spacing w:after="0" w:line="7" w:lineRule="exact"/>
        <w:rPr>
          <w:rFonts w:ascii="Arial" w:cs="Arial" w:eastAsia="Arial" w:hAnsi="Arial"/>
          <w:sz w:val="16"/>
          <w:szCs w:val="16"/>
          <w:color w:val="auto"/>
        </w:rPr>
      </w:pPr>
    </w:p>
    <w:p>
      <w:pPr>
        <w:jc w:val="both"/>
        <w:ind w:left="340" w:hanging="332"/>
        <w:spacing w:after="0" w:line="252"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Cooperative Advertising: </w:t>
      </w:r>
      <w:r>
        <w:rPr>
          <w:rFonts w:ascii="Arial" w:cs="Arial" w:eastAsia="Arial" w:hAnsi="Arial"/>
          <w:sz w:val="18"/>
          <w:szCs w:val="18"/>
          <w:color w:val="auto"/>
        </w:rPr>
        <w:t>Cooperative advertising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advertising costs incurred by distributors and dealers for promoting our 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Regardless of classification of the cost of the sales promotion and incentive program within the Consolidated Statements of Earnings, we record an accrual within the Consolidated Balance Sheets for the estimated future expense of certain of our sales promotion and incentive programs for which we anticipate a future cost based on historical or expected future business practice by using the expected value method and applying the portfolio approach practical expedient under the accounting standards codification guidance for revenue from contracts with customers. Under such approach, our determination of variable consideration associated with the estimated expense of certain of our sales promotions and incentives programs is primarily based on the terms of the sales arrangements and sales promotion and incentive programs with customers, historical payment and rebate claims experience, field inventory levels, quantity or mix of products purchased, forecasted sales volumes, types of programs offered, and expectations for the acceptance of sales promotion and incentive programs offered in the future or changes in other relevant trends.</w:t>
      </w:r>
    </w:p>
    <w:p>
      <w:pPr>
        <w:spacing w:after="0" w:line="211"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Of our sales promotion and incentive programs that are considered to be variable consideration, our off-invoice discounts and financing programs are less subject to complex judgment or estimates as compared to our rebate programs, which are subject to a more significant level of estimation uncertainty as they require inputs and assumptions that are more susceptible to change or subjectivity. Specifically, our rebate programs are primarily sensitive to fluctuations in historical payment and rebate claims experience as compared to actual realized payment and rebate claims, field inventory levels, and forecasted wholesale and retail sales volumes and the quantity or mix of products.</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Adjustments to sales promotions and incentive accruals are made from time to time as actual usage becomes known in order to properly estimate the amounts necessary to generate consumer demand based on market conditions as of the balance sheet date. As of October 31, 2021, we had recorded an accrual for sales promotion and incentive programs of $103.7 million within the Consolidated Balance Sheets. We believe that our accrual for sales promotion and incentive programs is adequate as of October 31, 2021 and historically has been adequate; however, due to the inherent uncertainty in the accrual estimation process, actual results may differ from these estimates if competitive factors dictate the need to enhance, modify, or reduce sales promotion and incentive programs or if customer usage, product mix, and field inventory levels vary from historical trends.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As of October 31, 2021, our goodwill and indefinite-lived intangible asset balances, which consist of certain trade names, were $421.7 million and $190.6 million, respectively. Goodwill and indefinite-lived intangible assets are not amortized, but are tested at least annually for impairment during the fourth quarter of our fiscal year unless events or changes in circumstances indicate that impairment may have occurred prior to our annual assessment. We test goodwill for impairment at the reporting unit level and test indefinite-lived intangible assets for impairment at the individual indefinite-lived intangible asset or asset group level, as appropriate. A reporting unit is an operating segment or, under certain circumstances, a component of an operating segment that constitutes a business, has available discrete financial information, and whose operating results are regularly reviewed by management. We combine and aggregate components of an operating segment as a single reporting unit if the components have similar economic characteristics. Our 11 reporting units are the same as our 11 operating segments as defined in Note 3, </w:t>
      </w:r>
      <w:r>
        <w:rPr>
          <w:rFonts w:ascii="Arial" w:cs="Arial" w:eastAsia="Arial" w:hAnsi="Arial"/>
          <w:sz w:val="16"/>
          <w:szCs w:val="16"/>
          <w:i w:val="1"/>
          <w:iCs w:val="1"/>
          <w:color w:val="auto"/>
        </w:rPr>
        <w:t>Segment Data</w:t>
      </w:r>
      <w:r>
        <w:rPr>
          <w:rFonts w:ascii="Arial" w:cs="Arial" w:eastAsia="Arial" w:hAnsi="Arial"/>
          <w:sz w:val="16"/>
          <w:szCs w:val="16"/>
          <w:color w:val="auto"/>
        </w:rPr>
        <w:t>, of the Notes to Consolidated Financial Statements. Eight of our reporting units contain goodwill on their respective balance sheets as of October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impairment testing for goodwill is performed separately from our impairment testing of indefinite-lived intangible assets; however, for both types of assets we may elect to first perform a qualitative assessment to determine whether changes in events or circumstances since our most recent quantitative test for impairment indicate that it is more likely than not that the fair value of a reporting unit or the fair value of an indefinite-lived intangible asset, or asset group, is less than its respective carrying amount. For both types of assets, we have an unconditional option to bypass the qualitative assessment for any reporting unit or indefinite-lived intangible asset, or asset group, and proceed directly to performing the respective quantitative analysis. If elected, in conducting the initial qualitative assessment, we analyze our most recent estimates of the fair value of each reporting unit and indefinite-lived intangible asset, or asset group, by assessing actual and projected growth trends for operating results, as well as historical operating results versus planned performance. Additionally, each reporting unit and indefinite-lived intangible asset, or asset group, is assessed for critical areas that may impact its business or brand and operating performance, including macroeconomic conditions, industry and market considerations, cost factors such as commodities and component parts and labor, changes in competition and technology such as new or discontinued products, changes in management or key personnel and business or brand strategy, market-related exposures such as fluctuations in our company's market capitalization and share price, and/or any other potential risks to operating performance, such as regulatory and environmental changes or otherwise, all as applicable. We also assess for changes in the composition or carrying value of a reporting unit's net assets. All assumptions and estimates used in the qualitative assessment require significant judgment. If, after evaluating the weight of the changes in events and circumstances, both positive and negative, we conclude that an impairment of goodwill or an indefinite-lived intangible asset, or asset group, may exist, a quantitative test for impairment is performed. During fiscal 2021, we elected to bypass the qualitative assessment for all of our reporting units and indefinite-lived intangible assets, or asset groups, and proceed directly to performing the respective quantitative analyses.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performed due to identified impairment indicators under the qualitative assessment or our election to bypass the qualitative assessment and move directly to the quantitative analysis, the quantitative impairment analysis for both goodwill and indefinite-lived intangibles assets is conducted under the income approach. Under the income approach, we calculate the fair value of our reporting units and indefinite-lived intangible assets using the present value of future cash flows. Assumptions utilized in determining fair value under the income approach, such as forecasted operating results, terminal growth rates, and weighted-average cost of capital ("WACC") or discount rates, are consistent with internal projections and operating plans. Materially different assumptions regarding future performance of our businesses and brands, terminal growth rates, and/or WACC or discount</w:t>
      </w:r>
    </w:p>
    <w:p>
      <w:pPr>
        <w:spacing w:after="0" w:line="623"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rate could result in impairment losses and such losses could be material.</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fourth quarter of fiscal 2021, we performed our annual quantitative goodwill impairment test, which is a one-step process. In performing the quantitative analysis, we compare the carrying value of a reporting unit, including goodwill, to its fair value. The carrying amount of each reporting unit is determined based on the amount of equity required for the reporting unit's activities, considering the specific assets and liabilities of the reporting unit. We do not assign corporate assets and liabilities to reporting units that do not relate to the operations of the reporting unit or are not considered in determining the fair value of the reporting unit.</w:t>
      </w:r>
    </w:p>
    <w:p>
      <w:pPr>
        <w:spacing w:after="0" w:line="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estimate of the fair value of our reporting units under the income approach requires the use of significant judgment regarding the selection of various inputs and assumptions, including projected operating results and growth rates from our forecasting process, applicable tax rates, estimated capital expenditures and depreciation, estimated changes in working capital, terminal growth rates applied to projected operating results in the terminal period, and a WACC rate. These inputs and assumptions, which are independently determined and vary for each reporting unit, are based on historical experience, our projections of future operating results and contemplate current and future business, industry, and economic conditions, as well as relevant observable market inputs and consideration of risk regarding future performance for purposes of determining the WACC and terminal growth rates. The WACC rate selected is commensurate with the risks and uncertainty inherent in the respective reporting unit and in our projected operating results and is calculated based on weighted average returns on debt and equity from guideline public companies. Therefore, changes in the market that are beyond our control and that impact our guideline public companies may have an adverse effect on our future calculations of the estimated fair values of our reporting units. Terminal growth rates are generally determined based on economic and industry growth expectations, while also considering the lifecycle stage of each respective reporting unit. Where available, and as appropriate, comparable EBITDA and revenue multiples are derived from the market prices of stocks of guideline public companies and are used to assist in developing an estimated business enterprise value of our reporting units under the market approach to corroborate our determination of the estimated fair values of our reporting units under the income approach. Identifying appropriate guideline public companies for purposes of computing estimated market multiples and selecting an appropriate WACC rate is subjective. We select guideline public companies that are engaged in the same or similar lines of business and that have reasonably similar qualitative factors as our reporting units, while also considering relevant quantitative factors such as profitability and market capitalization, where applicable. As a final corroboratory step, we reconcile the aggregate estimated fair value of our reporting units resulting from the income approach to our company's market 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quantitative goodwill impairment analysis, which was also performed in prior fiscal years, we determined there was no impairment of goodwill during fiscal 2021 for any of our reporting units as the fair value of each reporting unit substantially exceeded its respective carrying value, including goodwill, in excess of 100 percent. We also performed sensitivity analyses on the key inputs and assumptions used in determining the estimated fair value of our reporting units under the discounted cash flow model under the income approach by utilizing more conservative assumptions that reflect reasonably likely future changes in the terminal growth rate and WACC rate. The WACC rate was increased by 150 basis points with no impairment indicated for any of our reporting units. The terminal growth rate was decreased by 150 basis points with no impairment indicated for any of our reporting units.</w:t>
      </w:r>
    </w:p>
    <w:p>
      <w:pPr>
        <w:spacing w:after="0" w:line="63" w:lineRule="exact"/>
        <w:rPr>
          <w:sz w:val="20"/>
          <w:szCs w:val="20"/>
          <w:color w:val="auto"/>
        </w:rPr>
      </w:pPr>
    </w:p>
    <w:p>
      <w:pPr>
        <w:jc w:val="both"/>
        <w:ind w:left="160"/>
        <w:spacing w:after="0" w:line="283" w:lineRule="auto"/>
        <w:rPr>
          <w:sz w:val="20"/>
          <w:szCs w:val="20"/>
          <w:color w:val="auto"/>
        </w:rPr>
      </w:pPr>
      <w:r>
        <w:rPr>
          <w:rFonts w:ascii="Arial" w:cs="Arial" w:eastAsia="Arial" w:hAnsi="Arial"/>
          <w:sz w:val="16"/>
          <w:szCs w:val="16"/>
          <w:color w:val="auto"/>
        </w:rPr>
        <w:t>Individual indefinite-lived intangible assets, or asset groups, are quantitatively tested for impairment by comparing the carrying amounts of the respective asset, or asset group, to its estimated fair value determined under the income approach. If the fair value of the indefinite-lived intangible asset, or asset group, is less than its carrying value, an impairment loss is recognized in an amount equal to the excess. During the fourth quarter of fiscal 2021, we performed a quantitative impairment analysis for our indefinite-lived intangible assets. Our estimate of the fair value for an indefinite-lived intangible asset, or asset group, is determined under the relief from royalty method under the income approach and uses various inputs and assumptions, including projected revenues from our forecasting process, assumed royalty rates that could be payable if we did not own the intangible asset, terminal growth rates applied to forecasted revenues, and a discount rate. These inputs and assumptions contemplate business, industry, and overall economic conditions, as well as relevant market data for royalty rates of similar intangible assets. Based on our quantitative impairment analysis, which was also performed in prior fiscal years, we conclude that our indefinite-lived intangible assets were not impaired during fiscal 2021 as the estimated fair value of each of our material indefinite-lived intangible assets substantially exceeded its carrying value, in excess of 50.0 percent. We also performed sensitivity analyses on the key inputs and assumptions used in determining the estimated fair value of indefinite-lived intangible assets under the relief from royalty model by utilizing more conservative assumptions that reflect reasonably likely future changes in the royalty rate and discount rate. The discount rate was increased by 75 basis points with no impairment indicated for any of our material indefinite-lived intangible assets. The royalty rate was decreased by 75 basis points with no impairment indicated for any of our material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Determining the estimated fair values of our reporting units and indefinite-lived intangible assets, or asset groups, requires considerable judgment and such estimate are sensitive to changes in the underlying inputs and assumptions. As a result, there can be no assurance that the inputs and assumptions made for purposes of our annual impairment assessments will prove to be an accurate prediction of the future. Certain events or circumstances that could reasonably be expected to negatively affect the underlying key inputs and assumptions ultimately affect the estimated fair values of our reporting units and indefinite-lived intangible assets, and may require us to assess for impairment on an interim basis. Such events or circumstances could include a decrease in expected future operating results and the related cash flows; adverse economic, market, and industry conditions, including unfavorable impacts on our guideline public companies used in determining our WACC rate and the business enterprise value of our reporting units under the market approach; prolonged periods of unfavorable weather conditions; changes in regulatory conditions impacting our products and industries; a volatile supply chain environment and/or increased costs of commodities, component parts, and labor; lack of customer acceptance of new or innovative technologies; increased competition; and other factors. While our annual impairment assessment in fiscal 2021 supported the carrying amount of our goodwill and indefinite-lived intangible assets, we may be required to re-evaluate the carrying amount in future periods utilizing different inputs and assumptions that reflect the then current market conditions and expectations regarding our operating performance, which may result in a future impairment that could be material.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Guarantees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time of sale, we recognize expense and record a warranty accrual by product line for estimated costs in connection with forecasted future warranty claims. Our estimate of the cost of future warranty claims is based primarily on the estimated number of products under warranty, historical average costs incurred to service warranty claims, the trend in the historical ratio of warranty claims to sales, and the historical length of time between the sale and resulting warranty claim. If applicable, historical claims experience may be adjusted for known product design improvements or for the impact of unusual product quality issues. We periodically assess the adequacy of our warranty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accruals based on changes in our estimates and assumptions and record any necessary adjustments if the cost of actual claim experience differs from our estimate and indicates that adjustments to our warranty accrual are necessary. Factors that could have an impact on actual future claims and our warranty accrual include, but are not limited to, items such as performance of new products; product failure rates; factors impacting product usage, such as weather; changes in sales volumes and shifts in product mix; manufacturing quality and product design issues, including significant manufacturing or design defects not discovered until after the product is delivered to customers; the extent of customers affected by the product failure; higher or lower than expected service and component part costs to satisfactorily address the repair, and upon rare occasion, changes to the warranty coverage periods. Additionally, from time to time, we also establish warranty accruals for our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74"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We believe that our analysis of historical warranty claim trends and knowledge of potential manufacturing and/or product design improvements or issues provide sufficient information to establish a reasonable estimate for the cost of future warranty claims at the time of sale and our warranty accruals as of the date of our Consolidated Balance Sheets. We believe that our $116.8 million warranty accrual as of October 31, 2021 is adequate and historically has been adequate; however, due to the inherent uncertainty in the accrual estimation process, including forecasting future warranty claims, costs associated with servicing future warranty claims, and unexpected major rework campaigns that may arise in the future, our actual warranty costs incurred may differ from our warranty accrual estimate. An unexpected increase in warranty claims and/or in the costs associated with servicing those claims would result in an increase in our warranty accruals and a decrease in our net earnings.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Inventory Valuation</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For the majority of our inventories, we value inventories at the lower of the cost of inventory or net realizable value, with cost determined by either the first-in, first-out or average cost method. All remaining inventories are valued at the lower of cost or market, with cost determined under the last-in, first-out method. As needed, we record an inventory valuation adjustment for excess, slow moving, and obsolete inventory that is equal to the excess of the cost of the inventory over the estimated net realizable value or market value for the inventory depending on inventory costing method. The inventory valuation adjustment to net realizable value or market value establishes a new cost basis of the inventory that cannot be subsequently reversed. Such inventory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valuation adjustments for excess, obsolete, and slow moving inventory are not reduced or removed until the product is sold or disposed of.</w:t>
      </w:r>
    </w:p>
    <w:p>
      <w:pPr>
        <w:spacing w:after="0" w:line="3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developing inventory valuation adjustments for excess, slow moving, and obsolete inventory, we are required to use judgment and make estimates of future sales demand and production requirements compared with current inventory levels. Our estimate of forecasted sales demand and production requirements is primarily based on actual orders received, historical demand, technological and product life cycle changes, product pricing, economic trends, and competitive factors, such as market and pricing trends for similar products. Although management considers our inventory valuation adjustment for excess, slow-moving, and obsolete inventory to be adequate at $39.7 million as of October 31, 2021, forecasting sales demand and production requirements involves significant management judgment regarding future events. Future events that could significantly influence our judgments and related estimates include general economic conditions within the specific markets in which we operate, changes in demand for our products and customer preference, price fluctuations, and actions of our competitors, including the introduction of new products, technological advances, and pricing changes. Forecasted sales demand and production requirements can also be affected by the significant redesign of our existing products or the replacement of an existing product by an entirely new generation of product. It is possible that an unfavorable adjustment to our inventory valuation adjustment for excess, slow moving, and obsolete inventory may be required in the future if there is a change in any of the aforementioned factors that adversely impacts our estimates of future demand for our products and we do not adjust our purchases or production schedule accordingly.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applicable, 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we may retain the services of certified valuation specialists to assist with assigning estimated fair values to certain acquired assets and assumed liabilities, including intangible assets that are separately identifiable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6" w:lineRule="auto"/>
        <w:rPr>
          <w:sz w:val="20"/>
          <w:szCs w:val="20"/>
          <w:color w:val="auto"/>
        </w:rPr>
      </w:pPr>
      <w:r>
        <w:rPr>
          <w:rFonts w:ascii="Arial" w:cs="Arial" w:eastAsia="Arial" w:hAnsi="Arial"/>
          <w:sz w:val="17"/>
          <w:szCs w:val="17"/>
          <w:color w:val="auto"/>
        </w:rPr>
        <w:t>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the acquisition; applying an appropriate discount rate to estimate the present value of those projected cash flows we expect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92"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In determining the estimated fair value of intangible assets that are separately identifiable from goodwill, we typically utilize the income approach, which discounts the projected future cash flows using a discount rate that appropriately reflects the risks associated with the projected cash flows. Generally, we estimate the fair value of acquired trade names using the relief from royalty method under the income approach, which is based on the hypothetical royalty stream that would be received if we were to license the acquired trade name. For most other acquired intangible assets, we estimate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we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asset.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refine the estimated fair values of assets acquired and liabilities assumed, if necessary, over a period not to exceed one year from the date of acquisition by taking into consideration new information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information regarding recent accounting pronouncements, refer to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in our Notes to Consolidated Financial Statements under the sections entitled "New Accounting Pronouncements Adopted" and "New Accounting Pronouncements Not Yet Adopted."</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Market risk is the potential loss arising from adverse changes in market rates and prices. 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91" w:lineRule="auto"/>
        <w:rPr>
          <w:sz w:val="20"/>
          <w:szCs w:val="20"/>
          <w:color w:val="auto"/>
        </w:rPr>
      </w:pPr>
      <w:r>
        <w:rPr>
          <w:rFonts w:ascii="Arial" w:cs="Arial" w:eastAsia="Arial" w:hAnsi="Arial"/>
          <w:sz w:val="16"/>
          <w:szCs w:val="16"/>
          <w:color w:val="auto"/>
        </w:rPr>
        <w:t>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5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14,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in the Notes to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included in Part II, Item 8, "Financial Statements and Supplementary Data," of this Annual Report on Form 10-K.</w:t>
      </w:r>
    </w:p>
    <w:p>
      <w:pPr>
        <w:spacing w:after="0" w:line="282"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The foreign currency exchange contracts in the table below have maturity dates in fiscal 2022 through fiscal 2024. All items are non-trading and stated in U.S. dollars. As of October 31, 2021, the average contracted rate, notional amount, fair value, and the gain (loss) at fair value of outstanding derivative instruments were as follows (in thousands, except average contracted rate):</w:t>
      </w:r>
    </w:p>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148"/>
        </w:trPr>
        <w:tc>
          <w:tcPr>
            <w:tcW w:w="1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w w:val="96"/>
              </w:rPr>
              <w:t>Notional</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w w:val="94"/>
              </w:rPr>
              <w:t>Gain (Loss) at</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Contracted</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0.7295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99,039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96,362</w:t>
            </w: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Australian dollar</w:t>
            </w:r>
          </w:p>
        </w:tc>
        <w:tc>
          <w:tcPr>
            <w:tcW w:w="106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1.2827</w:t>
            </w:r>
          </w:p>
        </w:tc>
        <w:tc>
          <w:tcPr>
            <w:tcW w:w="200" w:type="dxa"/>
            <w:vAlign w:val="bottom"/>
          </w:tcPr>
          <w:p>
            <w:pPr>
              <w:spacing w:after="0"/>
              <w:rPr>
                <w:sz w:val="11"/>
                <w:szCs w:val="1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38,231</w:t>
            </w:r>
          </w:p>
        </w:tc>
        <w:tc>
          <w:tcPr>
            <w:tcW w:w="18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37,050</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Arial" w:cs="Arial" w:eastAsia="Arial" w:hAnsi="Arial"/>
                <w:sz w:val="14"/>
                <w:szCs w:val="14"/>
                <w:color w:val="auto"/>
              </w:rPr>
              <w:t>Canadian dollar</w:t>
            </w: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1.1911</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125,377</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127,822</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0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1.3362</w:t>
            </w:r>
          </w:p>
        </w:tc>
        <w:tc>
          <w:tcPr>
            <w:tcW w:w="200" w:type="dxa"/>
            <w:vAlign w:val="bottom"/>
          </w:tcPr>
          <w:p>
            <w:pPr>
              <w:spacing w:after="0"/>
              <w:rPr>
                <w:sz w:val="11"/>
                <w:szCs w:val="1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34,702</w:t>
            </w:r>
          </w:p>
        </w:tc>
        <w:tc>
          <w:tcPr>
            <w:tcW w:w="18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33,976</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Buy Mexican</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22.0125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23,665</w:t>
            </w: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6"/>
        </w:trPr>
        <w:tc>
          <w:tcPr>
            <w:tcW w:w="1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peso/Sell U.S. dollar</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00"/>
        <w:spacing w:after="0" w:line="375" w:lineRule="auto"/>
        <w:rPr>
          <w:sz w:val="20"/>
          <w:szCs w:val="20"/>
          <w:color w:val="auto"/>
        </w:rPr>
      </w:pPr>
      <w:r>
        <w:rPr>
          <w:rFonts w:ascii="Arial" w:cs="Arial" w:eastAsia="Arial" w:hAnsi="Arial"/>
          <w:sz w:val="18"/>
          <w:szCs w:val="18"/>
          <w:color w:val="auto"/>
        </w:rPr>
        <w:t xml:space="preserve">Consolidated Balance Sheets, and would not impact net earnings. </w:t>
      </w:r>
      <w:r>
        <w:rPr>
          <w:rFonts w:ascii="Arial" w:cs="Arial" w:eastAsia="Arial" w:hAnsi="Arial"/>
          <w:sz w:val="18"/>
          <w:szCs w:val="18"/>
          <w:b w:val="1"/>
          <w:bCs w:val="1"/>
          <w:color w:val="auto"/>
        </w:rPr>
        <w:t>Interest Rate Risk</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interest rate risk relates primarily to fluctuations in variable interest rates on our revolving credit facility and term loan credit agreement,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indebtedness as of October 31, 2021 included $424.0 million of gross fixed rate debt that is not subject to variable interest rate fluctuations and $270.0 million of gross variable rate debt under our term loan credit agreement. As of October 31, 2021, we did not have an outstanding balance on our variable-rate revolving credit facility. As of October 31, 2021, the estimated fair value of gross long-term debt with fixed interest rates was $517.9 million compared to its carrying amount of $424.0 million. Interest rate risk for fixed-rate, long-term debt is estimated as the potential increase in the fair value of gross fixed rate debt, resulting from a hypothetical 10 percent decrease in interest rates, and amounts to $12.3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Risk</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and changes to international trade policies, agreements, and/or regulation and competitor activity, including antidumping and countervailing duties on certain products imported from foreign countries, including certain engines imported into the U.S. from China.</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for commodities, components, parts, and accessories are generally for steel, engines, hydraulic components, transmissions, resin, aluminum, and electrification components, all of which we purchase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0"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In any given period, we strategically work to mitigate any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 In fiscal 2021, the average cost of commodities, components, parts, and accessories purchased, including the impact of inflation and tariff costs, was significantly higher compared to the average cost of commodities, components, parts, and accessories purchased in fiscal 2020. We anticipate that the average cost of commodities, components, parts, and accessories purchased, including the impact of inflation and tariff costs, for fiscal 2022 will be significantly higher than the average costs experienced during fiscal 2021.</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Market Risk</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 xml:space="preserve">Volatility in the trading price of our common stock impacts the compensation costs associated with our stock-based compensation awards. Additionally, when applicable, declines in the trading price of our common stock can adversely impact our reconciliation of TTC's market capitalization to the aggregate estimated fair value of our reporting units as a component of our goodwill impairment analysis and can also represent an interim period impairment indicator requiring the need to quantitatively assess goodwill for impairment during an interim period, which could result in impairment charges. Refer to Note 10, </w:t>
      </w:r>
      <w:r>
        <w:rPr>
          <w:rFonts w:ascii="Arial" w:cs="Arial" w:eastAsia="Arial" w:hAnsi="Arial"/>
          <w:sz w:val="17"/>
          <w:szCs w:val="17"/>
          <w:i w:val="1"/>
          <w:iCs w:val="1"/>
          <w:color w:val="auto"/>
        </w:rPr>
        <w:t>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and Note 1,</w:t>
      </w:r>
      <w:r>
        <w:rPr>
          <w:rFonts w:ascii="Arial" w:cs="Arial" w:eastAsia="Arial" w:hAnsi="Arial"/>
          <w:sz w:val="17"/>
          <w:szCs w:val="17"/>
          <w:i w:val="1"/>
          <w:iCs w:val="1"/>
          <w:color w:val="auto"/>
        </w:rPr>
        <w:t xml:space="preserve"> Summary of Significant Accounting Policies and Related Data</w:t>
      </w:r>
      <w:r>
        <w:rPr>
          <w:rFonts w:ascii="Arial" w:cs="Arial" w:eastAsia="Arial" w:hAnsi="Arial"/>
          <w:sz w:val="17"/>
          <w:szCs w:val="17"/>
          <w:color w:val="auto"/>
        </w:rPr>
        <w:t>, in the Notes to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Part II, Item 8, "Financial Statements and Supplementary Data," of this Annual Report on Form 10-K for additional information regarding our stock-based compensation awards and our goodwill impairment analysis,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Chief Financial Officer, evaluated the effectiveness of the company's internal control over financial reporting as of October 31, 2021.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this assessment, management concluded that the company's internal control over financial reporting was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2021. Our internal control over financial reporting as of October 31, 2021, has been audited by KPMG LLP, an independent registered public accounting firm, as stated in their report, which is included herein.</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97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973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Annual Report on Form 10-K.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and subsidiaries (the Company) as of October 31, 2021 and 2020, the related consolidated statements of earnings, comprehensive income, stockholders’ equity, and cash flows for each of the years in the three-year period ended October 31, 2021, and the related notes (collectively, the consolidated financial statements). We also have audited the Company’s internal control over financial reporting as of October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31, 2021 and 2020, and the results of its operations and its cash flows for each of the years in the three-year period ended October 31, 2021, in conformity with U.S. generally accepted accounting principles. Also in our opinion, the Company maintained, in all material respects, effective internal control over financial reporting as of October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discussed in Note 13 to the consolidated financial statements, the Company has changed its method of accounting for leases as of November 1, 2019, due to the adoption of Accounting Standard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related amendments.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Accrued sales promotions and incentives</w:t>
      </w:r>
    </w:p>
    <w:p>
      <w:pPr>
        <w:spacing w:after="0" w:line="117"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As discussed in Note 1 to the consolidated financial statements, at the time of sale, the Company records an estimate for sales promotion and incentive costs, a portion of which relates to rebate programs. As of October 31, 2021, the Company recorded an accrual of $103.7 million for sales promotions and incentives. The Company's estimates for sales promotion and incentive programs are primarily based on the terms of the sales arrangements and sales promotion and incentive programs with customers, historical payment and rebate claims experience, field inventory levels, quantity or mix of products purchased, types of programs offered, and expectations for the acceptance of sales promotion and incentive programs offered in the future or changes in other relevant trends.</w:t>
      </w:r>
    </w:p>
    <w:p>
      <w:pPr>
        <w:spacing w:after="0" w:line="84"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We identified the evaluation of the accrued sales promotions and incentives as a critical audit matter. To evaluate the Company’s expectations for changes in other relevant trends that were used to develop the estimate, a high degree of auditor judgment was required. Historical experience was an input used to develop expectations for changes in other relevant trends. Changes in other relevant trends could have an impact to the accrual for sales promotions and incentives.</w:t>
      </w:r>
    </w:p>
    <w:p>
      <w:pPr>
        <w:spacing w:after="0" w:line="79"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Additionally, we tested sales promotions and incentives paid subsequent to the balance sheet date by tracing a sample of payments to underlying documentation supporting the program terms to evaluate the accrual estimate.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 October 31</w:t>
            </w:r>
          </w:p>
        </w:tc>
        <w:tc>
          <w:tcPr>
            <w:tcW w:w="1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3,959,584</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3,378,810</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3,138,084</w:t>
            </w: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2,621,092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2,189,036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2,090,121</w:t>
            </w:r>
          </w:p>
        </w:tc>
      </w:tr>
      <w:tr>
        <w:trPr>
          <w:trHeight w:val="21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1,338,492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1,189,774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1,047,963</w:t>
            </w: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820,212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763,417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722,934</w:t>
            </w:r>
          </w:p>
        </w:tc>
      </w:tr>
      <w:tr>
        <w:trPr>
          <w:trHeight w:val="209"/>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earnings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518,280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426,357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325,029</w:t>
            </w:r>
          </w:p>
        </w:tc>
      </w:tr>
      <w:tr>
        <w:trPr>
          <w:trHeight w:val="216"/>
        </w:trPr>
        <w:tc>
          <w:tcPr>
            <w:tcW w:w="60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(28,659)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(33,156)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(28,835)</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10,197</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13,869</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25,939</w:t>
            </w:r>
          </w:p>
        </w:tc>
      </w:tr>
      <w:tr>
        <w:trPr>
          <w:trHeight w:val="210"/>
        </w:trPr>
        <w:tc>
          <w:tcPr>
            <w:tcW w:w="6060" w:type="dxa"/>
            <w:vAlign w:val="bottom"/>
          </w:tcPr>
          <w:p>
            <w:pPr>
              <w:ind w:left="140"/>
              <w:spacing w:after="0"/>
              <w:rPr>
                <w:sz w:val="20"/>
                <w:szCs w:val="20"/>
                <w:color w:val="auto"/>
              </w:rPr>
            </w:pPr>
            <w:r>
              <w:rPr>
                <w:rFonts w:ascii="Arial" w:cs="Arial" w:eastAsia="Arial" w:hAnsi="Arial"/>
                <w:sz w:val="17"/>
                <w:szCs w:val="17"/>
                <w:color w:val="auto"/>
              </w:rPr>
              <w:t>Earnings before income taxes</w:t>
            </w:r>
          </w:p>
        </w:tc>
        <w:tc>
          <w:tcPr>
            <w:tcW w:w="1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499,818</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407,070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322,133</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89,938</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77,369</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48,150</w:t>
            </w:r>
          </w:p>
        </w:tc>
      </w:tr>
      <w:tr>
        <w:trPr>
          <w:trHeight w:val="209"/>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409,880</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329,701</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273,983</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5"/>
        </w:trPr>
        <w:tc>
          <w:tcPr>
            <w:tcW w:w="6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3.82</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148"/>
        </w:trPr>
        <w:tc>
          <w:tcPr>
            <w:tcW w:w="6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3.78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3.03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128"/>
        </w:trPr>
        <w:tc>
          <w:tcPr>
            <w:tcW w:w="6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107,341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107,658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106,773</w:t>
            </w:r>
          </w:p>
        </w:tc>
      </w:tr>
      <w:tr>
        <w:trPr>
          <w:trHeight w:val="148"/>
        </w:trPr>
        <w:tc>
          <w:tcPr>
            <w:tcW w:w="6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108,473</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108,663</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108,090</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rPr>
          <w:sz w:val="20"/>
          <w:szCs w:val="20"/>
          <w:color w:val="auto"/>
        </w:rPr>
      </w:pPr>
      <w:r>
        <w:rPr>
          <w:rFonts w:ascii="Arial" w:cs="Arial" w:eastAsia="Arial" w:hAnsi="Arial"/>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 October 31</w:t>
            </w:r>
          </w:p>
        </w:tc>
        <w:tc>
          <w:tcPr>
            <w:tcW w:w="10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409,880</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329,701</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273,983</w:t>
            </w:r>
          </w:p>
        </w:tc>
      </w:tr>
      <w:tr>
        <w:trPr>
          <w:trHeight w:val="216"/>
        </w:trPr>
        <w:tc>
          <w:tcPr>
            <w:tcW w:w="61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4,973</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6,517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w:t>
            </w:r>
          </w:p>
        </w:tc>
      </w:tr>
      <w:tr>
        <w:trPr>
          <w:trHeight w:val="216"/>
        </w:trPr>
        <w:tc>
          <w:tcPr>
            <w:tcW w:w="6140" w:type="dxa"/>
            <w:vAlign w:val="bottom"/>
          </w:tcPr>
          <w:p>
            <w:pPr>
              <w:ind w:left="140"/>
              <w:spacing w:after="0"/>
              <w:rPr>
                <w:sz w:val="20"/>
                <w:szCs w:val="20"/>
                <w:color w:val="auto"/>
              </w:rPr>
            </w:pPr>
            <w:r>
              <w:rPr>
                <w:rFonts w:ascii="Arial" w:cs="Arial" w:eastAsia="Arial" w:hAnsi="Arial"/>
                <w:sz w:val="17"/>
                <w:szCs w:val="17"/>
                <w:color w:val="auto"/>
              </w:rPr>
              <w:t>Derivative instruments, net of tax of $736, $(2,782), and $(862), respectively</w:t>
            </w:r>
          </w:p>
        </w:tc>
        <w:tc>
          <w:tcPr>
            <w:tcW w:w="10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2,086</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(8,485)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(2,498)</w:t>
            </w:r>
          </w:p>
        </w:tc>
      </w:tr>
      <w:tr>
        <w:trPr>
          <w:trHeight w:val="216"/>
        </w:trPr>
        <w:tc>
          <w:tcPr>
            <w:tcW w:w="6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Pension benefits, net of tax of $41, $45, and $(1,305), respectively</w:t>
            </w: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1,207</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(4,300)</w:t>
            </w:r>
          </w:p>
        </w:tc>
      </w:tr>
      <w:tr>
        <w:trPr>
          <w:trHeight w:val="210"/>
        </w:trPr>
        <w:tc>
          <w:tcPr>
            <w:tcW w:w="61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8,266</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(8,112)</w:t>
            </w:r>
          </w:p>
        </w:tc>
      </w:tr>
      <w:tr>
        <w:trPr>
          <w:trHeight w:val="234"/>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418,146</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327,488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265,871</w:t>
            </w:r>
          </w:p>
        </w:tc>
      </w:tr>
      <w:tr>
        <w:trPr>
          <w:trHeight w:val="20"/>
        </w:trPr>
        <w:tc>
          <w:tcPr>
            <w:tcW w:w="6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82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7"/>
                <w:szCs w:val="17"/>
                <w:b w:val="1"/>
                <w:bCs w:val="1"/>
                <w:color w:val="auto"/>
              </w:rPr>
              <w:t>October 31</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280" w:type="dxa"/>
            <w:vAlign w:val="bottom"/>
            <w:gridSpan w:val="4"/>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Cash and cash equivalents</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405,612</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479,892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340"/>
              <w:spacing w:after="0"/>
              <w:rPr>
                <w:sz w:val="20"/>
                <w:szCs w:val="20"/>
                <w:color w:val="auto"/>
              </w:rPr>
            </w:pPr>
            <w:r>
              <w:rPr>
                <w:rFonts w:ascii="Arial" w:cs="Arial" w:eastAsia="Arial" w:hAnsi="Arial"/>
                <w:sz w:val="17"/>
                <w:szCs w:val="17"/>
                <w:color w:val="auto"/>
              </w:rPr>
              <w:t>Customers, net of allowances (2021 - $3,056; 2020 - $4,586)</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252,757</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223,105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Receivables from finance affiliate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30,981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26,541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25,411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Total receivables,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310,279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Inventories, net</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738,170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652,433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35,124</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1,489,185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1,427,648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487,731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421,680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424,075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420,041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Right-of-use assets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66,990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78,752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Investment in finance affiliate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20,671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5,800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24,042</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2,936,140</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46"/>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828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36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503,116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363,953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Short-term lease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14,283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Accrued liabilities: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Warranty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116,783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340"/>
              <w:spacing w:after="0"/>
              <w:rPr>
                <w:sz w:val="20"/>
                <w:szCs w:val="20"/>
                <w:color w:val="auto"/>
              </w:rPr>
            </w:pPr>
            <w:r>
              <w:rPr>
                <w:rFonts w:ascii="Arial" w:cs="Arial" w:eastAsia="Arial" w:hAnsi="Arial"/>
                <w:sz w:val="17"/>
                <w:szCs w:val="17"/>
                <w:color w:val="auto"/>
              </w:rPr>
              <w:t>Advertising and sales promotions and incentives programs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103,661</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98,883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Compensation and benefit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108,536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340"/>
              <w:spacing w:after="0"/>
              <w:rPr>
                <w:sz w:val="20"/>
                <w:szCs w:val="20"/>
                <w:color w:val="auto"/>
              </w:rPr>
            </w:pPr>
            <w:r>
              <w:rPr>
                <w:rFonts w:ascii="Arial" w:cs="Arial" w:eastAsia="Arial" w:hAnsi="Arial"/>
                <w:sz w:val="17"/>
                <w:szCs w:val="17"/>
                <w:color w:val="auto"/>
              </w:rPr>
              <w:t>Insurance</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14,497</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13,452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6,092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70,051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88,214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ind w:left="340"/>
              <w:spacing w:after="0"/>
              <w:rPr>
                <w:sz w:val="20"/>
                <w:szCs w:val="20"/>
                <w:color w:val="auto"/>
              </w:rPr>
            </w:pPr>
            <w:r>
              <w:rPr>
                <w:rFonts w:ascii="Arial" w:cs="Arial" w:eastAsia="Arial" w:hAnsi="Arial"/>
                <w:sz w:val="17"/>
                <w:szCs w:val="17"/>
                <w:color w:val="auto"/>
              </w:rPr>
              <w:t>Total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419,620</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376,524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937,019</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855,797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691,242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Long-term lease liabilities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55,752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66,641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50,397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70,435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828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35"/>
              <w:spacing w:after="0"/>
              <w:rPr>
                <w:sz w:val="20"/>
                <w:szCs w:val="20"/>
                <w:color w:val="auto"/>
              </w:rPr>
            </w:pPr>
            <w:r>
              <w:rPr>
                <w:rFonts w:ascii="Arial" w:cs="Arial" w:eastAsia="Arial" w:hAnsi="Arial"/>
                <w:sz w:val="17"/>
                <w:szCs w:val="17"/>
                <w:color w:val="auto"/>
              </w:rPr>
              <w:t>50,598</w:t>
            </w:r>
          </w:p>
        </w:tc>
        <w:tc>
          <w:tcPr>
            <w:tcW w:w="3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54,277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gridSpan w:val="4"/>
          </w:tcPr>
          <w:p>
            <w:pPr>
              <w:spacing w:after="0" w:line="176" w:lineRule="exact"/>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280" w:type="dxa"/>
            <w:vAlign w:val="bottom"/>
            <w:gridSpan w:val="4"/>
            <w:shd w:val="clear" w:color="auto" w:fill="CCEEFF"/>
          </w:tcPr>
          <w:p>
            <w:pPr>
              <w:spacing w:after="0" w:line="162" w:lineRule="exact"/>
              <w:rPr>
                <w:sz w:val="20"/>
                <w:szCs w:val="20"/>
                <w:color w:val="auto"/>
              </w:rPr>
            </w:pPr>
            <w:r>
              <w:rPr>
                <w:rFonts w:ascii="Arial" w:cs="Arial" w:eastAsia="Arial" w:hAnsi="Arial"/>
                <w:sz w:val="17"/>
                <w:szCs w:val="17"/>
                <w:color w:val="auto"/>
                <w:w w:val="90"/>
              </w:rPr>
              <w:t>Preferred stock, par value $1.00 per share, authorized 1,000,000 voting and 850,000 non-voting shares, none issued and</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outstanding</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80" w:type="dxa"/>
            <w:vAlign w:val="bottom"/>
            <w:gridSpan w:val="4"/>
          </w:tcPr>
          <w:p>
            <w:pPr>
              <w:spacing w:after="0" w:line="162" w:lineRule="exact"/>
              <w:rPr>
                <w:sz w:val="20"/>
                <w:szCs w:val="20"/>
                <w:color w:val="auto"/>
              </w:rPr>
            </w:pPr>
            <w:r>
              <w:rPr>
                <w:rFonts w:ascii="Arial" w:cs="Arial" w:eastAsia="Arial" w:hAnsi="Arial"/>
                <w:sz w:val="17"/>
                <w:szCs w:val="17"/>
                <w:color w:val="auto"/>
                <w:w w:val="91"/>
              </w:rPr>
              <w:t>Common stock, par value $1.00 per share, authorized 175,000,000 shares; issued and outstanding 105,205,734 shares</w:t>
            </w:r>
          </w:p>
        </w:tc>
        <w:tc>
          <w:tcPr>
            <w:tcW w:w="36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7"/>
                <w:szCs w:val="17"/>
                <w:color w:val="auto"/>
              </w:rPr>
              <w:t>105,206</w:t>
            </w:r>
          </w:p>
        </w:tc>
        <w:tc>
          <w:tcPr>
            <w:tcW w:w="3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as of October 31, 2021 and 107,582,670 shares as of October 31, 2020</w:t>
            </w: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1,071,922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1,041,507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Accumulated other comprehensive loss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(34,262)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ind w:left="1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1,151,132</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2,936,140</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 October 31</w:t>
            </w:r>
          </w:p>
        </w:tc>
        <w:tc>
          <w:tcPr>
            <w:tcW w:w="9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409,880</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329,701</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273,983</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(5,704)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(7,663)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(11,948)</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4,779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12,066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10,343</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75,468</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76,108</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69,314</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23,848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19,507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18,384</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3,951</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39,368</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21,809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15,408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13,429</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(22,899)</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2,269</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(6,190)</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w:t>
            </w:r>
          </w:p>
        </w:tc>
      </w:tr>
      <w:tr>
        <w:trPr>
          <w:trHeight w:val="216"/>
        </w:trPr>
        <w:tc>
          <w:tcPr>
            <w:tcW w:w="62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(52,260)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15,206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(11,042)</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(98,266)</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20,963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(104,832)</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2,953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11,828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9,747</w:t>
            </w:r>
          </w:p>
        </w:tc>
      </w:tr>
      <w:tr>
        <w:trPr>
          <w:trHeight w:val="216"/>
        </w:trPr>
        <w:tc>
          <w:tcPr>
            <w:tcW w:w="62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and other liabilities</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195,404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39,538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30,458</w:t>
            </w:r>
          </w:p>
        </w:tc>
      </w:tr>
      <w:tr>
        <w:trPr>
          <w:trHeight w:val="209"/>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555,469</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539,374</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337,371</w:t>
            </w:r>
          </w:p>
        </w:tc>
      </w:tr>
      <w:tr>
        <w:trPr>
          <w:trHeight w:val="210"/>
        </w:trPr>
        <w:tc>
          <w:tcPr>
            <w:tcW w:w="626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(104,012)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(78,068)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(92,881)</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(24,883)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(138,225)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(697,471)</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acquisitions, net of cash acquired</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(27,176)</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1,035</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216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4,669</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Investments in unconsolidated entities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16"/>
        </w:trPr>
        <w:tc>
          <w:tcPr>
            <w:tcW w:w="62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sale of a business</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26,584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12,941</w:t>
            </w:r>
          </w:p>
        </w:tc>
      </w:tr>
      <w:tr>
        <w:trPr>
          <w:trHeight w:val="21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(128,452)</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(216,077)</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(772,942)</w:t>
            </w:r>
          </w:p>
        </w:tc>
      </w:tr>
      <w:tr>
        <w:trPr>
          <w:trHeight w:val="210"/>
        </w:trPr>
        <w:tc>
          <w:tcPr>
            <w:tcW w:w="626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Borrowings under debt arrangements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270,000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636,025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900,000</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Repayments under debt arrangements</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(370,000)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(546,025)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(511,000)</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13,100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22,198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29,336</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(2,037)</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(2,146)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(2,662)</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TTC common stock</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(302,274)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(20,043)</w:t>
            </w:r>
          </w:p>
        </w:tc>
      </w:tr>
      <w:tr>
        <w:trPr>
          <w:trHeight w:val="216"/>
        </w:trPr>
        <w:tc>
          <w:tcPr>
            <w:tcW w:w="62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Dividends paid on TTC common stock</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(112,440)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(107,698)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(96,133)</w:t>
            </w:r>
          </w:p>
        </w:tc>
      </w:tr>
      <w:tr>
        <w:trPr>
          <w:trHeight w:val="21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provided by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(503,651)</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2,354</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299,498</w:t>
            </w:r>
          </w:p>
        </w:tc>
      </w:tr>
      <w:tr>
        <w:trPr>
          <w:trHeight w:val="34"/>
        </w:trPr>
        <w:tc>
          <w:tcPr>
            <w:tcW w:w="6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2,354</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2,413</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w:t>
            </w:r>
          </w:p>
        </w:tc>
      </w:tr>
      <w:tr>
        <w:trPr>
          <w:trHeight w:val="21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(74,280)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328,064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(137,296)</w:t>
            </w:r>
          </w:p>
        </w:tc>
      </w:tr>
      <w:tr>
        <w:trPr>
          <w:trHeight w:val="21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479,892</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151,828</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289,124</w:t>
            </w:r>
          </w:p>
        </w:tc>
      </w:tr>
      <w:tr>
        <w:trPr>
          <w:trHeight w:val="20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405,612</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479,892</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151,828</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Cash paid during the fiscal year for:</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31,568</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34,109</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30,167</w:t>
            </w:r>
          </w:p>
        </w:tc>
      </w:tr>
      <w:tr>
        <w:trPr>
          <w:trHeight w:val="216"/>
        </w:trPr>
        <w:tc>
          <w:tcPr>
            <w:tcW w:w="62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taxes</w:t>
            </w: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101,835</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69,524</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54,738</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7"/>
                <w:szCs w:val="17"/>
                <w:b w:val="1"/>
                <w:bCs w:val="1"/>
                <w:color w:val="auto"/>
              </w:rPr>
              <w:t>Retained</w:t>
            </w:r>
          </w:p>
        </w:tc>
        <w:tc>
          <w:tcPr>
            <w:tcW w:w="1760" w:type="dxa"/>
            <w:vAlign w:val="bottom"/>
            <w:tcBorders>
              <w:top w:val="single" w:sz="8" w:color="auto"/>
            </w:tcBorders>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Accumulated Other</w:t>
            </w: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75"/>
              <w:spacing w:after="0" w:line="176" w:lineRule="exact"/>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20" w:type="dxa"/>
            <w:vAlign w:val="bottom"/>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75"/>
              <w:spacing w:after="0" w:line="162" w:lineRule="exact"/>
              <w:rPr>
                <w:sz w:val="20"/>
                <w:szCs w:val="20"/>
                <w:color w:val="auto"/>
              </w:rPr>
            </w:pPr>
            <w:r>
              <w:rPr>
                <w:rFonts w:ascii="Arial" w:cs="Arial" w:eastAsia="Arial" w:hAnsi="Arial"/>
                <w:sz w:val="17"/>
                <w:szCs w:val="17"/>
                <w:b w:val="1"/>
                <w:bCs w:val="1"/>
                <w:color w:val="auto"/>
                <w:w w:val="89"/>
              </w:rPr>
              <w:t>Stockholders'</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Earnings</w:t>
            </w:r>
          </w:p>
        </w:tc>
        <w:tc>
          <w:tcPr>
            <w:tcW w:w="17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w w:val="94"/>
              </w:rPr>
              <w:t>Comprehensive Loss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2"/>
              </w:rPr>
              <w:t>Equity</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2018</w:t>
            </w:r>
          </w:p>
        </w:tc>
        <w:tc>
          <w:tcPr>
            <w:tcW w:w="6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105,601</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587,252</w:t>
            </w:r>
          </w:p>
        </w:tc>
        <w:tc>
          <w:tcPr>
            <w:tcW w:w="6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668,916</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color w:val="auto"/>
              </w:rPr>
              <w:t>Cash dividends paid on common stock - $0.90 per share</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(96,133)</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(96,133)</w:t>
            </w: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4"/>
              </w:rPr>
              <w:t>Issuance of 1,544,962 shares for exercised stock options and vested</w:t>
            </w:r>
          </w:p>
        </w:tc>
        <w:tc>
          <w:tcPr>
            <w:tcW w:w="6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1,545</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26,387</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27,932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6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13,429</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13,429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of stock to a deferred compensation trust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1,404</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Purchase of 403,532 shares of common stock</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(22,301)</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(22,705)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due to the adoption of ASU 2014-09</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864</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(8,112)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(8,112)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6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273,983</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273,983</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as of October 31, 2019</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106,742</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784,885</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(32,049)</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859,578</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paid on common stock - $1.00 per share</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(107,698)</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(107,698)</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7"/>
                <w:szCs w:val="17"/>
                <w:color w:val="auto"/>
                <w:w w:val="96"/>
              </w:rPr>
              <w:t>Issuance of 870,011 shares for exercised stock options and vested</w:t>
            </w:r>
          </w:p>
        </w:tc>
        <w:tc>
          <w:tcPr>
            <w:tcW w:w="640" w:type="dxa"/>
            <w:vAlign w:val="bottom"/>
          </w:tcPr>
          <w:p>
            <w:pPr>
              <w:spacing w:after="0"/>
              <w:rPr>
                <w:sz w:val="14"/>
                <w:szCs w:val="14"/>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color w:val="auto"/>
              </w:rPr>
              <w:t>870</w:t>
            </w:r>
          </w:p>
        </w:tc>
        <w:tc>
          <w:tcPr>
            <w:tcW w:w="280" w:type="dxa"/>
            <w:vAlign w:val="bottom"/>
          </w:tcPr>
          <w:p>
            <w:pPr>
              <w:spacing w:after="0"/>
              <w:rPr>
                <w:sz w:val="14"/>
                <w:szCs w:val="14"/>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7"/>
                <w:szCs w:val="17"/>
                <w:color w:val="auto"/>
              </w:rPr>
              <w:t>18,760</w:t>
            </w:r>
          </w:p>
        </w:tc>
        <w:tc>
          <w:tcPr>
            <w:tcW w:w="640" w:type="dxa"/>
            <w:vAlign w:val="bottom"/>
          </w:tcPr>
          <w:p>
            <w:pPr>
              <w:spacing w:after="0"/>
              <w:rPr>
                <w:sz w:val="14"/>
                <w:szCs w:val="14"/>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19,630</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6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15,408</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15,408</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Contribution of stock to a deferred compensation trust</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2,568</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29,422 shares of common stock</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(2,213)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(2,213)</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6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329,701</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329,701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as of October 31, 2020</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107,583</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1,041,507</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(34,262)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paid on common stock - $1.05 per share</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(112,440)</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(112,440)</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7"/>
                <w:szCs w:val="17"/>
                <w:color w:val="auto"/>
                <w:w w:val="96"/>
              </w:rPr>
              <w:t>Issuance of 610,788 shares for exercised stock options and vested</w:t>
            </w:r>
          </w:p>
        </w:tc>
        <w:tc>
          <w:tcPr>
            <w:tcW w:w="640" w:type="dxa"/>
            <w:vAlign w:val="bottom"/>
          </w:tcPr>
          <w:p>
            <w:pPr>
              <w:spacing w:after="0"/>
              <w:rPr>
                <w:sz w:val="14"/>
                <w:szCs w:val="14"/>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color w:val="auto"/>
              </w:rPr>
              <w:t>611</w:t>
            </w:r>
          </w:p>
        </w:tc>
        <w:tc>
          <w:tcPr>
            <w:tcW w:w="280" w:type="dxa"/>
            <w:vAlign w:val="bottom"/>
          </w:tcPr>
          <w:p>
            <w:pPr>
              <w:spacing w:after="0"/>
              <w:rPr>
                <w:sz w:val="14"/>
                <w:szCs w:val="14"/>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7"/>
                <w:szCs w:val="17"/>
                <w:color w:val="auto"/>
              </w:rPr>
              <w:t>11,004</w:t>
            </w:r>
          </w:p>
        </w:tc>
        <w:tc>
          <w:tcPr>
            <w:tcW w:w="640" w:type="dxa"/>
            <w:vAlign w:val="bottom"/>
          </w:tcPr>
          <w:p>
            <w:pPr>
              <w:spacing w:after="0"/>
              <w:rPr>
                <w:sz w:val="14"/>
                <w:szCs w:val="14"/>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11,615</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6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21,809</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21,809</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Contribution of 22,700 shares to a deferred compensation trust</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1,462</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1,485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3,010,424 shares of common stock</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(301,300)</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(304,311)</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6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8,266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8,266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6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409,880</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409,880</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as of October 31, 2021</w:t>
            </w: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105,206</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1,071,922</w:t>
            </w:r>
          </w:p>
        </w:tc>
        <w:tc>
          <w:tcPr>
            <w:tcW w:w="6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1,151,132</w:t>
            </w:r>
          </w:p>
        </w:tc>
        <w:tc>
          <w:tcPr>
            <w:tcW w:w="0" w:type="dxa"/>
            <w:vAlign w:val="bottom"/>
          </w:tcPr>
          <w:p>
            <w:pPr>
              <w:spacing w:after="0"/>
              <w:rPr>
                <w:sz w:val="1"/>
                <w:szCs w:val="1"/>
                <w:color w:val="auto"/>
              </w:rPr>
            </w:pP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NOTES TO CONSOLIDATED FINANCIAL STATEMENTS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THE TORO COMPANY AND SUBSIDIARIES •</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20" w:right="1080" w:hanging="594"/>
        <w:spacing w:after="0" w:line="182" w:lineRule="auto"/>
        <w:tabs>
          <w:tab w:leader="none" w:pos="620" w:val="left"/>
        </w:tabs>
        <w:numPr>
          <w:ilvl w:val="0"/>
          <w:numId w:val="46"/>
        </w:numPr>
        <w:rPr>
          <w:rFonts w:ascii="Arial" w:cs="Arial" w:eastAsia="Arial" w:hAnsi="Arial"/>
          <w:sz w:val="34"/>
          <w:szCs w:val="34"/>
          <w:b w:val="1"/>
          <w:bCs w:val="1"/>
          <w:color w:val="auto"/>
        </w:rPr>
      </w:pPr>
      <w:r>
        <w:rPr>
          <w:rFonts w:ascii="Arial" w:cs="Arial" w:eastAsia="Arial" w:hAnsi="Arial"/>
          <w:sz w:val="17"/>
          <w:szCs w:val="17"/>
          <w:b w:val="1"/>
          <w:bCs w:val="1"/>
          <w:color w:val="auto"/>
        </w:rPr>
        <w:t>Summary of Significant Accounting Policies and Related Data</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Toro Company sells its products worldwide through a network of distributors, dealers, mass retailers, hardware retailers, equipment rental centers, home centers, as well as online (direct to end-users). The Toro Company strives to provide innovative, well-built, and dependable products supported by an extensive service network.</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are The Toro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("GAAP") in the United States ("U.S.") and include the accounts of The Toro Company and its wholly-owned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As further described in Note 7, </w:t>
      </w:r>
      <w:r>
        <w:rPr>
          <w:rFonts w:ascii="Arial" w:cs="Arial" w:eastAsia="Arial" w:hAnsi="Arial"/>
          <w:sz w:val="16"/>
          <w:szCs w:val="16"/>
          <w:i w:val="1"/>
          <w:iCs w:val="1"/>
          <w:color w:val="auto"/>
        </w:rPr>
        <w:t>Management Actions</w:t>
      </w:r>
      <w:r>
        <w:rPr>
          <w:rFonts w:ascii="Arial" w:cs="Arial" w:eastAsia="Arial" w:hAnsi="Arial"/>
          <w:sz w:val="16"/>
          <w:szCs w:val="16"/>
          <w:color w:val="auto"/>
        </w:rPr>
        <w:t xml:space="preserve">, during the first quarter of fiscal 2021, the company completed the sale of its Northeastern U.S. distribution company. Accordingly, as of and for the fiscal year ended October 31, 2021, Other activities consisted of the company's remaining wholly-owned domestic distribution company, corporate activities, and the elimination of intersegment revenues and expenses. As of and for the fiscal years ended October 31, 2020 and 2019, the company's Other activities consisted of its wholly-owned domestic distribution companies, corporate activities, and the elimination of intersegment revenues and expenses. For additional information regarding the company's reportable business segments refer to Note 3, </w:t>
      </w:r>
      <w:r>
        <w:rPr>
          <w:rFonts w:ascii="Arial" w:cs="Arial" w:eastAsia="Arial" w:hAnsi="Arial"/>
          <w:sz w:val="16"/>
          <w:szCs w:val="16"/>
          <w:i w:val="1"/>
          <w:iCs w:val="1"/>
          <w:color w:val="auto"/>
        </w:rPr>
        <w:t>Segment Data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uses the equity method to account for equity investments in unconsolidated entities over which it has the ability to exercise significant influence over operating and financial policies. The company's share of the net earnings or losses of these equity method investments are recorded 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2020, the World Health Organization declared the novel coronavirus ("COVID-19," "virus," or "the pandemic") outbreak a global pandemic. COVID-19 has negatively impacted public health and portions of the global economy, significantly disrupted global supply chains, and created volatility in financial markets. The continuing implications of COVID-19 on the company remain uncertain and will depend on certain future developments, including the duration of the pandemic; any adverse impact due to variants of the virus; its impact on market demand for the company's products; its impact on the company's employees, customers, and suppliers; the range of government mandated restrictions and other measures; and the success of the deployment of approved COVID-19 vaccines, their effectiveness against the novel strain and related variants, and their rate of adoption. This uncertainty could have a material impact on accounting estimates and assumptions utilized to prepare the Consolidated Financial Statements as of and for the fiscal year ended October 31, 2021 and in future reporting periods, which could result in a material adverse impact on the company's Consolidated Financial Position, Results of Operations,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 for expected credit losses; pension accruals; self-insurance accruals; legal accruals; right-of-use assets and lease liabilities; useful lives for tangible and finite-lived intangible assets; future cash flows associated with</w:t>
      </w:r>
    </w:p>
    <w:p>
      <w:pPr>
        <w:spacing w:after="0" w:line="340"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impairment testing for goodwill, indefinite-lived intangible assets, and other long-lived assets; and valuations of the assets acquired and liabilities assumed in a business combination or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and other relevant factors, as applicable. Management adjusts such estimates and assumptions when facts and circumstances dictate. As future events and their effects cannot be determined with certainty, including those impacted by COVID-19, actual amounts could differ significantly from those estimated at the time the Consolidated Financial Statements are prepared. Changes in those estimates will be reflected in the Consolidated Financial Statements in future periods.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When applicable, the company accounts for the acquisition of a business in accordance with the accounting standards codification ("ASC") guidance for business combinations, whereby the total purchase consideration transferred is allocated to the assets acquired and liabilities assumed, including amounts attributable to non-controlling interests, when applicable, based on their respective estimated fair values as of the date of acquisition. Goodwill represents the excess of purchase consideration transferred over the estimated fair value of the identifiable net assets acquired in a business combination.</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Assigning estimated fair values to the net assets acquired requires the use of significant estimates, judgments, inputs, and assumptions regarding the fair value of the assets acquired and liabilities assumed. Estimated fair values of assets acquired and liabilities assumed are generally based on available historical information, independent valuations or appraisals,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through impairment charges, if the asset becomes impaired in the future. During the measurement period, any purchase price allocation changes that impact the carrying value of goodwill affects any measurement of goodwill impairment taken during the measurement period, if applicable. If necessary, purchase price allocation revisions that occur outside of the measurement period are recorded within cost of sales or selling, general and administrative expense within the Consolidated Statements of Earnings depending on the nature of the adjustment.</w:t>
      </w:r>
    </w:p>
    <w:p>
      <w:pPr>
        <w:spacing w:after="0" w:line="57"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When an acquisition does not meet the definition of a business combination because either: (i) substantially all of the fair value of the gross assets acquired is concentrated in a single identifiable asset, or group of similar identified assets, or (ii) the acquired entity does not have an input and a substantive process that together significantly contribute to the ability to create outputs, the company accounts for the acquisition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64"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Business Combinations and Asset Acquisitions</w:t>
      </w:r>
      <w:r>
        <w:rPr>
          <w:rFonts w:ascii="Arial" w:cs="Arial" w:eastAsia="Arial" w:hAnsi="Arial"/>
          <w:sz w:val="18"/>
          <w:szCs w:val="18"/>
          <w:color w:val="auto"/>
        </w:rPr>
        <w:t>, for additional information regarding the company's accounting for recent business combinations and asset acquisitions.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are stated at cost, which approximates fair value. As of October 31, 2021 and 2020, cash and cash equivalents held by the company's foreign subsidiaries were $117.3 million and $106.3 million, respectively.</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Receivables, Net</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 xml:space="preserve">The company's financial exposure related to the collection of accounts receivable is reduced due to its wholesale floor plan financing programs, including its Red Iron Acceptance, LLC ("Red Iron") joint venture with TCF Inventory Finance, Inc. ("TCFIF"), as further discussed in Note 8, </w:t>
      </w:r>
      <w:r>
        <w:rPr>
          <w:rFonts w:ascii="Arial" w:cs="Arial" w:eastAsia="Arial" w:hAnsi="Arial"/>
          <w:sz w:val="17"/>
          <w:szCs w:val="17"/>
          <w:i w:val="1"/>
          <w:iCs w:val="1"/>
          <w:color w:val="auto"/>
        </w:rPr>
        <w:t xml:space="preserve">Investment in Joint Venture. </w:t>
      </w:r>
      <w:r>
        <w:rPr>
          <w:rFonts w:ascii="Arial" w:cs="Arial" w:eastAsia="Arial" w:hAnsi="Arial"/>
          <w:sz w:val="17"/>
          <w:szCs w:val="17"/>
          <w:color w:val="auto"/>
        </w:rPr>
        <w:t>Under a separate agreement,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an arrangement with TCF Commercial Finance Canada, Inc. ("TCFCFC") to provide inventory financing to dealers of certain of the company's products in Canada. The company also has floor plan financing agreements with separate third-party financial institutions to provide inventory financing to certain dealers and distributors not financed through Red Iron and TCFCFC, which include agreements with third-party financial institutions in the U.S. and internationally. For receivables not serviced through Red Iron, TCFCFC, or other third-party floor plan financing agreements, the company provides financing in the form of open account terms in the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normal course of business and performs on-going credit evaluations of customers.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Receivables are recorded at original carrying amount less an estimated allowance for expected credit losses. The allowance for expected credit losses is based on the company's assessment of losses that will result from its customers inability or unwillingness to pay amounts owed to the company. The allowance for expected credit losses is estimated using a combination of factors, including the age of receivable balances and historical credit loss experience, supplemented by the company's knowledge of customer-specific information, current market conditions, and reasonable and supportable forecasts of future events and economic conditions, when applicable. Receivables are written-off against the allowance for expected credit losses when all collection efforts have been exhausted.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accounts receivable and derivative instruments. Accounts receivable balances are generally concentrated in the Professional and Residential business segments. The credit risk associated with these business segments is limited because of the large number of customers in the company's customer base and their geographic dispersion. The credit risk associated with the company's derivative instruments is limited as the company enters into derivative instruments with multiple counterparties that are highly rated financial institutions.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Net</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Inventories are valued at the lower of cost or net realizable value, with cost determined by the first-in, first-out ("FIFO") and average cost methods for approximately 52.7 percent and 53.0 percent of total net inventories as of October 31, 2021 and 2020, respectively. All remaining inventories are valued at the lower of cost or market, with cost determined under the last-in, first-out ("LIFO") method. During fiscal 2021 and fiscal 2020, LIFO layers were not materially reduced.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Such inventory valuation adjustments for excess, obsolete, and slow moving inventory are not reduced or removed until the product is sold or disposed of. As of October 31, 2021 and 2020, the company's inventory valuation adjustment for excess, slow-moving, and obsolete inventory was $39.7 million and $37.9 million,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net were as follows (in thousands):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8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 and work in process</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335,325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168,759</w:t>
            </w:r>
          </w:p>
        </w:tc>
      </w:tr>
      <w:tr>
        <w:trPr>
          <w:trHeight w:val="18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Finished goods and service parts</w:t>
            </w: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538,332</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565,761</w:t>
            </w:r>
          </w:p>
        </w:tc>
      </w:tr>
      <w:tr>
        <w:trPr>
          <w:trHeight w:val="186"/>
        </w:trPr>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FIFO value</w:t>
            </w: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873,657</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734,520</w:t>
            </w:r>
          </w:p>
        </w:tc>
      </w:tr>
      <w:tr>
        <w:trPr>
          <w:trHeight w:val="18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adjustment to LIFO value</w:t>
            </w: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135,487</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82,087</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inventories, net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738,170</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652,433</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Plant and Equipment, Net</w:t>
      </w:r>
    </w:p>
    <w:p>
      <w:pPr>
        <w:spacing w:after="0" w:line="12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expenses as incurred within cost of sales or selling, general and administrative expense in the Consolidated Statements of Earnings depending on the nature and use of the related asset. Interest is capitalized during the construction period for significant capital projects. During the fiscal years ended October 31, 2021, 2020, and 2019, the company capitalized $0.8 million, $1.0 million, and $1.3 million of interest, respectively.</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plant and equipment, net was as follows (in thousands):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7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and land improvements</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57,690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57,387</w:t>
            </w: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7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308,217</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301,848</w:t>
            </w: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522,012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499,312</w:t>
            </w: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Tooling</w:t>
            </w:r>
          </w:p>
        </w:tc>
        <w:tc>
          <w:tcPr>
            <w:tcW w:w="7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220,966</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231,142</w:t>
            </w: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97,485</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102,312</w:t>
            </w:r>
          </w:p>
        </w:tc>
      </w:tr>
      <w:tr>
        <w:trPr>
          <w:trHeight w:val="18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Construction in process</w:t>
            </w: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85,722</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48,157</w:t>
            </w:r>
          </w:p>
        </w:tc>
      </w:tr>
      <w:tr>
        <w:trPr>
          <w:trHeight w:val="186"/>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gross</w:t>
            </w: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1,292,092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1,240,158</w:t>
            </w:r>
          </w:p>
        </w:tc>
      </w:tr>
      <w:tr>
        <w:trPr>
          <w:trHeight w:val="18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804,361</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772,239</w:t>
            </w:r>
          </w:p>
        </w:tc>
      </w:tr>
      <w:tr>
        <w:trPr>
          <w:trHeight w:val="208"/>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487,731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467,919</w:t>
            </w:r>
          </w:p>
        </w:tc>
      </w:tr>
      <w:tr>
        <w:trPr>
          <w:trHeight w:val="20"/>
        </w:trPr>
        <w:tc>
          <w:tcPr>
            <w:tcW w:w="2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0"/>
        <w:spacing w:after="0" w:line="308" w:lineRule="auto"/>
        <w:rPr>
          <w:sz w:val="20"/>
          <w:szCs w:val="20"/>
          <w:color w:val="auto"/>
        </w:rPr>
      </w:pPr>
      <w:r>
        <w:rPr>
          <w:rFonts w:ascii="Arial" w:cs="Arial" w:eastAsia="Arial" w:hAnsi="Arial"/>
          <w:sz w:val="17"/>
          <w:szCs w:val="17"/>
          <w:color w:val="auto"/>
        </w:rPr>
        <w:t>During fiscal 2021, 2020, and 2019, the company recorded depreciation expense of $75.5 million, $76.1 million, and $69.3 million, respectively.</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Goodwill is initially recognized as a result of the excess of purchase consideration transferred over the estimated fair value of the net assets acquired in a business combination and indefinite-lived intangible assets are initially recognized at their estimated fair values as a result of a business combination or asset acquisition. Goodwill is assigned to a reporting unit based upon the expected benefit of the synergies of the acquisition. Goodwill and certain trade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names, which are considered to have indefinite lives, are not amortized; however, the company reviews them for impairment annually during the fourth quarter of each fiscal year or more frequently if changes in circumstances or the occurrence of events indicate that the fair value may not be recoverable. The company tests goodwill for impairment at the reporting unit level and tests indefinite-lived intangible assets for impairment at the individual indefinite-lived intangible asset or asset group level, as appropriate. During the fourth quarter of fiscal 2021, the company performed its annual goodwill impairment test.</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performing the annual goodwill impairment test, the company first reviewed its reporting units and determined that it has eleven reporting units, which are the same as its eleven operating segments as defined in Note 3, </w:t>
      </w:r>
      <w:r>
        <w:rPr>
          <w:rFonts w:ascii="Arial" w:cs="Arial" w:eastAsia="Arial" w:hAnsi="Arial"/>
          <w:sz w:val="16"/>
          <w:szCs w:val="16"/>
          <w:i w:val="1"/>
          <w:iCs w:val="1"/>
          <w:color w:val="auto"/>
        </w:rPr>
        <w:t>Segment Data</w:t>
      </w:r>
      <w:r>
        <w:rPr>
          <w:rFonts w:ascii="Arial" w:cs="Arial" w:eastAsia="Arial" w:hAnsi="Arial"/>
          <w:sz w:val="16"/>
          <w:szCs w:val="16"/>
          <w:color w:val="auto"/>
        </w:rPr>
        <w:t>. Eight reporting units contain goodwill on their respective balance sheets as of October 31, 2021. Next,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based on a discounted cash flow model under the income approach, which utilized various inputs and assumptions, including projected operating results and growth rates from the company's forecasting process, applicable tax rates, estimated capital expenditures and depreciation, estimated changes in working capital, terminal growth rates applied to projected operating results in the terminal period, and a weighted-average cost of capital rate. Where available, and as appropriate, comparable market multiples and the company's market capitalization were also utilized to corroborate the results of the discounted cash flow models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 Based on the quantitative goodwill impairment analysis, the company determined there was no impairment of goodwill during fiscal 2021 for any of its reporting units as the fair values of the reporting units substantially exceeded their respective carrying values, including goodwill. Further, no impairment of goodwill was recorded during fiscal 2020 and 2019.</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fiscal 2021, the company also performed a quantitative impairment analysis for 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indefinite-lived intangible assets, which consist of certain trade names. The company's estimate of the fair values of its trade names are based on the relief from royalty method under the income approach and utilizes various inputs and assumptions, including projected revenues from the company's forecasting process, assumed royalty rates that could be payable if the company did not own the intangible asset, terminal growth rates applied to forecasted revenues, and a discount rate. If the fair value of the indefinite-lived intangible asset, or asset group, is less than its carrying value, an impairment loss is recognized in an amount equal to the excess. Based on this quantitative impairment analysis, the company concluded its indefinite-lived intangible assets were not impaired during fiscal 2021 as the estimated fair values of the company's material indefinite-lived intangible assets substantially exceeded their carrying values. Further, the company concluded its indefinite-lived intangible assets were not impaired during fiscal 2020 and 2019 based on the same quantitative impairment analysis performed in each respective prior fiscal year.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long-lived assets primarily consist of property, plant and equipment; right-of-use assets associated with operating lease agreements, capitalized implementation costs for hosted cloud-computing arrangements; finite-lived intangible assets, and other assets, as applicable. The company's finite-lived intangible assets are identifiable assets that were acquired as a result of business combinations or asset acquisitions and primarily consist of customer relationships and lists, developed technology, patents, trade names, non-compete agreements, and order backlog and are generally amortized on a straight-line basis over their expected useful lives, which typically range from several months to 20 years depending on the nature of the finite-lived intangible asset.</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generally measured using a discounted cash flow model or independent appraisals, as appropriate. The company did not record an impairment loss for fiscal 2021, 2020, and 2019 as the company's long-lived assets were determined to not be at risk for impairment as no events or changes in circumstances were identified that would indicate that the carrying amount of an asset, or asset group, may not be recoverable.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other long-lived assets to be abandoned, the company tests for potential impairment. If the company commits to a plan to abandon or dispose of an other long-lived asset, or asset group, before the end of its previously estimated useful</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life, depreciation or amortization expense is recognized over the revised estimated useful life.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contracts that are, or contain,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 Minimum remaining lease payments are generally discounted to present value based the estimated incremental borrowing rate at lease commencement as the rate implicit in the lease is generally not readily determinable.</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lease incentives received, unamortized initial direct costs, and impairment of the operating lease right-of-use asset, as applicable.</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lease expense on a straight-line basis, for short-term operating leases which have a lease term of 12 months or less and do not include an option to purchase the underlying asset.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As of October 31, 2021 and 2020, $91.6 million and $63.5 million, respectively, of the company's outstanding payment obligations were financed by participating suppliers through the third-party financial institution's supply chain finance web-based platform.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 as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Guarantees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w:t>
      </w:r>
    </w:p>
    <w:p>
      <w:pPr>
        <w:spacing w:after="0" w:line="514"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107,121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96,604</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76,214</w:t>
            </w: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Warranty provisions</w:t>
            </w:r>
          </w:p>
        </w:tc>
        <w:tc>
          <w:tcPr>
            <w:tcW w:w="4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73,666</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60,273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57,277</w:t>
            </w: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2,557</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18,418</w:t>
            </w: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Warranty claims</w:t>
            </w:r>
          </w:p>
        </w:tc>
        <w:tc>
          <w:tcPr>
            <w:tcW w:w="4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(71,520)</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(67,241)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(58,878)</w:t>
            </w:r>
          </w:p>
        </w:tc>
      </w:tr>
      <w:tr>
        <w:trPr>
          <w:trHeight w:val="189"/>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Changes in estimates</w:t>
            </w:r>
          </w:p>
        </w:tc>
        <w:tc>
          <w:tcPr>
            <w:tcW w:w="4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7,516</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14,928</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3,573</w:t>
            </w:r>
          </w:p>
        </w:tc>
      </w:tr>
      <w:tr>
        <w:trPr>
          <w:trHeight w:val="183"/>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116,783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107,121</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96,604</w:t>
            </w:r>
          </w:p>
        </w:tc>
      </w:tr>
      <w:tr>
        <w:trPr>
          <w:trHeight w:val="24"/>
        </w:trPr>
        <w:tc>
          <w:tcPr>
            <w:tcW w:w="2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Derivative instruments, consisting primarily of forward currency contracts, are used to hedge most foreign currency transactions, including forecasted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 Balance Sheets as a direct deduction from the carrying amount of the outstanding borrowings, consistent with debt discounts. However, the company classifies the debt issuance costs related to its $600.0 million five-year senior unsecured revolving credit facility ("revolving credit facility") within other assets on the Consolidated Balance Sheets, regardless of whether the company has any outstanding borrowings on the revolving credit facility. Debt issuance costs related to borrowings that are fully extinguished in advance of the maturity date are charged to expense at the time of retirement of the borrowings. Debt issuance costs, net of accumulated amortization, were $4.6 million and $3.9 million as of October 31, 2021 and 2020, respectively.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believes it has reflected the necessary deferred tax assets and liabilities in the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recognizes the effect of income tax positions only if it is more likely than not that those positions will be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primary source of revenue is generated through the sale of equipment and irrigation products, as well as rendering of services to its customers. As a result, the company enters into contracts with its customers for the sale of products or rendering of services in the ordinary course of business, which generally occurs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as a result of variable consideration. Variable consideration is recorded at the time revenue is recognized as a reduction of the transaction price and typically occurs as a result of certain of the company's sales promotion and incentive programs offered to customers that are determined to represent price concessions, as well as anticipated product returns, when applicable.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time revenue is recognized, the company records a reduction of the transaction price for the variable consideration associated with certain of the company's sales promotions and incentives programs offered to customers that are determined to represent price concessions. The expense of each sales promotion and incentive program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classified as a reduction from gross sales or as a component of selling, general and administrative expense within the Consolidated Statements of Earnings when revenue is recognized, depending on the nature of the program. Generally, the cost of a program is recorded as a reduction from gross sales when revenue is recognized and thus, is considered to be variable consideration, if the expense is determined to represent a price concession because the program either (i) results in an immediate reduction of the transaction price with no anticipated future costs or consideration provided to the customer or (ii) the company anticipates future costs based on historical or expected future business practice for which the company does not receive a distinct good or service in exchange for the future consideration provided to the customer under the program. In other circumstances, the anticipated future cost of a program based on historical or expected future business practice is recorded as selling, general and administrative expense because the company receives a distinct good or service in exchange for the future consideration provided to the customer under the program.</w:t>
      </w:r>
    </w:p>
    <w:p>
      <w:pPr>
        <w:spacing w:after="0" w:line="66" w:lineRule="exact"/>
        <w:rPr>
          <w:sz w:val="20"/>
          <w:szCs w:val="20"/>
          <w:color w:val="auto"/>
        </w:rPr>
      </w:pPr>
    </w:p>
    <w:p>
      <w:pPr>
        <w:jc w:val="both"/>
        <w:ind w:left="160"/>
        <w:spacing w:after="0" w:line="286" w:lineRule="auto"/>
        <w:rPr>
          <w:sz w:val="20"/>
          <w:szCs w:val="20"/>
          <w:color w:val="auto"/>
        </w:rPr>
      </w:pPr>
      <w:r>
        <w:rPr>
          <w:rFonts w:ascii="Arial" w:cs="Arial" w:eastAsia="Arial" w:hAnsi="Arial"/>
          <w:sz w:val="17"/>
          <w:szCs w:val="17"/>
          <w:color w:val="auto"/>
        </w:rPr>
        <w:t>Examples of significant sales promotions and incentive programs that are considered to be variable consideration because the cost of the program is classified as a reduction from gross sales are as follows:</w:t>
      </w:r>
    </w:p>
    <w:p>
      <w:pPr>
        <w:spacing w:after="0" w:line="53" w:lineRule="exact"/>
        <w:rPr>
          <w:sz w:val="20"/>
          <w:szCs w:val="20"/>
          <w:color w:val="auto"/>
        </w:rPr>
      </w:pPr>
    </w:p>
    <w:p>
      <w:pPr>
        <w:jc w:val="both"/>
        <w:ind w:left="500" w:hanging="332"/>
        <w:spacing w:after="0" w:line="270" w:lineRule="auto"/>
        <w:tabs>
          <w:tab w:leader="none" w:pos="495"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Off-Invoice Discounts: </w:t>
      </w:r>
      <w:r>
        <w:rPr>
          <w:rFonts w:ascii="Arial" w:cs="Arial" w:eastAsia="Arial" w:hAnsi="Arial"/>
          <w:sz w:val="17"/>
          <w:szCs w:val="17"/>
          <w:color w:val="auto"/>
        </w:rPr>
        <w:t>The company's off-invoice discounts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 an immediate reduction in the selling price of the company's products that is realized at the time of sale with no anticipated future cost or consideration provided to the customer.</w:t>
      </w:r>
    </w:p>
    <w:p>
      <w:pPr>
        <w:spacing w:after="0" w:line="2" w:lineRule="exact"/>
        <w:rPr>
          <w:rFonts w:ascii="Arial" w:cs="Arial" w:eastAsia="Arial" w:hAnsi="Arial"/>
          <w:sz w:val="17"/>
          <w:szCs w:val="17"/>
          <w:b w:val="1"/>
          <w:bCs w:val="1"/>
          <w:color w:val="auto"/>
        </w:rPr>
      </w:pPr>
    </w:p>
    <w:p>
      <w:pPr>
        <w:jc w:val="both"/>
        <w:ind w:left="500" w:hanging="332"/>
        <w:spacing w:after="0" w:line="281" w:lineRule="auto"/>
        <w:tabs>
          <w:tab w:leader="none" w:pos="49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Rebate Programs: </w:t>
      </w:r>
      <w:r>
        <w:rPr>
          <w:rFonts w:ascii="Arial" w:cs="Arial" w:eastAsia="Arial" w:hAnsi="Arial"/>
          <w:sz w:val="16"/>
          <w:szCs w:val="16"/>
          <w:color w:val="auto"/>
        </w:rPr>
        <w:t>The company's rebate programs are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claims submitted from either the company's direct customers or end-users of the company's products or are based on purchase or retail sales goals for the company's direct customers of certain quantities or mixes of product during a specified time period, depending upon the program. The amount of the rebate varies based on the specific program and is either a dollar amount or a percentage of the purchase price and can also be based on actual retail price as compared to the company's selling price. Consideration is typically provided to the company's customers for the company's rebate programs after the initial sale of the company's products to the company's direct customers and thus, there is generally an anticipated future cost at the time revenue is recognized based on historical and expected future business practice.</w:t>
      </w:r>
    </w:p>
    <w:p>
      <w:pPr>
        <w:spacing w:after="0" w:line="8" w:lineRule="exact"/>
        <w:rPr>
          <w:rFonts w:ascii="Arial" w:cs="Arial" w:eastAsia="Arial" w:hAnsi="Arial"/>
          <w:sz w:val="16"/>
          <w:szCs w:val="16"/>
          <w:b w:val="1"/>
          <w:bCs w:val="1"/>
          <w:color w:val="auto"/>
        </w:rPr>
      </w:pPr>
    </w:p>
    <w:p>
      <w:pPr>
        <w:jc w:val="both"/>
        <w:ind w:left="500" w:hanging="332"/>
        <w:spacing w:after="0" w:line="287" w:lineRule="auto"/>
        <w:tabs>
          <w:tab w:leader="none" w:pos="49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Financing Programs: </w:t>
      </w:r>
      <w:r>
        <w:rPr>
          <w:rFonts w:ascii="Arial" w:cs="Arial" w:eastAsia="Arial" w:hAnsi="Arial"/>
          <w:sz w:val="16"/>
          <w:szCs w:val="16"/>
          <w:color w:val="auto"/>
        </w:rPr>
        <w:t>The company's financing programs consist of</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 plan financing programs with Red Iron and separate third-party financial institutions and end-user retail financing. Costs incurred for wholesale floor plan financing programs represent financing costs associated with programs under which the company shares the expense of financing distributor and dealer inventories through third-party financing arrangements for a specific period of time. This charge represents interest for a pre-established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length of time based on a predefined rate from the contract between the company and Red Iron or the separate third-party financial institution to finance distributor and dealer inventory purchase. The wholesale financing costs for distributor and dealer inventories were $20.8 million, $24.1 million, and $44.5 million for the fiscal years ended October 31, 2021, 2020 and 2019, respectively. End-user retail financing is similar to floor planning with the difference being that retail financing programs are offered to end-user customers under which the company, at its discretion, may pay a portion of interest costs on behalf of end-users for financing purchases of the company's equipment.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Examples of significant sales promotions and incentive programs that are not considered to be variable consideration because the cost of the program is classified as a component of selling, general, and administrative expense are as follows:</w:t>
      </w:r>
    </w:p>
    <w:p>
      <w:pPr>
        <w:spacing w:after="0" w:line="75" w:lineRule="exact"/>
        <w:rPr>
          <w:sz w:val="20"/>
          <w:szCs w:val="20"/>
          <w:color w:val="auto"/>
        </w:rPr>
      </w:pPr>
    </w:p>
    <w:p>
      <w:pPr>
        <w:jc w:val="both"/>
        <w:ind w:left="340" w:hanging="332"/>
        <w:spacing w:after="0" w:line="283"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Commissions Paid to Distributors and Dealers: </w:t>
      </w:r>
      <w:r>
        <w:rPr>
          <w:rFonts w:ascii="Arial" w:cs="Arial" w:eastAsia="Arial" w:hAnsi="Arial"/>
          <w:sz w:val="16"/>
          <w:szCs w:val="16"/>
          <w:color w:val="auto"/>
        </w:rPr>
        <w:t>For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the company uses a distribution network of dealers and distributors that purchase and take possession of products for sale to the end customer. The company also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 In addition, TTC dealers are often paid a commission to set up and deliver riding product purchased at certain home centers.</w:t>
      </w:r>
    </w:p>
    <w:p>
      <w:pPr>
        <w:spacing w:after="0" w:line="6" w:lineRule="exact"/>
        <w:rPr>
          <w:rFonts w:ascii="Arial" w:cs="Arial" w:eastAsia="Arial" w:hAnsi="Arial"/>
          <w:sz w:val="16"/>
          <w:szCs w:val="16"/>
          <w:color w:val="auto"/>
        </w:rPr>
      </w:pPr>
    </w:p>
    <w:p>
      <w:pPr>
        <w:jc w:val="both"/>
        <w:ind w:left="340" w:hanging="332"/>
        <w:spacing w:after="0" w:line="252" w:lineRule="auto"/>
        <w:tabs>
          <w:tab w:leader="none" w:pos="33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Cooperative Advertising: </w:t>
      </w:r>
      <w:r>
        <w:rPr>
          <w:rFonts w:ascii="Arial" w:cs="Arial" w:eastAsia="Arial" w:hAnsi="Arial"/>
          <w:sz w:val="18"/>
          <w:szCs w:val="18"/>
          <w:color w:val="auto"/>
        </w:rPr>
        <w:t>Cooperative advertising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advertising costs incurred by distributors and dealers for promoting the 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Regardless of classification of the cost of the sales promotion and incentive program within the Consolidated Statements of Earnings, the company records an accrual within the Consolidated Balance Sheets for the estimated future expense of certain of its sales promotion and incentive programs for which the company anticipates a future cost based on historical or expected future business practice by using the expected value method and applying the portfolio approach practical expedient under the accounting standards codification guidance for revenue from contracts with customers. Under such approach, the company's determination of variable consideration and the related accrual associated with the estimated expense of certain of the company's sales promotions and incentives programs is primarily based on the terms of the sales arrangements and sales promotion and incentive programs with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historical payment and rebate claims experience, field inventory levels, quantity or mix of products purchased, forecasted sales volumes, types of programs offered, and expectations for the acceptance of sales promotion and incentive programs offered in the future or changes in other relevant trends.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Cost of sales is primarily comprised of direct materials and supplies consumed to manufacture the company's products, as well as compensations costs for manufacturing labor and direct overhead expense necessary to convert direct materials and supplies into finished product. Cost of sales also includes freight costs for the procurement of direct materials and supplies and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cash discounts on payments to vendors, and other manufacturing-related costs.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Selling, general and administrative expense is primarily comprised of compensation costs for non-manufacturing labor, occupancy and operating costs of distribution and corporate facilities, warranty expense, depreciation and amortization expense on non-manufacturing tangible and intangible assets, operating lease expense related to leased non-manufacturing assets; advertising, marketing, and selling expenses, engineering and research costs, information systems costs, and other miscellaneous administrative costs, such as legal costs for internal and outside services that are expensed as incurred.</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Advertising Expense</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sales promotion and incentive programs established for certain product lines. Advertising costs were $50.5 million, $50.3 million, and $43.5 million for the fiscal years ended October 31, 2021, 2020, and 2019, respectively.</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Engineering and Research Expense</w:t>
      </w:r>
    </w:p>
    <w:p>
      <w:pPr>
        <w:spacing w:after="0" w:line="121"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improvements or enhancements to existing products, and cost reduction efforts. Costs incurred for engineering and research activities were $141.0 million, $124.1 million, and $109.1 million for the fiscal years ended October 31, 2021, 2020, and 2019,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determined under the Black-Scholes valuation method is recognized for these awards over the vesting period and is classified in selling, general and administrative expense within the Consolidated Statements of Earnings. For stock options and restricted stock units, expense recognized for other employees not considered executive officers and non-employee Board members is net of estimated forfeitures, which is based on historical forfeiture experience. Stock options granted to executive officers and other employees are subject to accelerated expensing if the option holder meets the retirement definition set forth in The Toro Company Amended and Restated 2010 Equity and Incentive Plan, as amended and restated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net primarily consists of the company's proportionate share of income or losses from the company's Red Iron joint venture, realized foreign currency exchange rate gains and losses, interest and dividend income, gains or losses recognized on actuarial valuation changes for our pension and post-retirement plans, retail financing revenue, and other miscellaneous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Basic net earnings per share is calculated as net earnings available to common stockholders divided by the weighted-average number of shares of common stock outstanding during the year plus the assumed issuance of contingent shares related to performance share awards under the 2010 plan.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basic and diluted weighted-average shares of common stock outstanding are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 October 31</w:t>
            </w:r>
          </w:p>
        </w:tc>
        <w:tc>
          <w:tcPr>
            <w:tcW w:w="11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66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Basic</w:t>
            </w:r>
          </w:p>
        </w:tc>
        <w:tc>
          <w:tcPr>
            <w:tcW w:w="1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3"/>
          </w:tcPr>
          <w:p>
            <w:pPr>
              <w:spacing w:after="0" w:line="135"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107,336</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107,647</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106,762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1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Assumed issuance of contingent shares</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w:t>
            </w: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gridSpan w:val="3"/>
          </w:tcPr>
          <w:p>
            <w:pPr>
              <w:spacing w:after="0" w:line="132"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107,341</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107,658</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106,773</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common stock outstanding – Basic</w:t>
            </w: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gridSpan w:val="3"/>
          </w:tcPr>
          <w:p>
            <w:pPr>
              <w:spacing w:after="0" w:line="129"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107,341</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107,658</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106,773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4"/>
                <w:szCs w:val="14"/>
                <w:color w:val="auto"/>
              </w:rPr>
              <w:t>common stock outstanding – Basic</w:t>
            </w:r>
          </w:p>
        </w:tc>
        <w:tc>
          <w:tcPr>
            <w:tcW w:w="1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Effect of dilutive securities</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1,132</w:t>
            </w: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gridSpan w:val="3"/>
          </w:tcPr>
          <w:p>
            <w:pPr>
              <w:spacing w:after="0" w:line="132"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108,473</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108,663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108,090</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common stock outstanding – Diluted</w:t>
            </w: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Incremental shares from options and restricted stock units are computed under the treasury stock method. Stock option awards to purchase 409,851, 447,032, and 716,343 shares of common stock during fiscal 2021, 2020, and 2019, respectively, were excluded from the computation of diluted net earnings per share of common stock because they were anti-dilutive.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 Credit Losses (Topic 326): Measurement of Credit Losses on Financial Instruments</w:t>
      </w:r>
      <w:r>
        <w:rPr>
          <w:rFonts w:ascii="Arial" w:cs="Arial" w:eastAsia="Arial" w:hAnsi="Arial"/>
          <w:sz w:val="16"/>
          <w:szCs w:val="16"/>
          <w:color w:val="auto"/>
        </w:rPr>
        <w:t>, which modifies the measurement approach for</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affects trade receivables, off-balance-sheet credit exposures, and any other financial assets not excluded from the scope of this amendment that have the contractual right to receive cash. The amended guidance was adopted in the first quarter of fiscal 2021, under the modified retrospective transition method, and did not have a material impact on the company's Consolidated Financial Statements.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(Topic 820) - Changes to the Disclosure Requirements for Fair Value Measurement</w:t>
      </w:r>
      <w:r>
        <w:rPr>
          <w:rFonts w:ascii="Arial" w:cs="Arial" w:eastAsia="Arial" w:hAnsi="Arial"/>
          <w:sz w:val="17"/>
          <w:szCs w:val="17"/>
          <w:color w:val="auto"/>
        </w:rPr>
        <w:t>, which modifies the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by removing, modifying, or adding certain disclosures. The amended guidance was adopted in the first quarter of fiscal 2021 and did not have a material impact on the company's Consolidated Financial Statements.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 - Defined Benefit Plans (Topic 715)</w:t>
      </w:r>
      <w:r>
        <w:rPr>
          <w:rFonts w:ascii="Arial" w:cs="Arial" w:eastAsia="Arial" w:hAnsi="Arial"/>
          <w:sz w:val="17"/>
          <w:szCs w:val="17"/>
          <w:color w:val="auto"/>
        </w:rPr>
        <w:t>, which modifies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disclosure requirements for defined benefit pension plans and other post-retirement plans. The amended guidance was adopted in the first quarter of fiscal 2021 and did not have a material impact on the company's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 Simplifying the Accounting for Income Taxes</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ASC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The company will adopt the amended guidance on November 1,</w:t>
      </w:r>
      <w:r>
        <w:rPr>
          <w:rFonts w:ascii="Arial" w:cs="Arial" w:eastAsia="Arial" w:hAnsi="Arial"/>
          <w:sz w:val="16"/>
          <w:szCs w:val="16"/>
          <w:i w:val="1"/>
          <w:iCs w:val="1"/>
          <w:color w:val="auto"/>
        </w:rPr>
        <w:t xml:space="preserve"> </w:t>
      </w:r>
      <w:r>
        <w:rPr>
          <w:rFonts w:ascii="Arial" w:cs="Arial" w:eastAsia="Arial" w:hAnsi="Arial"/>
          <w:sz w:val="16"/>
          <w:szCs w:val="16"/>
          <w:color w:val="auto"/>
        </w:rPr>
        <w:t>2021, the first quarter of fiscal 2022, and such adoption will not have a material impact on the company's Consolidated Financial Statements.</w:t>
      </w:r>
    </w:p>
    <w:p>
      <w:pPr>
        <w:spacing w:after="0" w:line="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 -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(Topic 321), Investments - Equity Method and Joint Ventures (Topic 323), and Derivatives and Hedging (Topic 815)</w:t>
      </w:r>
      <w:r>
        <w:rPr>
          <w:rFonts w:ascii="Arial" w:cs="Arial" w:eastAsia="Arial" w:hAnsi="Arial"/>
          <w:sz w:val="16"/>
          <w:szCs w:val="16"/>
          <w:color w:val="auto"/>
        </w:rPr>
        <w:t>, which clarified that</w:t>
      </w:r>
      <w:r>
        <w:rPr>
          <w:rFonts w:ascii="Arial" w:cs="Arial" w:eastAsia="Arial" w:hAnsi="Arial"/>
          <w:sz w:val="16"/>
          <w:szCs w:val="16"/>
          <w:i w:val="1"/>
          <w:iCs w:val="1"/>
          <w:color w:val="auto"/>
        </w:rPr>
        <w:t xml:space="preserve"> </w:t>
      </w:r>
      <w:r>
        <w:rPr>
          <w:rFonts w:ascii="Arial" w:cs="Arial" w:eastAsia="Arial" w:hAnsi="Arial"/>
          <w:sz w:val="16"/>
          <w:szCs w:val="16"/>
          <w:color w:val="auto"/>
        </w:rPr>
        <w:t>before applying or upon discontinuing the equity method of accounting for an investment in equity securities, an entity should consider observable transactions that require it to apply or discontinue the equity method of accounting for the purposes of applying the fair value measurement alternative. The company will adopt the amended guidance on November 1, 2021, the first quarter of fiscal 2022, and such adoption will not have a material impact on the company's Consolidated Financial Statements.</w:t>
      </w:r>
    </w:p>
    <w:p>
      <w:pPr>
        <w:spacing w:after="0" w:line="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(Topic 848): Facilitation of the Effects of Reference Rate Reform on Financial Reporting</w:t>
      </w:r>
      <w:r>
        <w:rPr>
          <w:rFonts w:ascii="Arial" w:cs="Arial" w:eastAsia="Arial" w:hAnsi="Arial"/>
          <w:sz w:val="16"/>
          <w:szCs w:val="16"/>
          <w:color w:val="auto"/>
        </w:rPr>
        <w:t>, which provides temporary optional guidance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ease the potential burden of accounting for reference rate reform due to the cessation of the London Interbank Offered Rate, commonly referred to as "LIBOR." The temporary guidance provides optional expedients and exceptions for applying U.S. GAAP to contracts, relationships, and transactions affected by reference rate reform if certain criteria are met. The guidance was effective upon issuance on March 12, 2020 and the provisions of the temporary optional guidance provided by the ASU may be elected on a prospective basis from the beginning of an interim period that includes the issuance date of the ASU through December 31, 2022, when the reference rate reform activity is expected to be substantially complete. In January 2021, the FASB issued ASU 2021-01,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Rate Reform (Topic 848): Scope</w:t>
      </w:r>
      <w:r>
        <w:rPr>
          <w:rFonts w:ascii="Arial" w:cs="Arial" w:eastAsia="Arial" w:hAnsi="Arial"/>
          <w:sz w:val="16"/>
          <w:szCs w:val="16"/>
          <w:color w:val="auto"/>
        </w:rPr>
        <w:t>, to provide supplemental guidance and to</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clarify the scope of the amended guidance. At this time, the company does not have receivables, hedging relationships, or operating lease agreements that reference LIBOR or another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 xml:space="preserve">rate expected to be discontinued and therefore, the company has not applied the optional practical expedients under this ASU to these classes of assets. On October 5, 2021, the company entered into an amended and restated credit agreement and at such time, the company concluded that the optional practical expedients provided by the ASU would not be elected as the required criteria were not met. The amended and restated credit agreement includes a transition clause in the event LIBOR is discontinued and the company's other fixed-rate financing agreements do not reference LIBOR or another reference rate expected to be discontinued as disclosed in Note 6, </w:t>
      </w:r>
      <w:r>
        <w:rPr>
          <w:rFonts w:ascii="Arial" w:cs="Arial" w:eastAsia="Arial" w:hAnsi="Arial"/>
          <w:sz w:val="17"/>
          <w:szCs w:val="17"/>
          <w:i w:val="1"/>
          <w:iCs w:val="1"/>
          <w:color w:val="auto"/>
        </w:rPr>
        <w:t>Indebtedness</w:t>
      </w:r>
      <w:r>
        <w:rPr>
          <w:rFonts w:ascii="Arial" w:cs="Arial" w:eastAsia="Arial" w:hAnsi="Arial"/>
          <w:sz w:val="17"/>
          <w:szCs w:val="17"/>
          <w:color w:val="auto"/>
        </w:rPr>
        <w:t>. As such, the company does not expect the transition of LIBOR to have a material impact on the company's Consolidated Financial Statements; however, a review of other contracts and agreements is underway and is expected to be completed prior to December 31, 2022.</w:t>
      </w:r>
    </w:p>
    <w:p>
      <w:pPr>
        <w:spacing w:after="0" w:line="76"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259" w:lineRule="exact"/>
        <w:rPr>
          <w:sz w:val="20"/>
          <w:szCs w:val="20"/>
          <w:color w:val="auto"/>
        </w:rPr>
      </w:pPr>
    </w:p>
    <w:p>
      <w:pPr>
        <w:ind w:left="780" w:right="1960" w:hanging="594"/>
        <w:spacing w:after="0" w:line="182" w:lineRule="auto"/>
        <w:tabs>
          <w:tab w:leader="none" w:pos="780" w:val="left"/>
        </w:tabs>
        <w:numPr>
          <w:ilvl w:val="0"/>
          <w:numId w:val="49"/>
        </w:numPr>
        <w:rPr>
          <w:rFonts w:ascii="Arial" w:cs="Arial" w:eastAsia="Arial" w:hAnsi="Arial"/>
          <w:sz w:val="34"/>
          <w:szCs w:val="34"/>
          <w:b w:val="1"/>
          <w:bCs w:val="1"/>
          <w:color w:val="auto"/>
        </w:rPr>
      </w:pPr>
      <w:r>
        <w:rPr>
          <w:rFonts w:ascii="Arial" w:cs="Arial" w:eastAsia="Arial" w:hAnsi="Arial"/>
          <w:sz w:val="17"/>
          <w:szCs w:val="17"/>
          <w:b w:val="1"/>
          <w:bCs w:val="1"/>
          <w:color w:val="auto"/>
        </w:rPr>
        <w:t>Business Combinations and Asset Acquisitions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Asset Acquisitions</w:t>
      </w:r>
    </w:p>
    <w:p>
      <w:pPr>
        <w:spacing w:after="0" w:line="121"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Effective November 4, 2020, during the first quarter of fiscal 2021, the company completed the acquisition of Turflynx, Lda, a developer of innovative autonomous solutions for turf management and effective March 1, 2021, during the second quarter of fiscal 2021, the company completed the acquisition of Left Hand Robotics, Inc., a developer of innovative autonomous solutions for turf and snow management. These acquisitions complement and support the development of alternative power, smart-connected, and autonomous products within the company's Professional and Residential segments. Neither of these acquisitions met the definition of a business combination as substantially all of the fair value of the gross assets acquired in each acquisition was concentrated in the respective finite-lived developed technology other intangible asset and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 Products, Inc. ("Venture Products")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2020 ("Venture Products closing date"), pursuant to an Agreement and Plan of Merger ("Venture Products merger agreement") and an agreement to purchase the real property used by Venture Products ("Venture Products purchase agreement") both dated January 20, 2020, the company completed its acquisition of Venture Products ("Venture Products transaction"), a privately held Ohio corporation and the manufacturer of Ventrac-branded products. Venture Products designs, manufactures, markets, and sells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Venture Products transaction was structured as a merger, pursuant to which a wholly-owned subsidiary of the company merged with and into Venture Products, with Venture Products continuing as the surviving entity and a wholly-owned subsidiary of the company. As a result of the merger, all of the outstanding equity securities of Venture Products were canceled and only represented the right to receive the applicable consideration as described in the Venture Products merger agreement. The Venture Products purchase agreement was with an affiliate of Venture Products and was for the real estate used by Venture Products. As of the Venture Products closing date, the company paid preliminary merger consideration of $165.9 million, which consisted of a cash payment of $136.4 million ("initial cash payment") and a $29.5 million holdback to satisfy any indemnification or certain other obligations of Venture Products to the company. The preliminary merger consideration was subject to certain customary adjustments, which were finalized during the third quarter of fiscal 2020 and resulted in an aggregate merger consideration of $163.2 million ("Venture Products purchase price") and at such time, $4.5 million of the holdback set aside for such customary adjustments was released accordingly. During fiscal 2021, $24.9 million of cash consideration was paid to the former Venture Products shareholders to release the remaining holdback amount upon the satisfaction of indemnification and certain other obligations of Venture Products to the company. The company funded the cash payment with borrowings under its revolving credit facility and net cash provided by operating activities. For additional information regarding the company's revolving credit facility,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acquisition, the company incurred $0.6 million of acquisition-related transaction costs, all of which were incurred during the fiscal year ended October 31, 2020 and recorded within selling, general and administrative expense within the Consolidated Statements of Earnings for such fiscal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Products Purchase Price Allocation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accounted for the acquisition in accordance with the accounting standards codification guidance for business combinations, whereby the Venture Products purchase price was allocated to the acquired net tangible and intangible assets of Venture Products based on their estimated fair values as of the Venture Products closing date. Such fair values were based on internal company and independent external third-party valuations. The following table summarizes the allocation of the Venture Products purchase price to the fair values assigned to the Venture Products assets acquired and liabilities assumed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2, 2020</w:t>
            </w:r>
          </w:p>
        </w:tc>
      </w:tr>
      <w:tr>
        <w:trPr>
          <w:trHeight w:val="184"/>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Receivables</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6,342</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26,976</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61,225</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Finite-lived customer-related</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19,100</w:t>
            </w:r>
          </w:p>
        </w:tc>
      </w:tr>
      <w:tr>
        <w:trPr>
          <w:trHeight w:val="19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Indefinite-lived trade name</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56,200</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(4,075)</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w:t>
            </w:r>
          </w:p>
        </w:tc>
      </w:tr>
      <w:tr>
        <w:trPr>
          <w:trHeight w:val="18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 liabilities</w:t>
            </w: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(20,586)</w:t>
            </w:r>
          </w:p>
        </w:tc>
      </w:tr>
      <w:tr>
        <w:trPr>
          <w:trHeight w:val="18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fair value of net assets acquired</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166,701</w:t>
            </w:r>
          </w:p>
        </w:tc>
      </w:tr>
      <w:tr>
        <w:trPr>
          <w:trHeight w:val="186"/>
        </w:trPr>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Less: cash and cash equivalents acquired</w:t>
            </w: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(3,476)</w:t>
            </w:r>
          </w:p>
        </w:tc>
      </w:tr>
      <w:tr>
        <w:trPr>
          <w:trHeight w:val="208"/>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Venture Products purchase price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163,225</w:t>
            </w: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acquisition of Venture Products was recognized within the company's Professional segment and is non-deductible for tax purposes. During the first quarter of fiscal 2021, the company completed its valuation of income taxes to finalize the Venture Products purchase price allocation, which resulted in a decrease to the carrying amount of goodwill of $1.0 million from $412.1 million as of October 31, 2020. Such purchase accounting adjustment did not impact the company's Consolidated Statements of Earnings for fiscal 2021.</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allocation of the Venture Products purchase price to the net assets acquired resulted in the recognition of $75.3 million of other intangible assets as of the Venture Products closing date. The fair values of the acquired trade name and customer-related intangible assets were determined using the income approach whereby an intangible asset's fair value is equal to the present value of future economic benefits expected to be derived from ownership of the asset. The useful lives of the acquired trade name and customer-related intangible assets were determined based on the period of</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 The fair value of the indefinite-lived trade name was determined using the relief from royalty method, which is based on the hypothetical royalty stream that would be received if the company were to license the trade name and was based on expected future revenues. The fair value of the customer-related intangible asset was determined using the excess earnings method and was based on the expected operating cash flows attributable to the customer-related intangible asset, which was determined by deducting expected economic costs, including operating expenses and contributory asset charges, from revenue expected to be generated from the customer-related intangible asset. As of the Venture Products closing date, the weighted-average useful life of the finite-lived customer-related intangible asset was determined to be 16.0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Charles Machine Works, Inc. ("CMW")</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 2019 ("CMW closing date"), pursuant to the Agreement and Plan of Merger dated February 14, 2019 ("CMW merger agreement"), the company completed the acquisition of CMW ("CMW transaction"), a privately held Oklahoma corporation. CMW designs, manufactures, and markets a range of professional products to serve the underground construction market, including horizontal directional drills, walk and ride trenchers, stand-on skid steers, vacuum excavators, asset locators, pipe rehabilitation solutions, and after-market tools. CMW provides innovative product offerings that broadened and strengthened the company's Professional segment product portfolio and expanded its dealer network, while also providing a complementary geographic manufacturing footprint.</w:t>
      </w:r>
    </w:p>
    <w:p>
      <w:pPr>
        <w:spacing w:after="0" w:line="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CMW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only represented the right to receive the applicable consideration as described in the CMW merger agreement. At the CMW closing date, the company paid preliminary merger consideration of $679.3 million. The preliminary merger consideration was subject to certain customary adjustments that were finalized during the fourth quarter of fiscal 2019, which resulted in an aggregate merger consideration of $685.0 million ("CMW purchase price"). The company funded the CMW purchase price by using a combination of cash proceeds from the issuance of borrowings under the company's $500.0 million unsecured senior term loan credit agreement and borrowings from the company's revolving credit facility. For additional information regarding the financing agreements utilized to fund the CMW purchase price,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As a result of the acquisition, the company incurred $10.2 million of acquisition-related transaction costs, all of which were incurred during the fiscal year ended October 31, 2019 and recorded within selling, general and administrative expense within the Consolidated Statements of Earnings for such fiscal period.</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CMW Purchase Price Allocation</w:t>
      </w:r>
    </w:p>
    <w:p>
      <w:pPr>
        <w:spacing w:after="0" w:line="117"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The company accounted for the acquisition in accordance with the accounting standards codification guidance for business combinations, whereby the CMW purchase price was allocated to the acquired net tangible and intangible assets of CMW based on their estimated fair values as of the CMW closing date. Such fair values were based on internal company and independent external third-party valuations. The following table summarizes the allocation of the CMW purchase price to the fair values assigned to the CMW assets acquired and liabilities assumed (in thousands):</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April 1, 2019</w:t>
            </w:r>
          </w:p>
        </w:tc>
      </w:tr>
      <w:tr>
        <w:trPr>
          <w:trHeight w:val="184"/>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16,341</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Receivables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65,674</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241,429</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8,050</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142,779</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134,657</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other intangible assets: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Trade names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103,700</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Finite-lived other intangible assets: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Customer-related</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130,800</w:t>
            </w:r>
          </w:p>
        </w:tc>
      </w:tr>
      <w:tr>
        <w:trPr>
          <w:trHeight w:val="19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Developed technology</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20,900</w:t>
            </w: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Trade names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5,200</w:t>
            </w:r>
          </w:p>
        </w:tc>
      </w:tr>
      <w:tr>
        <w:trPr>
          <w:trHeight w:val="19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Backlog</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7,971</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(35,892)</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Accrued liabilities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(51,943)</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(85,277)</w:t>
            </w:r>
          </w:p>
        </w:tc>
      </w:tr>
      <w:tr>
        <w:trPr>
          <w:trHeight w:val="18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long-term liabilities</w:t>
            </w: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(6,665)</w:t>
            </w:r>
          </w:p>
        </w:tc>
      </w:tr>
      <w:tr>
        <w:trPr>
          <w:trHeight w:val="18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fair value of net assets acquired</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701,314</w:t>
            </w:r>
          </w:p>
        </w:tc>
      </w:tr>
      <w:tr>
        <w:trPr>
          <w:trHeight w:val="186"/>
        </w:trPr>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Less: cash and cash equivalents acquired</w:t>
            </w: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(16,341)</w:t>
            </w:r>
          </w:p>
        </w:tc>
      </w:tr>
      <w:tr>
        <w:trPr>
          <w:trHeight w:val="208"/>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CMW purchase price</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684,973</w:t>
            </w: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The goodwill recognized is primarily attributable to the value of the workforce, the reputation of CMW and its brands, customer and dealer growth opportunities, and expected synergies. Key areas of expected cost synergies include increased purchasing power for commodities, components, parts, and accessories, supply chain consolidation, and administrative efficiencies. The goodwill resulting from the acquisition of CMW was recognized within the company's Professional segment and is mostly non-deductible for tax purposes. During the second quarter of fiscal 2020, the company completed its valuation of income taxes to finalize the CMW purchase price allocation, which resulted in a decrease to the carrying amount of Professional segment goodwill of $0.9 million from $350.3 million as of October 31, 2019. Such purchase accounting adjustment did not impact the company's Consolidated Statements of Earnings for fiscal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allocation of the purchase price to the net assets acquired resulted in the recognition of $264.2 million of other intangible assets as of the CMW closing date. The fair values of the acquired trade name, customer-related, developed technology and backlog intangible assets were determined using the income approach whereby an intangible asset's fair value is equal to the present value of future economic benefits expected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CMW closing date, the acquired finite-lived intangible assets had a weighted average useful life of 16.6 years. The fair values of both the indefinite-lived and finite-live trade names were determined using the relief from royalty method, which is based on the hypothetical royalty stream that would be received if the company were to license the trade name and was based on expected future revenues. The weighted-average useful life of the finite-lived trade name intangible assets was determined to be 20.0 years as of the CMW closing date. The fair values of the finite-lived customer-related, developed technology, and backlog intangible assets were determined using the excess earnings method and were based on the expected operating cash flows attributable to the respective other intangible asset, which were determined by deducting expected economic costs, including operating expenses and contributory asset charges, from revenue expected to be generated from the respective intangible asset. As of the CMW closing date, the weighted-average useful lives of the finite-lived customer-related, developed technology, and backlog intangible assets were determined to be 18.3 years, 7.8 years, and 6 months,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Unaudited pro forma financial information represents the company's fiscal 2019 acquisition of CMW as though the acquisition had taken place at the beginning of fiscal 2018 and has been provided for comparative purposes only. The unaudited pro forma financial information is only presented for the fiscal year ended October 31, 2019 as CMW's results are included within the Company's Results of Operations for fiscal 2021 and 2020. The unaudited pro forma financial information is not necessarily indicative of the results that would have been achieved had the acquisition actually taken place at the beginning of fiscal 2018 and the unaudited pro forma financial information does not purport to be indicative of future Consolidated Results of Operations. The unaudited pro forma financial information does not reflect any synergies, operating efficiencies, and/or cost savings that have been and may continue to be realized from the integration of the acquisition.</w:t>
      </w:r>
    </w:p>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results for the fiscal year ended October 31, 2019 were adjusted to exclude the pro forma impact of the take-down of the inventory fair value step-up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amount and amortization of the backlog intangible asset; include the pro forma impact of amortization of other intangible assets, excluding backlog, based on the purchase price allocations and useful lives; include the pro forma impact of the depreciation of property, plant, and equipment based on the purchase price allocations and useful lives; include the pro forma impact of additional interest expense relating to the acquisition; exclude the pro forma impact of transaction costs incurred by the company directly attributable to the acquisition; and include the pro forma tax effect of both earnings before income taxes and the pro forma adjustments.</w:t>
      </w:r>
    </w:p>
    <w:p>
      <w:pPr>
        <w:spacing w:after="0" w:line="58"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following table presents unaudited pro forma financial information for fiscal 2019 (in thousands, except per share data):</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54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October 31, 2019</w:t>
            </w: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3,437,335</w:t>
            </w:r>
          </w:p>
        </w:tc>
      </w:tr>
      <w:tr>
        <w:trPr>
          <w:trHeight w:val="189"/>
        </w:trPr>
        <w:tc>
          <w:tcPr>
            <w:tcW w:w="3540" w:type="dxa"/>
            <w:vAlign w:val="bottom"/>
          </w:tcPr>
          <w:p>
            <w:pPr>
              <w:ind w:left="20"/>
              <w:spacing w:after="0" w:line="189" w:lineRule="exact"/>
              <w:rPr>
                <w:sz w:val="20"/>
                <w:szCs w:val="20"/>
                <w:color w:val="auto"/>
              </w:rPr>
            </w:pPr>
            <w:r>
              <w:rPr>
                <w:rFonts w:ascii="Arial" w:cs="Arial" w:eastAsia="Arial" w:hAnsi="Arial"/>
                <w:sz w:val="14"/>
                <w:szCs w:val="14"/>
                <w:color w:val="auto"/>
              </w:rPr>
              <w:t>Net earnings</w:t>
            </w:r>
            <w:r>
              <w:rPr>
                <w:rFonts w:ascii="Arial" w:cs="Arial" w:eastAsia="Arial" w:hAnsi="Arial"/>
                <w:sz w:val="18"/>
                <w:szCs w:val="18"/>
                <w:color w:val="auto"/>
                <w:vertAlign w:val="superscript"/>
              </w:rPr>
              <w:t>1</w:t>
            </w:r>
          </w:p>
        </w:tc>
        <w:tc>
          <w:tcPr>
            <w:tcW w:w="10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363,452</w:t>
            </w: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earnings per share of common stock</w:t>
            </w: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r>
      <w:tr>
        <w:trPr>
          <w:trHeight w:val="189"/>
        </w:trPr>
        <w:tc>
          <w:tcPr>
            <w:tcW w:w="35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Diluted net earnings per share of common stock</w:t>
            </w:r>
            <w:r>
              <w:rPr>
                <w:rFonts w:ascii="Arial" w:cs="Arial" w:eastAsia="Arial" w:hAnsi="Arial"/>
                <w:sz w:val="18"/>
                <w:szCs w:val="18"/>
                <w:color w:val="auto"/>
                <w:vertAlign w:val="superscript"/>
              </w:rPr>
              <w:t>1</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r>
    </w:tbl>
    <w:p>
      <w:pPr>
        <w:spacing w:after="0" w:line="203" w:lineRule="exact"/>
        <w:rPr>
          <w:sz w:val="20"/>
          <w:szCs w:val="20"/>
          <w:color w:val="auto"/>
        </w:rPr>
      </w:pPr>
    </w:p>
    <w:p>
      <w:pPr>
        <w:ind w:left="500" w:hanging="332"/>
        <w:spacing w:after="0" w:line="257" w:lineRule="auto"/>
        <w:tabs>
          <w:tab w:leader="none" w:pos="379"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On January 1, 2019, CMW amended its retiree medical plans so that no employee hired, or rehired, after that date would be eligible for such retiree medical plans. CMW further amended its retiree medical plans on February 14, 2019 so that no employee who terminates employment after February 14, 2019 is eligible to participate in the retiree medical plans and to terminate its retiree medical plans effective December 31, 2019. The amendments and resulting termination of CMW's retiree medical plans resulted in a gain of $45.8 million. This gain is reflected within net earnings in the unaudited pro forma financial information for the fiscal year ended October 31, 2019. The impact on diluted net earnings per share of common stock for the fiscal year ended October 31, 2019 was $0.42 per diluted share of common stock.</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Northeastern U.S. Distribution Company</w:t>
      </w:r>
    </w:p>
    <w:p>
      <w:pPr>
        <w:spacing w:after="0" w:line="121"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Effective November 30, 2018, during the first quarter of fiscal 2019, the company completed the acquisition of substantially all of the assets of, and assumed certain liabilities of, a Northeastern U.S. distribution company.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and as a result, additional purchase accounting disclosures have been omitted.</w:t>
      </w:r>
    </w:p>
    <w:p>
      <w:pPr>
        <w:spacing w:after="0" w:line="110" w:lineRule="exact"/>
        <w:rPr>
          <w:sz w:val="20"/>
          <w:szCs w:val="20"/>
          <w:color w:val="auto"/>
        </w:rPr>
      </w:pPr>
    </w:p>
    <w:p>
      <w:pPr>
        <w:ind w:left="780" w:hanging="594"/>
        <w:spacing w:after="0"/>
        <w:tabs>
          <w:tab w:leader="none" w:pos="780" w:val="left"/>
        </w:tabs>
        <w:numPr>
          <w:ilvl w:val="0"/>
          <w:numId w:val="51"/>
        </w:numPr>
        <w:rPr>
          <w:rFonts w:ascii="Arial" w:cs="Arial" w:eastAsia="Arial" w:hAnsi="Arial"/>
          <w:sz w:val="43"/>
          <w:szCs w:val="43"/>
          <w:b w:val="1"/>
          <w:bCs w:val="1"/>
          <w:color w:val="auto"/>
        </w:rPr>
      </w:pPr>
      <w:r>
        <w:rPr>
          <w:rFonts w:ascii="Arial" w:cs="Arial" w:eastAsia="Arial" w:hAnsi="Arial"/>
          <w:sz w:val="20"/>
          <w:szCs w:val="20"/>
          <w:b w:val="1"/>
          <w:bCs w:val="1"/>
          <w:color w:val="auto"/>
        </w:rPr>
        <w:t>Segment Data</w:t>
      </w:r>
    </w:p>
    <w:p>
      <w:pPr>
        <w:spacing w:after="0" w:line="90"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eleven operating segments and has aggregated certain of those operating segments into two</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w:t>
      </w:r>
    </w:p>
    <w:p>
      <w:pPr>
        <w:spacing w:after="0" w:line="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Professional reportable business segment consists of turf and landscape equipment; rental, specialty, and underground construction equipment; snow and ice management equipment; and irrigation and lighting products. Turf and landscape equipment products include sports fields and grounds mowing and maintenance equipment, golf course mowing and maintenance equipment, landscape contractor mowing equipment, landscape creation and renovation equipment, and other maintenance equipment. Rental, specialty, and underground construction equipment products include horizontal directional drills, walk and ride trenchers, stand-on skid steers, vacuum excavators, stump grinders, turf renovation products, asset locators, pipe rehabilitation solutions, materials handling equipment, and other after-market tools. Snow and ice management equipment products primarily include snowplows; stand-on snow and ice removal equipment, including the related snowplow, snow brush, and snow thrower attachments; salt and sand spreaders; and related parts and accessories for light and medium duty trucks, utility task vehicles, skid steers, and front-end loaders. Irrigation and lighting products consist of sprinkler heads, electric and hydraulic valves, controllers, computer irrigation central control systems, coupling systems, and ag-irrigation drip tape and hose products, as well as professionally installed landscape lighting products offered through distributors and landscape contractors that also purchase irrigation products. Professional reportable business segment products are marketed and sold mainly through a network of distributors and dealers to professional users engaged in maintaining golf courses, sports fields, municipal properties, agricultural fields, residential and commercial landscapes, and removing snow and ice, as well as directly to government customers, rental companies, and large retailers.</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Residential reportable business segment primarily consists of walk power mowers, zero-turn riding mowers, snow throwers, replacement parts, and home solutions products, including grass trimmers, hedge trimmers, leaf blowers, blower-vacuums, chainsaws, string trimmers, and underground, hose, and hose-end retail irrigation products sold in Australia and New Zealand. Residential reportable business segment products are marketed and sold to homeowners through a network of distributors and dealers, and through a broad array of home centers, hardware retailers, and mass retailers, as well as online.</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As further described in Note 7, </w:t>
      </w:r>
      <w:r>
        <w:rPr>
          <w:rFonts w:ascii="Arial" w:cs="Arial" w:eastAsia="Arial" w:hAnsi="Arial"/>
          <w:sz w:val="16"/>
          <w:szCs w:val="16"/>
          <w:i w:val="1"/>
          <w:iCs w:val="1"/>
          <w:color w:val="auto"/>
        </w:rPr>
        <w:t>Management Actions</w:t>
      </w:r>
      <w:r>
        <w:rPr>
          <w:rFonts w:ascii="Arial" w:cs="Arial" w:eastAsia="Arial" w:hAnsi="Arial"/>
          <w:sz w:val="16"/>
          <w:szCs w:val="16"/>
          <w:color w:val="auto"/>
        </w:rPr>
        <w:t>, during the first quarter of fiscal 2021, the company completed the sale of its Northeastern U.S. distribution company. As a result, for the fiscal year ended October 31, 2021, the company's Other activities consisted of the company's wholly-owned domestic distribution company, the company's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corporate activities, and the elimination of intersegment revenues and expenses. For the fiscal year ended October 31, 2020, the company's Other activities consisted of the company's wholly-owned domestic distribution companies, the company's corporate activities, and the elimination of intersegment revenues and expenses. Corporate activities include general corporate expenditures (finance, human resources, legal, information services, public relations, business development, and similar activities) and other unallocated corporate assets and liabilities, such as corporate facilities and deferred tax assets and liabilities.</w:t>
      </w:r>
    </w:p>
    <w:p>
      <w:pPr>
        <w:spacing w:after="0" w:line="58"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 xml:space="preserve">The accounting policies of the reportable business segments are the same as those described in the summary of significant accounting policies in Note 1, </w:t>
      </w:r>
      <w:r>
        <w:rPr>
          <w:rFonts w:ascii="Arial" w:cs="Arial" w:eastAsia="Arial" w:hAnsi="Arial"/>
          <w:sz w:val="16"/>
          <w:szCs w:val="16"/>
          <w:i w:val="1"/>
          <w:iCs w:val="1"/>
          <w:color w:val="auto"/>
        </w:rPr>
        <w:t>Summary of Significant Accounting Policies and Related Data</w:t>
      </w:r>
      <w:r>
        <w:rPr>
          <w:rFonts w:ascii="Arial" w:cs="Arial" w:eastAsia="Arial" w:hAnsi="Arial"/>
          <w:sz w:val="16"/>
          <w:szCs w:val="16"/>
          <w:color w:val="auto"/>
        </w:rPr>
        <w:t>. The company evaluates the performance of its Professional and Residential reportable business segment results based on earnings from operations plus other income, net. The reportable business segment's operating profits or losses include direct costs incurred at the reportable business segment's operating level plus allocated expenses, such as profit sharing and manufacturing expenses. The allocated expenses represent costs that these operations would have incurred otherwise, but do not include general corporate expenses, interest expense, and income taxes. Operating loss for the company's Other activities includes earnings (loss) from the company's domestic wholly-owned distribution companies, corporate activities, other income, and interest expense. The company accounts for intersegment gross sales at current market prices.</w:t>
      </w:r>
    </w:p>
    <w:p>
      <w:pPr>
        <w:spacing w:after="0" w:line="59"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following tables present summarized financial information concerning the company's reportable business segments and Other activities (in thousands):</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3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 Ended</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w w:val="92"/>
              </w:rPr>
              <w:t>Residential</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3"/>
                <w:szCs w:val="13"/>
                <w:b w:val="1"/>
                <w:bCs w:val="1"/>
                <w:color w:val="auto"/>
              </w:rPr>
              <w:t>Other</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2,929,600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1,010,077</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19,907</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3,959,584</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30,530</w:t>
            </w:r>
          </w:p>
        </w:tc>
        <w:tc>
          <w:tcPr>
            <w:tcW w:w="200" w:type="dxa"/>
            <w:vAlign w:val="bottom"/>
          </w:tcPr>
          <w:p>
            <w:pPr>
              <w:spacing w:after="0"/>
              <w:rPr>
                <w:sz w:val="11"/>
                <w:szCs w:val="1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color w:val="auto"/>
              </w:rPr>
              <w:t>44</w:t>
            </w:r>
          </w:p>
        </w:tc>
        <w:tc>
          <w:tcPr>
            <w:tcW w:w="240" w:type="dxa"/>
            <w:vAlign w:val="bottom"/>
          </w:tcPr>
          <w:p>
            <w:pPr>
              <w:spacing w:after="0"/>
              <w:rPr>
                <w:sz w:val="11"/>
                <w:szCs w:val="11"/>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3"/>
                <w:szCs w:val="13"/>
                <w:color w:val="auto"/>
              </w:rPr>
              <w:t>(30,574)</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507,327</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121,516</w:t>
            </w:r>
          </w:p>
        </w:tc>
        <w:tc>
          <w:tcPr>
            <w:tcW w:w="2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(129,025)</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499,818</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2,032,350</w:t>
            </w:r>
          </w:p>
        </w:tc>
        <w:tc>
          <w:tcPr>
            <w:tcW w:w="20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388,246</w:t>
            </w:r>
          </w:p>
        </w:tc>
        <w:tc>
          <w:tcPr>
            <w:tcW w:w="24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515,544</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2,936,140</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79,515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16,730</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7,767</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104,012</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Depreciation and</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73,747</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color w:val="auto"/>
              </w:rPr>
              <w:t>13,470</w:t>
            </w:r>
          </w:p>
        </w:tc>
        <w:tc>
          <w:tcPr>
            <w:tcW w:w="2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color w:val="auto"/>
              </w:rPr>
              <w:t>12,099</w:t>
            </w:r>
          </w:p>
        </w:tc>
        <w:tc>
          <w:tcPr>
            <w:tcW w:w="2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99,316</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3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Fiscal Year Ended</w:t>
            </w:r>
          </w:p>
        </w:tc>
        <w:tc>
          <w:tcPr>
            <w:tcW w:w="220" w:type="dxa"/>
            <w:vAlign w:val="bottom"/>
          </w:tcPr>
          <w:p>
            <w:pPr>
              <w:spacing w:after="0"/>
              <w:rPr>
                <w:sz w:val="11"/>
                <w:szCs w:val="11"/>
                <w:color w:val="auto"/>
              </w:rPr>
            </w:pP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Pr>
          <w:p>
            <w:pPr>
              <w:spacing w:after="0"/>
              <w:rPr>
                <w:sz w:val="11"/>
                <w:szCs w:val="11"/>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95"/>
              </w:rPr>
              <w:t>Residential</w:t>
            </w:r>
          </w:p>
        </w:tc>
        <w:tc>
          <w:tcPr>
            <w:tcW w:w="24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2020</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2,523,452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820,745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34,613</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3,378,810</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46,703</w:t>
            </w:r>
          </w:p>
        </w:tc>
        <w:tc>
          <w:tcPr>
            <w:tcW w:w="200" w:type="dxa"/>
            <w:vAlign w:val="bottom"/>
          </w:tcPr>
          <w:p>
            <w:pPr>
              <w:spacing w:after="0"/>
              <w:rPr>
                <w:sz w:val="11"/>
                <w:szCs w:val="11"/>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80</w:t>
            </w:r>
          </w:p>
        </w:tc>
        <w:tc>
          <w:tcPr>
            <w:tcW w:w="24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3"/>
                <w:szCs w:val="13"/>
                <w:color w:val="auto"/>
              </w:rPr>
              <w:t>(46,783)</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426,560</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113,669</w:t>
            </w:r>
          </w:p>
        </w:tc>
        <w:tc>
          <w:tcPr>
            <w:tcW w:w="2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(133,159)</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407,070</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1,940,844</w:t>
            </w:r>
          </w:p>
        </w:tc>
        <w:tc>
          <w:tcPr>
            <w:tcW w:w="2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282,061</w:t>
            </w:r>
          </w:p>
        </w:tc>
        <w:tc>
          <w:tcPr>
            <w:tcW w:w="24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630,323</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2,853,228</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49,975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13,669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14,424</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78,068</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Depreciation and</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70,460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12,607</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3"/>
              <w:spacing w:after="0"/>
              <w:rPr>
                <w:sz w:val="20"/>
                <w:szCs w:val="20"/>
                <w:color w:val="auto"/>
              </w:rPr>
            </w:pPr>
            <w:r>
              <w:rPr>
                <w:rFonts w:ascii="Arial" w:cs="Arial" w:eastAsia="Arial" w:hAnsi="Arial"/>
                <w:sz w:val="13"/>
                <w:szCs w:val="13"/>
                <w:color w:val="auto"/>
              </w:rPr>
              <w:t>12,548</w:t>
            </w:r>
          </w:p>
        </w:tc>
        <w:tc>
          <w:tcPr>
            <w:tcW w:w="2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95,615</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 Ended</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w w:val="89"/>
              </w:rPr>
              <w:t>Professional</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w w:val="92"/>
              </w:rPr>
              <w:t>Residential</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3"/>
                <w:szCs w:val="13"/>
                <w:b w:val="1"/>
                <w:bCs w:val="1"/>
                <w:color w:val="auto"/>
              </w:rPr>
              <w:t>Other</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2019</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2,443,448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661,274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33,362</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3,138,084</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59,453</w:t>
            </w:r>
          </w:p>
        </w:tc>
        <w:tc>
          <w:tcPr>
            <w:tcW w:w="20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310</w:t>
            </w:r>
          </w:p>
        </w:tc>
        <w:tc>
          <w:tcPr>
            <w:tcW w:w="22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3"/>
                <w:szCs w:val="13"/>
                <w:color w:val="auto"/>
              </w:rPr>
              <w:t>(59,763)</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380,914</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65,151</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(123,932)</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322,133</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1,592,065</w:t>
            </w:r>
          </w:p>
        </w:tc>
        <w:tc>
          <w:tcPr>
            <w:tcW w:w="2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430,495</w:t>
            </w:r>
          </w:p>
        </w:tc>
        <w:tc>
          <w:tcPr>
            <w:tcW w:w="22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307,987</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2,330,547</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57,246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16,970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18,665</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92,881</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Depreciation and</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63,885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11,897</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3"/>
              <w:spacing w:after="0"/>
              <w:rPr>
                <w:sz w:val="20"/>
                <w:szCs w:val="20"/>
                <w:color w:val="auto"/>
              </w:rPr>
            </w:pPr>
            <w:r>
              <w:rPr>
                <w:rFonts w:ascii="Arial" w:cs="Arial" w:eastAsia="Arial" w:hAnsi="Arial"/>
                <w:sz w:val="13"/>
                <w:szCs w:val="13"/>
                <w:color w:val="auto"/>
              </w:rPr>
              <w:t>11,916</w:t>
            </w:r>
          </w:p>
        </w:tc>
        <w:tc>
          <w:tcPr>
            <w:tcW w:w="2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87,698</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2021, sales to one customer in the Residential segment accounted for 10.6 percent of total consolidated gross sales. During fiscal 2020 and 2019, no customer accounted for 10.0 percent or more of total consolidated gross sales.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details of operating loss before income taxes for the company's Other activities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6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7"/>
              </w:rPr>
              <w:t>Fiscal Years Ended October</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(112,419)</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(108,396)</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(124,422)</w:t>
            </w: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(28,659)</w:t>
            </w:r>
          </w:p>
        </w:tc>
        <w:tc>
          <w:tcPr>
            <w:tcW w:w="3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(33,156)</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(28,835)</w:t>
            </w:r>
          </w:p>
        </w:tc>
        <w:tc>
          <w:tcPr>
            <w:tcW w:w="0" w:type="dxa"/>
            <w:vAlign w:val="bottom"/>
          </w:tcPr>
          <w:p>
            <w:pPr>
              <w:spacing w:after="0"/>
              <w:rPr>
                <w:sz w:val="1"/>
                <w:szCs w:val="1"/>
                <w:color w:val="auto"/>
              </w:rPr>
            </w:pPr>
          </w:p>
        </w:tc>
      </w:tr>
      <w:tr>
        <w:trPr>
          <w:trHeight w:val="138"/>
        </w:trPr>
        <w:tc>
          <w:tcPr>
            <w:tcW w:w="1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Earnings from wholly-owned</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domestic distribution</w:t>
            </w: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companies and other income,</w:t>
            </w:r>
          </w:p>
        </w:tc>
        <w:tc>
          <w:tcPr>
            <w:tcW w:w="3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12,053</w:t>
            </w:r>
          </w:p>
        </w:tc>
        <w:tc>
          <w:tcPr>
            <w:tcW w:w="3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8,393</w:t>
            </w:r>
          </w:p>
        </w:tc>
        <w:tc>
          <w:tcPr>
            <w:tcW w:w="3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29,325</w:t>
            </w:r>
          </w:p>
        </w:tc>
        <w:tc>
          <w:tcPr>
            <w:tcW w:w="0" w:type="dxa"/>
            <w:vAlign w:val="bottom"/>
          </w:tcPr>
          <w:p>
            <w:pPr>
              <w:spacing w:after="0"/>
              <w:rPr>
                <w:sz w:val="1"/>
                <w:szCs w:val="1"/>
                <w:color w:val="auto"/>
              </w:rPr>
            </w:pPr>
          </w:p>
        </w:tc>
      </w:tr>
      <w:tr>
        <w:trPr>
          <w:trHeight w:val="186"/>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loss</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(129,025)</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(133,159)</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(123,932)</w:t>
            </w:r>
          </w:p>
        </w:tc>
        <w:tc>
          <w:tcPr>
            <w:tcW w:w="0" w:type="dxa"/>
            <w:vAlign w:val="bottom"/>
          </w:tcPr>
          <w:p>
            <w:pPr>
              <w:spacing w:after="0"/>
              <w:rPr>
                <w:sz w:val="1"/>
                <w:szCs w:val="1"/>
                <w:color w:val="auto"/>
              </w:rPr>
            </w:pPr>
          </w:p>
        </w:tc>
      </w:tr>
      <w:tr>
        <w:trPr>
          <w:trHeight w:val="24"/>
        </w:trPr>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geographic area data includes net sales based on product shipment destination and long-lived assets, which consist of property, plant and equipment, net, and is based on physical location in addition to allocated capital tooling from U.S. plant facilities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50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Fiscal Years Ended</w:t>
            </w:r>
          </w:p>
        </w:tc>
        <w:tc>
          <w:tcPr>
            <w:tcW w:w="4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w w:val="91"/>
              </w:rPr>
              <w:t>United States</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w w:val="99"/>
              </w:rPr>
              <w:t>International</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Countries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2021</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3,131,954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827,630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3,959,584</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440,555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47,176</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487,731</w:t>
            </w: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4"/>
                <w:szCs w:val="14"/>
                <w:i w:val="1"/>
                <w:iCs w:val="1"/>
                <w:color w:val="auto"/>
              </w:rPr>
              <w:t>2020</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2,700,694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678,116</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3,378,810</w:t>
            </w:r>
          </w:p>
        </w:tc>
        <w:tc>
          <w:tcPr>
            <w:tcW w:w="0" w:type="dxa"/>
            <w:vAlign w:val="bottom"/>
          </w:tcPr>
          <w:p>
            <w:pPr>
              <w:spacing w:after="0"/>
              <w:rPr>
                <w:sz w:val="1"/>
                <w:szCs w:val="1"/>
                <w:color w:val="auto"/>
              </w:rPr>
            </w:pPr>
          </w:p>
        </w:tc>
      </w:tr>
      <w:tr>
        <w:trPr>
          <w:trHeight w:val="186"/>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Long-lived assets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426,378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41,541</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467,919</w:t>
            </w:r>
          </w:p>
        </w:tc>
        <w:tc>
          <w:tcPr>
            <w:tcW w:w="0" w:type="dxa"/>
            <w:vAlign w:val="bottom"/>
          </w:tcPr>
          <w:p>
            <w:pPr>
              <w:spacing w:after="0"/>
              <w:rPr>
                <w:sz w:val="1"/>
                <w:szCs w:val="1"/>
                <w:color w:val="auto"/>
              </w:rPr>
            </w:pPr>
          </w:p>
        </w:tc>
      </w:tr>
      <w:tr>
        <w:trPr>
          <w:trHeight w:val="186"/>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2019</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2,413,153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724,931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3,138,084</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395,937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41,380</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437,317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80" w:hanging="594"/>
        <w:spacing w:after="0"/>
        <w:tabs>
          <w:tab w:leader="none" w:pos="780" w:val="left"/>
        </w:tabs>
        <w:numPr>
          <w:ilvl w:val="0"/>
          <w:numId w:val="52"/>
        </w:numPr>
        <w:rPr>
          <w:rFonts w:ascii="Arial" w:cs="Arial" w:eastAsia="Arial" w:hAnsi="Arial"/>
          <w:sz w:val="43"/>
          <w:szCs w:val="43"/>
          <w:b w:val="1"/>
          <w:bCs w:val="1"/>
          <w:color w:val="auto"/>
        </w:rPr>
      </w:pPr>
      <w:r>
        <w:rPr>
          <w:rFonts w:ascii="Arial" w:cs="Arial" w:eastAsia="Arial" w:hAnsi="Arial"/>
          <w:sz w:val="20"/>
          <w:szCs w:val="20"/>
          <w:b w:val="1"/>
          <w:bCs w:val="1"/>
          <w:color w:val="auto"/>
        </w:rPr>
        <w:t>Revenue</w:t>
      </w:r>
    </w:p>
    <w:p>
      <w:pPr>
        <w:spacing w:after="0" w:line="184"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The company enters into contracts with its customers for the sale of products or rendering of services in the ordinary course of business. A contract with commercial substance exists at the time the company receives and accepts a purchase or sales order under a sales contract with a customer. The company recognizes revenue when, or as, performance obligations under the terms of a contract with its customer are satisfied, which generally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certain of the company's sales promotions and incentives programs offered to customers, as well as anticipated product returns, when applicable. The company recognizes a provision for estimated variable consideration at the time revenue is recognized as a reduction of the transaction price.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63"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disaggregate the company's reportable segment net sales by similar product type and geographic market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 Ended</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w w:val="94"/>
              </w:rPr>
              <w:t>Professional</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w w:val="95"/>
              </w:rPr>
              <w:t>Residential</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3"/>
                <w:szCs w:val="13"/>
                <w:b w:val="1"/>
                <w:bCs w:val="1"/>
                <w:color w:val="auto"/>
              </w:rPr>
              <w:t>Other</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2021</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Arial" w:cs="Arial" w:eastAsia="Arial" w:hAnsi="Arial"/>
                <w:sz w:val="13"/>
                <w:szCs w:val="13"/>
                <w:color w:val="auto"/>
              </w:rPr>
              <w:t>Equipment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2,530,777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975,832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11,720</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3,518,329</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398,823</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34,245</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8,187</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441,255</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2,929,600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1,010,077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19,907</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3,959,584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geographic market: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Arial" w:cs="Arial" w:eastAsia="Arial" w:hAnsi="Arial"/>
                <w:sz w:val="13"/>
                <w:szCs w:val="13"/>
                <w:color w:val="auto"/>
              </w:rPr>
              <w:t>United States</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2,268,878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843,169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19,907</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3,131,954</w:t>
            </w:r>
          </w:p>
        </w:tc>
        <w:tc>
          <w:tcPr>
            <w:tcW w:w="0" w:type="dxa"/>
            <w:vAlign w:val="bottom"/>
          </w:tcPr>
          <w:p>
            <w:pPr>
              <w:spacing w:after="0"/>
              <w:rPr>
                <w:sz w:val="1"/>
                <w:szCs w:val="1"/>
                <w:color w:val="auto"/>
              </w:rPr>
            </w:pPr>
          </w:p>
        </w:tc>
      </w:tr>
      <w:tr>
        <w:trPr>
          <w:trHeight w:val="145"/>
        </w:trPr>
        <w:tc>
          <w:tcPr>
            <w:tcW w:w="126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International</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660,722</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166,908</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827,630</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Countries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2,929,600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1,010,077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19,907</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3,959,584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2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Fiscal Year Ended</w:t>
            </w:r>
          </w:p>
        </w:tc>
        <w:tc>
          <w:tcPr>
            <w:tcW w:w="2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2"/>
              </w:rPr>
              <w:t>Professional</w:t>
            </w:r>
          </w:p>
        </w:tc>
        <w:tc>
          <w:tcPr>
            <w:tcW w:w="220" w:type="dxa"/>
            <w:vAlign w:val="bottom"/>
          </w:tcPr>
          <w:p>
            <w:pPr>
              <w:spacing w:after="0"/>
              <w:rPr>
                <w:sz w:val="11"/>
                <w:szCs w:val="11"/>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5"/>
              </w:rPr>
              <w:t>Residential</w:t>
            </w:r>
          </w:p>
        </w:tc>
        <w:tc>
          <w:tcPr>
            <w:tcW w:w="220" w:type="dxa"/>
            <w:vAlign w:val="bottom"/>
          </w:tcPr>
          <w:p>
            <w:pPr>
              <w:spacing w:after="0"/>
              <w:rPr>
                <w:sz w:val="11"/>
                <w:szCs w:val="11"/>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Arial" w:cs="Arial" w:eastAsia="Arial" w:hAnsi="Arial"/>
                <w:sz w:val="13"/>
                <w:szCs w:val="13"/>
                <w:color w:val="auto"/>
              </w:rPr>
              <w:t>Equipment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2,175,794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787,716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21,785</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2,985,295</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347,658</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33,029</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12,828</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393,515</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2,523,452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820,745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34,613</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3,378,810</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geographic market: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Arial" w:cs="Arial" w:eastAsia="Arial" w:hAnsi="Arial"/>
                <w:sz w:val="13"/>
                <w:szCs w:val="13"/>
                <w:color w:val="auto"/>
              </w:rPr>
              <w:t>United States</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1,976,690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689,391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34,613</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2,700,694</w:t>
            </w:r>
          </w:p>
        </w:tc>
        <w:tc>
          <w:tcPr>
            <w:tcW w:w="0" w:type="dxa"/>
            <w:vAlign w:val="bottom"/>
          </w:tcPr>
          <w:p>
            <w:pPr>
              <w:spacing w:after="0"/>
              <w:rPr>
                <w:sz w:val="1"/>
                <w:szCs w:val="1"/>
                <w:color w:val="auto"/>
              </w:rPr>
            </w:pPr>
          </w:p>
        </w:tc>
      </w:tr>
      <w:tr>
        <w:trPr>
          <w:trHeight w:val="145"/>
        </w:trPr>
        <w:tc>
          <w:tcPr>
            <w:tcW w:w="1260" w:type="dxa"/>
            <w:vAlign w:val="bottom"/>
            <w:shd w:val="clear" w:color="auto" w:fill="CCEEFF"/>
          </w:tcPr>
          <w:p>
            <w:pPr>
              <w:ind w:left="160"/>
              <w:spacing w:after="0" w:line="145" w:lineRule="exact"/>
              <w:rPr>
                <w:sz w:val="20"/>
                <w:szCs w:val="20"/>
                <w:color w:val="auto"/>
              </w:rPr>
            </w:pPr>
            <w:r>
              <w:rPr>
                <w:rFonts w:ascii="Arial" w:cs="Arial" w:eastAsia="Arial" w:hAnsi="Arial"/>
                <w:sz w:val="13"/>
                <w:szCs w:val="13"/>
                <w:color w:val="auto"/>
              </w:rPr>
              <w:t>International</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546,762</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131,354</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678,116</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Countries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2,523,452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820,745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34,613</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3,378,810</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2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Fiscal Year Ended</w:t>
            </w:r>
          </w:p>
        </w:tc>
        <w:tc>
          <w:tcPr>
            <w:tcW w:w="2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2"/>
              </w:rPr>
              <w:t>Professional</w:t>
            </w:r>
          </w:p>
        </w:tc>
        <w:tc>
          <w:tcPr>
            <w:tcW w:w="220" w:type="dxa"/>
            <w:vAlign w:val="bottom"/>
          </w:tcPr>
          <w:p>
            <w:pPr>
              <w:spacing w:after="0"/>
              <w:rPr>
                <w:sz w:val="11"/>
                <w:szCs w:val="11"/>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2"/>
              </w:rPr>
              <w:t>Residential</w:t>
            </w:r>
          </w:p>
        </w:tc>
        <w:tc>
          <w:tcPr>
            <w:tcW w:w="220" w:type="dxa"/>
            <w:vAlign w:val="bottom"/>
          </w:tcPr>
          <w:p>
            <w:pPr>
              <w:spacing w:after="0"/>
              <w:rPr>
                <w:sz w:val="11"/>
                <w:szCs w:val="11"/>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1"/>
                <w:szCs w:val="11"/>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2019</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40"/>
              <w:spacing w:after="0"/>
              <w:rPr>
                <w:sz w:val="20"/>
                <w:szCs w:val="20"/>
                <w:color w:val="auto"/>
              </w:rPr>
            </w:pPr>
            <w:r>
              <w:rPr>
                <w:rFonts w:ascii="Arial" w:cs="Arial" w:eastAsia="Arial" w:hAnsi="Arial"/>
                <w:sz w:val="13"/>
                <w:szCs w:val="13"/>
                <w:color w:val="auto"/>
              </w:rPr>
              <w:t>Equipment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2,097,965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628,521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21,449</w:t>
            </w:r>
          </w:p>
        </w:tc>
        <w:tc>
          <w:tcPr>
            <w:tcW w:w="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2,747,935</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345,483</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32,753</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11,913</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390,149</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2,443,448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661,274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33,362</w:t>
            </w:r>
          </w:p>
        </w:tc>
        <w:tc>
          <w:tcPr>
            <w:tcW w:w="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3,138,084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geographic market: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1,853,054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526,737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33,362</w:t>
            </w:r>
          </w:p>
        </w:tc>
        <w:tc>
          <w:tcPr>
            <w:tcW w:w="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2,413,153</w:t>
            </w:r>
          </w:p>
        </w:tc>
        <w:tc>
          <w:tcPr>
            <w:tcW w:w="0" w:type="dxa"/>
            <w:vAlign w:val="bottom"/>
          </w:tcPr>
          <w:p>
            <w:pPr>
              <w:spacing w:after="0"/>
              <w:rPr>
                <w:sz w:val="1"/>
                <w:szCs w:val="1"/>
                <w:color w:val="auto"/>
              </w:rPr>
            </w:pPr>
          </w:p>
        </w:tc>
      </w:tr>
      <w:tr>
        <w:trPr>
          <w:trHeight w:val="145"/>
        </w:trPr>
        <w:tc>
          <w:tcPr>
            <w:tcW w:w="1260" w:type="dxa"/>
            <w:vAlign w:val="bottom"/>
            <w:shd w:val="clear" w:color="auto" w:fill="CCEEFF"/>
          </w:tcPr>
          <w:p>
            <w:pPr>
              <w:ind w:left="140"/>
              <w:spacing w:after="0" w:line="145" w:lineRule="exact"/>
              <w:rPr>
                <w:sz w:val="20"/>
                <w:szCs w:val="20"/>
                <w:color w:val="auto"/>
              </w:rPr>
            </w:pPr>
            <w:r>
              <w:rPr>
                <w:rFonts w:ascii="Arial" w:cs="Arial" w:eastAsia="Arial" w:hAnsi="Arial"/>
                <w:sz w:val="13"/>
                <w:szCs w:val="13"/>
                <w:color w:val="auto"/>
              </w:rPr>
              <w:t>International</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590,394</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134,537</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724,931</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Countries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2,443,448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661,274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33,362</w:t>
            </w:r>
          </w:p>
        </w:tc>
        <w:tc>
          <w:tcPr>
            <w:tcW w:w="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3,138,084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In limited circumstances, the company ships some of its products on a consignment basis to a customer distribution center or warehouse whereby the company retains control of the product stored at the customer's distribution center or warehouse. As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company's products are removed from the distribution center or warehouse by the customer and shipped to the retail sale location, control is transferred from the company to the customer. At that time, the company invoices the customer and recognizes revenue for these consignment transactions. The company does not offer a right of return for products shipped to the customer's retail sale location from the distribution center or warehouse. The total value of consignment inventory as of October 31, 2021 and 2020 was $37.2 million and $24.6 million, respectively.</w:t>
      </w:r>
    </w:p>
    <w:p>
      <w:pPr>
        <w:spacing w:after="0" w:line="57" w:lineRule="exact"/>
        <w:rPr>
          <w:sz w:val="20"/>
          <w:szCs w:val="20"/>
          <w:color w:val="auto"/>
        </w:rPr>
      </w:pPr>
    </w:p>
    <w:p>
      <w:pPr>
        <w:jc w:val="both"/>
        <w:ind w:left="160"/>
        <w:spacing w:after="0" w:line="283" w:lineRule="auto"/>
        <w:rPr>
          <w:sz w:val="20"/>
          <w:szCs w:val="20"/>
          <w:color w:val="auto"/>
        </w:rPr>
      </w:pPr>
      <w:r>
        <w:rPr>
          <w:rFonts w:ascii="Arial" w:cs="Arial" w:eastAsia="Arial" w:hAnsi="Arial"/>
          <w:sz w:val="16"/>
          <w:szCs w:val="16"/>
          <w:color w:val="auto"/>
        </w:rPr>
        <w:t>Product revenue is recognized based on the transaction price, which is measured as the amount of consideration the company expects to receive in exchange for transferring control of a product to a customer. The company recognizes variable consideration as a reduction of the transaction price at the time of the initial product sale by applying the portfolio approach practical expedient under the accounting standards codification guidance for revenue from contracts with customers. Variable consideration typically occurs as a result of certain of the company's sales promotions and incentive programs that are determined to represent price concessions because the program either: (i) results in an immediate reduction of the transaction price with no anticipated future costs or consideration provided to the customer or (ii) the company anticipates a future cost based on historical or expected future business practice for which the company does not receive a distinct good or service in exchange for the future consideration provided to the customer under the program. Such programs primarily consist of off-invoice discounts, rebates, and floor plan and retail financing. The cost of off-invoice discounts are incurred at the time of sale as a reduction of the transaction price and as a result, have no future cost. For all other sales promotion and incentive programs recorded as a reduction of the transaction price at the time of the initial product sale, the company estimates variable consideration using the expected value method because the company anticipates providing a future price concession based on historical or expected future business practice or other factors. Estimates of variable consideration under the expected value method are primarily based on the terms of the sales arrangements and sales promotion and incentive programs with customers, historical payment and rebate claims experience, field inventory levels, quantity or mix of products sold, forecasted sales volumes, types of programs offered, and expectations for the acceptance of sales promotion and incentive programs offered in the future or changes in other relevant trends. When revenue is recognized, the estimated expense of these sales promotions and incentives programs is recorded as a reduction from gross sales within the Consolidated Statements of Earnings with a corresponding accrual recorded within sales promotions and incentives programs in the Consolidated Balance Sheets. Additionally, from time to time, the company may offer its customers the right to return eligible equipment and irrigation products, replacement parts, and accessories. Such right of return offered on the company's products is also considered to be variable consideration that is estimated and recorded as a reduction of revenue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primarily on historical experience, anticipated sales returns estimated from sales terms, trend analysis, and other factors. The company records the obligation for product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 There are no material instances where variable consideration is constrained and not recorded at the initial time of sale.</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Collectability from the customer for product revenue is generally assumed to be probable because the company's financial exposure related to accounts receivable is reduced due to its wholesale floor plan financing programs, including its Red Iron joint venture. Red Iron provides floor plan inventory financing to certain dealers and distributors of the company's equipment and irrigation products. The company also has wholesale floor plan financing arrangements with separate third-party financial institutions to provide floor plan inventory financing to certain dealers not financed through Red Iron. When product sales are financed by Red Iron or other third-party financial institutions, the transactions are structured as an advance in the form of a payment to the company on behalf of a dealer or distributor with respect to invoices financed by the financial institutions. These payments extinguish the obligation of such dealer or distributor to make payment to the company under the terms of the applicable invoice. Under a separate agreement between each financial institution and the dealer or distributor, the financial institution provides a loan to the dealer or distributor for the advances paid by the financial institutions to the company. The company's product sales to customers that do not elect to finance product purchases through Red Iron or the third-party financial institutions are generally on open account with terms that generally approximate 30 to 120 days. The resulting receivables are included within receivables, net on the Consolidated Balance Sheets. The company performs ongoing credit evaluations of customers on open account terms in order to assess collectability.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Extended Warranty Revenue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certain cases, the company renders service contracts to customers, which typically range from 12 to 60 months. The company also sells separately priced extended warranty coverage on select products for a prescribed period after the standard warranty period expires, which typically range from 12 to 24 months. Under both types of contracts, the company receives payment at the inception of the contract and recognizes revenue over the term of the agreement in proportion to the costs expected to be incurred in satisfying the performance obligations under the contract.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relate to deferred revenue recognized for cash consideration received at contract inception in advance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2021 and October 31, 2020, $24.1 million and $21.9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2021, the company recognized $10.0 million of the October 31, 2020 deferred revenue balance. The company expects to recognize approximately $11.1 million of the October 31, 2021 deferred revenue balance within net sales in the Consolidated Statements of Earnings in fiscal 2022 and $13.0 million thereafter.</w:t>
      </w:r>
    </w:p>
    <w:p>
      <w:pPr>
        <w:spacing w:after="0" w:line="111" w:lineRule="exact"/>
        <w:rPr>
          <w:sz w:val="20"/>
          <w:szCs w:val="20"/>
          <w:color w:val="auto"/>
        </w:rPr>
      </w:pPr>
    </w:p>
    <w:p>
      <w:pPr>
        <w:ind w:left="780" w:hanging="594"/>
        <w:spacing w:after="0"/>
        <w:tabs>
          <w:tab w:leader="none" w:pos="780" w:val="left"/>
        </w:tabs>
        <w:numPr>
          <w:ilvl w:val="0"/>
          <w:numId w:val="53"/>
        </w:numPr>
        <w:rPr>
          <w:rFonts w:ascii="Arial" w:cs="Arial" w:eastAsia="Arial" w:hAnsi="Arial"/>
          <w:sz w:val="43"/>
          <w:szCs w:val="43"/>
          <w:b w:val="1"/>
          <w:bCs w:val="1"/>
          <w:color w:val="auto"/>
        </w:rPr>
      </w:pPr>
      <w:r>
        <w:rPr>
          <w:rFonts w:ascii="Arial" w:cs="Arial" w:eastAsia="Arial" w:hAnsi="Arial"/>
          <w:sz w:val="20"/>
          <w:szCs w:val="20"/>
          <w:b w:val="1"/>
          <w:bCs w:val="1"/>
          <w:color w:val="auto"/>
        </w:rPr>
        <w:t>Goodwill and Other Intangible Assets</w:t>
      </w:r>
    </w:p>
    <w:p>
      <w:pPr>
        <w:spacing w:after="0" w:line="184"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 xml:space="preserve">The company's acquisition of Venture Products on March 2, 2020 resulted in the recognition of $61.2 million and $75.3 million of goodwill and other intangible assets, respectively. For additional information on the company's acquisition of Venture Products, refer to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and Asset Acquisitions</w:t>
      </w:r>
      <w:r>
        <w:rPr>
          <w:rFonts w:ascii="Arial" w:cs="Arial" w:eastAsia="Arial" w:hAnsi="Arial"/>
          <w:sz w:val="18"/>
          <w:szCs w:val="18"/>
          <w:color w:val="auto"/>
        </w:rPr>
        <w:t>.</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changes in the carrying amount of goodwill by reportable segment for fiscal 2021 and 2020 were as follows (in thousands):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1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Professional</w:t>
            </w: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3"/>
              </w:rPr>
              <w:t>Residential</w:t>
            </w: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as of</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350,250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10,469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1,534</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362,253</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2019</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20" w:type="dxa"/>
            <w:vAlign w:val="bottom"/>
          </w:tcPr>
          <w:p>
            <w:pPr>
              <w:ind w:left="20"/>
              <w:spacing w:after="0"/>
              <w:rPr>
                <w:sz w:val="20"/>
                <w:szCs w:val="20"/>
                <w:color w:val="auto"/>
              </w:rPr>
            </w:pPr>
            <w:r>
              <w:rPr>
                <w:rFonts w:ascii="Arial" w:cs="Arial" w:eastAsia="Arial" w:hAnsi="Arial"/>
                <w:sz w:val="14"/>
                <w:szCs w:val="14"/>
                <w:color w:val="auto"/>
              </w:rPr>
              <w:t>Goodwill acquired</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62,252</w:t>
            </w:r>
          </w:p>
        </w:tc>
        <w:tc>
          <w:tcPr>
            <w:tcW w:w="18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62,252</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Purchase price</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allocation</w:t>
            </w: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(866)</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Arial" w:cs="Arial" w:eastAsia="Arial" w:hAnsi="Arial"/>
                <w:sz w:val="14"/>
                <w:szCs w:val="14"/>
                <w:color w:val="auto"/>
              </w:rPr>
              <w:t>Translation</w:t>
            </w:r>
          </w:p>
        </w:tc>
        <w:tc>
          <w:tcPr>
            <w:tcW w:w="240" w:type="dxa"/>
            <w:vAlign w:val="bottom"/>
          </w:tcPr>
          <w:p>
            <w:pPr>
              <w:spacing w:after="0"/>
              <w:rPr>
                <w:sz w:val="11"/>
                <w:szCs w:val="1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425</w:t>
            </w:r>
          </w:p>
        </w:tc>
        <w:tc>
          <w:tcPr>
            <w:tcW w:w="180" w:type="dxa"/>
            <w:vAlign w:val="bottom"/>
          </w:tcPr>
          <w:p>
            <w:pPr>
              <w:spacing w:after="0"/>
              <w:rPr>
                <w:sz w:val="11"/>
                <w:szCs w:val="11"/>
                <w:color w:val="auto"/>
              </w:rPr>
            </w:pPr>
          </w:p>
        </w:tc>
        <w:tc>
          <w:tcPr>
            <w:tcW w:w="920" w:type="dxa"/>
            <w:vAlign w:val="bottom"/>
            <w:vMerge w:val="restart"/>
          </w:tcPr>
          <w:p>
            <w:pPr>
              <w:jc w:val="right"/>
              <w:ind w:right="26"/>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1"/>
                <w:szCs w:val="11"/>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Balance as of</w:t>
            </w: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412,061</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10,480</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1,534</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424,075</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2020</w:t>
            </w: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Arial" w:cs="Arial" w:eastAsia="Arial" w:hAnsi="Arial"/>
                <w:sz w:val="14"/>
                <w:szCs w:val="14"/>
                <w:color w:val="auto"/>
              </w:rPr>
              <w:t>Purchase price</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Arial" w:cs="Arial" w:eastAsia="Arial" w:hAnsi="Arial"/>
                <w:sz w:val="14"/>
                <w:szCs w:val="14"/>
                <w:color w:val="auto"/>
              </w:rPr>
              <w:t>allocation</w:t>
            </w:r>
          </w:p>
        </w:tc>
        <w:tc>
          <w:tcPr>
            <w:tcW w:w="24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(1,027)</w:t>
            </w:r>
          </w:p>
        </w:tc>
        <w:tc>
          <w:tcPr>
            <w:tcW w:w="180" w:type="dxa"/>
            <w:vAlign w:val="bottom"/>
          </w:tcPr>
          <w:p>
            <w:pPr>
              <w:spacing w:after="0"/>
              <w:rPr>
                <w:sz w:val="11"/>
                <w:szCs w:val="11"/>
                <w:color w:val="auto"/>
              </w:rPr>
            </w:pPr>
          </w:p>
        </w:tc>
        <w:tc>
          <w:tcPr>
            <w:tcW w:w="920" w:type="dxa"/>
            <w:vAlign w:val="bottom"/>
            <w:vMerge w:val="restart"/>
          </w:tcPr>
          <w:p>
            <w:pPr>
              <w:jc w:val="right"/>
              <w:ind w:right="2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1"/>
                <w:szCs w:val="11"/>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4"/>
                <w:szCs w:val="14"/>
                <w:color w:val="auto"/>
              </w:rPr>
              <w:t>adjustment</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divested</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(1,534)</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Arial" w:cs="Arial" w:eastAsia="Arial" w:hAnsi="Arial"/>
                <w:sz w:val="14"/>
                <w:szCs w:val="14"/>
                <w:color w:val="auto"/>
              </w:rPr>
              <w:t>Translation</w:t>
            </w:r>
          </w:p>
        </w:tc>
        <w:tc>
          <w:tcPr>
            <w:tcW w:w="240" w:type="dxa"/>
            <w:vAlign w:val="bottom"/>
          </w:tcPr>
          <w:p>
            <w:pPr>
              <w:spacing w:after="0"/>
              <w:rPr>
                <w:sz w:val="11"/>
                <w:szCs w:val="1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1"/>
                <w:szCs w:val="11"/>
                <w:color w:val="auto"/>
              </w:rPr>
            </w:pPr>
          </w:p>
        </w:tc>
        <w:tc>
          <w:tcPr>
            <w:tcW w:w="920" w:type="dxa"/>
            <w:vAlign w:val="bottom"/>
            <w:vMerge w:val="restart"/>
          </w:tcPr>
          <w:p>
            <w:pPr>
              <w:jc w:val="right"/>
              <w:ind w:right="26"/>
              <w:spacing w:after="0"/>
              <w:rPr>
                <w:sz w:val="20"/>
                <w:szCs w:val="20"/>
                <w:color w:val="auto"/>
              </w:rPr>
            </w:pPr>
            <w:r>
              <w:rPr>
                <w:rFonts w:ascii="Arial" w:cs="Arial" w:eastAsia="Arial" w:hAnsi="Arial"/>
                <w:sz w:val="14"/>
                <w:szCs w:val="14"/>
                <w:color w:val="auto"/>
              </w:rPr>
              <w:t>121</w:t>
            </w:r>
          </w:p>
        </w:tc>
        <w:tc>
          <w:tcPr>
            <w:tcW w:w="240" w:type="dxa"/>
            <w:vAlign w:val="bottom"/>
          </w:tcPr>
          <w:p>
            <w:pPr>
              <w:spacing w:after="0"/>
              <w:rPr>
                <w:sz w:val="11"/>
                <w:szCs w:val="11"/>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Balance as of</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411,079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10,601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421,680</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2021</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other intangible assets were as follows (in thousands, except weighted-average useful life in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594"/>
        <w:spacing w:after="0"/>
        <w:tabs>
          <w:tab w:leader="none" w:pos="620" w:val="left"/>
        </w:tabs>
        <w:numPr>
          <w:ilvl w:val="0"/>
          <w:numId w:val="54"/>
        </w:numPr>
        <w:rPr>
          <w:rFonts w:ascii="Arial" w:cs="Arial" w:eastAsia="Arial" w:hAnsi="Arial"/>
          <w:sz w:val="43"/>
          <w:szCs w:val="43"/>
          <w:b w:val="1"/>
          <w:bCs w:val="1"/>
          <w:color w:val="auto"/>
        </w:rPr>
      </w:pPr>
      <w:r>
        <w:rPr>
          <w:rFonts w:ascii="Arial" w:cs="Arial" w:eastAsia="Arial" w:hAnsi="Arial"/>
          <w:sz w:val="20"/>
          <w:szCs w:val="20"/>
          <w:b w:val="1"/>
          <w:b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indebtedness (in thousands):</w:t>
      </w:r>
    </w:p>
    <w:p>
      <w:pPr>
        <w:spacing w:after="0" w:line="107"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89"/>
              <w:spacing w:after="0"/>
              <w:rPr>
                <w:sz w:val="20"/>
                <w:szCs w:val="20"/>
                <w:color w:val="auto"/>
              </w:rPr>
            </w:pPr>
            <w:r>
              <w:rPr>
                <w:rFonts w:ascii="Arial" w:cs="Arial" w:eastAsia="Arial" w:hAnsi="Arial"/>
                <w:sz w:val="13"/>
                <w:szCs w:val="13"/>
                <w:b w:val="1"/>
                <w:bCs w:val="1"/>
                <w:color w:val="auto"/>
                <w:w w:val="90"/>
              </w:rPr>
              <w:t>Gross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October 31, 2021</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Useful Life in</w:t>
            </w:r>
          </w:p>
        </w:tc>
        <w:tc>
          <w:tcPr>
            <w:tcW w:w="20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18,283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(14,670)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Non-compete</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6,914</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(6,872)</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agreements</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Customer-related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239,679</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(62,617)</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177,062</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Developed</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87,473</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(43,348)</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44,125</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7,524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(2,969)</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Backlog and other</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(4,390)</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finite-lived</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14.6</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364,263</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(134,866)</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229,397</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line="132" w:lineRule="exact"/>
              <w:rPr>
                <w:sz w:val="20"/>
                <w:szCs w:val="20"/>
                <w:color w:val="auto"/>
              </w:rPr>
            </w:pPr>
            <w:r>
              <w:rPr>
                <w:rFonts w:ascii="Arial" w:cs="Arial" w:eastAsia="Arial" w:hAnsi="Arial"/>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190,644</w:t>
            </w:r>
          </w:p>
        </w:tc>
        <w:tc>
          <w:tcPr>
            <w:tcW w:w="220" w:type="dxa"/>
            <w:vAlign w:val="bottom"/>
          </w:tcPr>
          <w:p>
            <w:pPr>
              <w:spacing w:after="0"/>
              <w:rPr>
                <w:sz w:val="11"/>
                <w:szCs w:val="11"/>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190,644</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554,907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(134,866)</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420,041</w:t>
            </w:r>
          </w:p>
        </w:tc>
        <w:tc>
          <w:tcPr>
            <w:tcW w:w="0" w:type="dxa"/>
            <w:vAlign w:val="bottom"/>
          </w:tcPr>
          <w:p>
            <w:pPr>
              <w:spacing w:after="0"/>
              <w:rPr>
                <w:sz w:val="1"/>
                <w:szCs w:val="1"/>
                <w:color w:val="auto"/>
              </w:rPr>
            </w:pPr>
          </w:p>
        </w:tc>
      </w:tr>
      <w:tr>
        <w:trPr>
          <w:trHeight w:val="206"/>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intangible assets, net</w:t>
            </w:r>
          </w:p>
        </w:tc>
        <w:tc>
          <w:tcPr>
            <w:tcW w:w="10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1"/>
                <w:szCs w:val="11"/>
                <w:color w:val="auto"/>
              </w:rPr>
            </w:pPr>
          </w:p>
        </w:tc>
        <w:tc>
          <w:tcPr>
            <w:tcW w:w="78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90"/>
              </w:rPr>
              <w:t>Gross</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October 31, 2020</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Useful Life in</w:t>
            </w:r>
          </w:p>
        </w:tc>
        <w:tc>
          <w:tcPr>
            <w:tcW w:w="20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18,257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(13,919)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Non-compete</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6,892</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(6,831)</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agreements</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Customer-related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239,634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(48,005)</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191,629</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Developed</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51,995</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(35,208)</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16,787</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7,530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(2,552)</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4,978</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Backlog and other</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(4,390)</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finite-lived</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328,698</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(110,905)</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217,793</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line="132" w:lineRule="exact"/>
              <w:rPr>
                <w:sz w:val="20"/>
                <w:szCs w:val="20"/>
                <w:color w:val="auto"/>
              </w:rPr>
            </w:pPr>
            <w:r>
              <w:rPr>
                <w:rFonts w:ascii="Arial" w:cs="Arial" w:eastAsia="Arial" w:hAnsi="Arial"/>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190,512</w:t>
            </w:r>
          </w:p>
        </w:tc>
        <w:tc>
          <w:tcPr>
            <w:tcW w:w="220" w:type="dxa"/>
            <w:vAlign w:val="bottom"/>
          </w:tcPr>
          <w:p>
            <w:pPr>
              <w:spacing w:after="0"/>
              <w:rPr>
                <w:sz w:val="11"/>
                <w:szCs w:val="11"/>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190,512</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519,210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(110,905)</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408,305</w:t>
            </w:r>
          </w:p>
        </w:tc>
        <w:tc>
          <w:tcPr>
            <w:tcW w:w="0" w:type="dxa"/>
            <w:vAlign w:val="bottom"/>
          </w:tcPr>
          <w:p>
            <w:pPr>
              <w:spacing w:after="0"/>
              <w:rPr>
                <w:sz w:val="1"/>
                <w:szCs w:val="1"/>
                <w:color w:val="auto"/>
              </w:rPr>
            </w:pPr>
          </w:p>
        </w:tc>
      </w:tr>
      <w:tr>
        <w:trPr>
          <w:trHeight w:val="206"/>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intangible assets, net</w:t>
            </w:r>
          </w:p>
        </w:tc>
        <w:tc>
          <w:tcPr>
            <w:tcW w:w="10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expense for finite-lived intangible assets for the fiscal years ended October 31, 2021, 2020, and 2019 was $23.8 million, $19.5 million, and $18.4 million, respectively. Estimated amortization expense for the succeeding fiscal years is as follows: 2022, $24.2 million; 2023, $22.4 million; 2024, $21.4 million; 2025, $19.8 million; 2026, $19.0 million; and after 2026, $122.6 million.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1"/>
        </w:trPr>
        <w:tc>
          <w:tcPr>
            <w:tcW w:w="3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$270 million term loan</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 million term loan</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$300 million term loan</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180,000</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$190 million term loan</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3.81% series A senior notes</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3.91% series B senior notes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Arial" w:cs="Arial" w:eastAsia="Arial" w:hAnsi="Arial"/>
                <w:sz w:val="14"/>
                <w:szCs w:val="14"/>
                <w:color w:val="auto"/>
              </w:rPr>
              <w:t>7.8% debentures</w:t>
            </w:r>
          </w:p>
        </w:tc>
        <w:tc>
          <w:tcPr>
            <w:tcW w:w="38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6.625% senior notes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124,040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123,978</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Arial" w:cs="Arial" w:eastAsia="Arial" w:hAnsi="Arial"/>
                <w:sz w:val="14"/>
                <w:szCs w:val="14"/>
                <w:color w:val="auto"/>
                <w:w w:val="95"/>
              </w:rPr>
              <w:t>Less: unamortized discounts, debt issuance costs,</w:t>
            </w:r>
          </w:p>
        </w:tc>
        <w:tc>
          <w:tcPr>
            <w:tcW w:w="380" w:type="dxa"/>
            <w:vAlign w:val="bottom"/>
          </w:tcPr>
          <w:p>
            <w:pPr>
              <w:spacing w:after="0"/>
              <w:rPr>
                <w:sz w:val="11"/>
                <w:szCs w:val="11"/>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2,798</w:t>
            </w:r>
          </w:p>
        </w:tc>
        <w:tc>
          <w:tcPr>
            <w:tcW w:w="3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8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and deferred charges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long-term debt</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691,242</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791,123</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99,873</w:t>
            </w:r>
          </w:p>
        </w:tc>
        <w:tc>
          <w:tcPr>
            <w:tcW w:w="0" w:type="dxa"/>
            <w:vAlign w:val="bottom"/>
          </w:tcPr>
          <w:p>
            <w:pPr>
              <w:spacing w:after="0"/>
              <w:rPr>
                <w:sz w:val="1"/>
                <w:szCs w:val="1"/>
                <w:color w:val="auto"/>
              </w:rPr>
            </w:pPr>
          </w:p>
        </w:tc>
      </w:tr>
      <w:tr>
        <w:trPr>
          <w:trHeight w:val="208"/>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691,242</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691,250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Principal payments required on the company's outstanding indebtedness, based on the maturity dates defined within the company's debt arrangements, for each of the next five fiscal years are as follows: fiscal 2022, $0.0 million; fiscal 2023, $0.0 million; fiscal 2024, $0.0 million; fiscal 2025, $27.0 million; fiscal 2026, $243.0 million; and after fiscal 2026, $425.0 million.</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On October 5, 2021, the company entered into an amended and restated credit agreement ("amended credit agreement") that provided for, among other things, a five-year unsecured revolving credit facility with a borrowing capacity of up to $600.0 million ("revolving credit facility") that matures on October 5, 2026 and replaced the company's prior $600.0 million unsecured senior revolving credit facility scheduled to mature on June 19, 2023. Included in the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revolving credit facility may be increased by an amount of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credit agreement. As of October 31, 2021, the company had no outstanding borrowings under the revolving credit facility and $3.1 million outstanding under the sublimit for standby letters of credit, resulting in $596.9 million of unutilized availability under the revolving credit facility. As of October 31, 2020, the company had no outstanding borrowings under the prior revolving credit facility and $2.5 million outstanding under the prior sublimit for standby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letters of credit, resulting in $597.5 million of unutilized availability under the prior revolving credit facility.</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During fiscal 2020 and 2019, the company incurred interest expense of $0.8 million, and $1.9 million, respectively, on the outstanding borrowings under the prior revolving credit facility. No interest expense was incurred under the company's current and prior revolving credit facilities during fiscal 2021.</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revolving credit facility contains customary covenants, including, without limitation, financial covenants, such as the maintenance of a maximum leverage ratio; and negative covenants, which among other things, limit cash dividends, disposition of assets, consolidations and mergers,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October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$270.0 Million Term Loan Credit Agreement</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amended credit agreement executed on October 5, 2021 also provided for a five-year unsecured term loan in an aggregate principal amount of $270.0 million, the entire amount of which was funded on October 5, 2021 and matures on October 5, 2026 ("$270.0 million term loan"). Under the amended credit agreement, incremental term loan commitments may be established at the company's election and the approval of the borrowers on the $270.0 million term loan by an amount of up to $100.0 million.</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Beginning December 31, 2024, the company is required to make quarterly principal amortization payments on the $270.0 million term loan equal to $6.75 million. On October 5, 2026, the aggregate principal amount of any remaining outstanding borrowings under the $270.0 million term loan is required to be repaid. The $270.0 million term loan may be prepaid and terminated at the company's election at any time without penalty or premium. Amounts repaid or prepaid may not be reborrowed. As of October 31, 2021, there was $270.0 million of outstanding borrowings under the $270.0 million term loan.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borrowings under the $270.0 million term loan bear interest at a variable rate generally based on LIBOR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fiscal year ended October 31, 2021, the company incurred interest expense of $0.2 million on the outstanding borrowings under the $270.0 million term loan. No interest expense was incurred during fiscal 2020 and 2019.</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$270.0 million term loan contains customary covenants, including, without limitation, financial covenants generally consistent with those applicable under the company's revolving credit facility and the company was in compliance with all covenants as of October 31,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$500.0 Million Term Loan Credit Agreement</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2019, the company entered into a term loan credit agreement with a syndicate of financial institutions for the purpose of partially funding the CMW purchase price and the related fees and expenses incurred in connection with such acquisition. The term loan credit agreement provided for a $200.0 million three-year unsecured senior term loan facility maturing on April 1, 2022 ("$200.0 million term loan) and a $300.0 million five-year unsecured senior term loan facility maturing on April 1, 2024 ("$300.0 million term loan" and collectively with the $200.0 million term loan, the "$500.0 million term loan"). The funds under the $500.0 million term loan were received on the CMW closing date.</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October 31, 2020, the company had prepaid $100.0 million and $120.0 million of the outstanding principal balances of the $200.0 million term loan and $300.0 million term loan, respectively. Thus, as of October 31, 2020, there was $100.0 million and $180.0 million of outstanding borrowings under the $200.0 million term loan and $300.0 million term loan, respectively. During the second quarter of fiscal 2021, the company prepaid $10.0 million of the remaining outstanding borrowings under the $300.0 million term loan. As a result of the execution of the amended credit agreement during the fourth quarter of fiscal 2021, the remaining $100.0 million and $170.0 million outstanding principal balances under the $200.0 million term loan and $300.0 million term loan, respectively, were paid in full. As a result of the prepayment, there were no outstanding borrowings under the $200.0 million three-year unsecured senior term loan facility and $300.0 million five-year unsecured senior term loan facility, respectively, as of October 31, 2021.</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was previously calculated on outstanding borrowings under the $500.0 million term loan by utilizing a variable rate generally based on LIBOR or an alternative variable rate, based on the highest of the Bank of America prime rate, the federal funds rate, or a rate generally based on LIBOR, in each case subject to an additional basis point spread as defined in the $500.0 million term loan. Interest was payable quarterly in arrears. During the fiscal years ended October 31, 2021, 2020, and 2019, the company incurred</w:t>
      </w:r>
    </w:p>
    <w:p>
      <w:pPr>
        <w:spacing w:after="0" w:line="316"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$3.1 million, $5.2 million, and $7.5 million, respectively, of interest expense on the outstanding borrowings of the $500.0 million term loan.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$190.0 Million Term Loan Credit Agreement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30, 2020, the company entered into a $190.0 million term loan credit agreement ("$190.0 million term loan") with certain financial institutions for the purpose of refinancing certain of its outstanding borrowings incurred in connection with the company's acquisition of Venture Products on March 2, 2020, as well as a precautionary measure to increase the company's liquidity and preserve financial flexibility in light of the uncertainty in the global financial and commercial markets as a result of COVID-19. The $190.0 million term loan provided for a $190.0 million three-year unsecured senior term loan facility maturing on June 19, 2023.</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31, 2020, the company had prepaid $100.0 million of the outstanding principal balance of the $190.0 million term loan, resulting in a remaining outstanding principal balance of $90.0 million. During the first quarter of fiscal 2021, the company prepaid the remaining $90.0 million outstanding principal balance of the $190.0 million term loan. As a result of the prepayment, there were no outstanding borrowings under the $190.0 million term loan as of October 31, 2021.</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was previously calculated on outstanding borrowings under the $190.0 million term loan by utilizing a variable rate based on LIBOR or an alternative variable rate with a minimum rate of 0.75 percent, subject to an additional basis point spread as defined in the term loan credit agreement. Interest was payable quarterly in arrears. For the fiscal years ended October 31, 2021 and 2020, the company incurred interest expense of approximately $0.3 million and $2.4 million, respectively, on the outstanding borrowings under the $190.0 million term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3.81% Series A and 3.91% Series B Senior Notes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30, 2019, the company entered into a private placement note purchase agreement with certain purchasers ("holders")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unsecured senior obligations of the company.</w:t>
      </w:r>
    </w:p>
    <w:p>
      <w:pPr>
        <w:spacing w:after="0" w:line="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 principal is due on the Senior Notes prior to their stated due dates. The company has the right to prepay all or a portion of either series of the Senior Notes in amounts equal to not less than 10.0 percent of the principal amount of the Senior Notes then outstanding upon notice to the holders of the series of Senior Notes being prepaid for 100.0 percent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 of such series for 100.0 percent of the principal amount so prepaid, plus accrued and unpaid interest, if any, to the date of prepayment. Upon the occurrence of certain change of control events, the company is required to offer to prepay all Senior Notes for the principal amount thereof plus accrued and unpaid interest, if any, to the date of prepayment.</w:t>
      </w:r>
    </w:p>
    <w:p>
      <w:pPr>
        <w:spacing w:after="0" w:line="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on the Senior Notes is payable semiannually on the 15th day of June and December in each year. The company incurred interest expense on the Senior Notes of $7.7 million, $7.7 million, and $2.6 million, respectively, for the fiscal years ended October 31, 2021, 2020, and 2019.</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October 31,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 Debentures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debentures is payable semiannually on the 15th day of June and December in each year. The company incurred interest expense of $8.0 million, $8.0 million, and $7.9 million, respectively, for the fiscal years ended October 31, 2021, 2020 and 2019.</w:t>
      </w:r>
    </w:p>
    <w:p>
      <w:pPr>
        <w:spacing w:after="0" w:line="657"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6.625% Senior Notes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April 26, 2007, the company issued $125.0 million in aggregate principal amount of 6.625 percent senior notes due May 1, 2037 and priced at 98.513 percent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senior notes is payable semiannually on the 1st day of May and November in each year. For each of the fiscal years ended October 31, 2021, 2020, and 2019, the company incurred interest expense of $8.4 million, respectively.</w:t>
      </w:r>
    </w:p>
    <w:p>
      <w:pPr>
        <w:spacing w:after="0" w:line="210" w:lineRule="exact"/>
        <w:rPr>
          <w:sz w:val="20"/>
          <w:szCs w:val="20"/>
          <w:color w:val="auto"/>
        </w:rPr>
      </w:pPr>
    </w:p>
    <w:p>
      <w:pPr>
        <w:ind w:left="620" w:hanging="594"/>
        <w:spacing w:after="0"/>
        <w:tabs>
          <w:tab w:leader="none" w:pos="620" w:val="left"/>
        </w:tabs>
        <w:numPr>
          <w:ilvl w:val="0"/>
          <w:numId w:val="55"/>
        </w:numPr>
        <w:rPr>
          <w:rFonts w:ascii="Arial" w:cs="Arial" w:eastAsia="Arial" w:hAnsi="Arial"/>
          <w:sz w:val="43"/>
          <w:szCs w:val="43"/>
          <w:b w:val="1"/>
          <w:bCs w:val="1"/>
          <w:color w:val="auto"/>
        </w:rPr>
      </w:pPr>
      <w:r>
        <w:rPr>
          <w:rFonts w:ascii="Arial" w:cs="Arial" w:eastAsia="Arial" w:hAnsi="Arial"/>
          <w:sz w:val="20"/>
          <w:szCs w:val="20"/>
          <w:b w:val="1"/>
          <w:bCs w:val="1"/>
          <w:color w:val="auto"/>
        </w:rPr>
        <w:t>Management 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Underground Wind Down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1, 2019, during the company's fiscal 2019 third quarter, the company announced a plan to wind down the company's Toro-branded large directional drill and riding trencher product categories within its Professional segment product portfolio ("Toro underground wind down"). As of October 31, 2020, the company had completed the Toro underground wind down; and as a result, no charges were incurred during the fiscal year ended October 31, 2021. In connection with the Toro underground wind down, for the fiscal year ended October 31, 2020, the company recorded $0.9 million of pre-tax charges related to write-downs to net realizable value within cost of sales in the Consolidated Statements of Earnings. For the fiscal year ended October 31, 2019, the company recorded $8.8 million of pre-tax charges related to inventory write-downs to net realizable value and accelerated depreciation on fixed assets that will no longer be used within cost of sales in the Consolidated Statements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Earnings as a result of the Toro underground wind down. Additionally, the company recorded $1.2 million of pre-tax charges related to inventory retail support activities within net sales in the Consolidated Statements of Earnings during the fiscal year ended October 31, 2019. No pre-tax charges related to inventory retail support activities were incurred during the fiscal years ended October 31, 2021 and 2020.</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Restructuring</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During the fourth quarter of fiscal 2019, the company incurred corporate restructuring charges related to employee severance costs as the company focused on aligning the company's operations in the most strategic and cost-effective structure subsequent to the CMW transaction. As a result of such corporate restructuring, the company recorded pre-tax charges of $0.6 million within cost of sales and pre-tax charges of $6.0 million within selling, general and administrative expense in the Consolidated Statements of Earnings during fiscal 2019. The company did not incur additional charges in fiscal 2021 and 2020 related to this corporate restructuring event.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Divestitures</w:t>
      </w:r>
    </w:p>
    <w:p>
      <w:pPr>
        <w:spacing w:after="0" w:line="12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On November 2, 2020, during the first quarter of fiscal 2021, the company completed the sale of its Northeastern U.S. distribution company and during the fourth quarter of fiscal 2019, the company divested of a used underground construction equipment business, which was acquired as a result of the company's acquisition of CMW. The divestitures were immaterial based on the company's Consolidated Financial Condition and Results of Operations.</w:t>
      </w:r>
    </w:p>
    <w:p>
      <w:pPr>
        <w:spacing w:after="0" w:line="123" w:lineRule="exact"/>
        <w:rPr>
          <w:sz w:val="20"/>
          <w:szCs w:val="20"/>
          <w:color w:val="auto"/>
        </w:rPr>
      </w:pPr>
    </w:p>
    <w:p>
      <w:pPr>
        <w:ind w:left="780" w:hanging="594"/>
        <w:spacing w:after="0"/>
        <w:tabs>
          <w:tab w:leader="none" w:pos="780" w:val="left"/>
        </w:tabs>
        <w:numPr>
          <w:ilvl w:val="0"/>
          <w:numId w:val="56"/>
        </w:numPr>
        <w:rPr>
          <w:rFonts w:ascii="Arial" w:cs="Arial" w:eastAsia="Arial" w:hAnsi="Arial"/>
          <w:sz w:val="43"/>
          <w:szCs w:val="43"/>
          <w:b w:val="1"/>
          <w:bCs w:val="1"/>
          <w:color w:val="auto"/>
        </w:rPr>
      </w:pPr>
      <w:r>
        <w:rPr>
          <w:rFonts w:ascii="Arial" w:cs="Arial" w:eastAsia="Arial" w:hAnsi="Arial"/>
          <w:sz w:val="20"/>
          <w:szCs w:val="20"/>
          <w:b w:val="1"/>
          <w:bCs w:val="1"/>
          <w:color w:val="auto"/>
        </w:rPr>
        <w:t>Investment in Joint Venture</w:t>
      </w:r>
    </w:p>
    <w:p>
      <w:pPr>
        <w:spacing w:after="0" w:line="90"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The company is party to a joint venture with TCFIF, a subsidiary of The Huntington National Bank, established as Red Iron, the primary purpose of which is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fiscal years ended October 31, 2021, 2020, and 2019.</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during fiscal 2021, 2020, and 2019 was $2,282.6 million, $1,832.5 million, and $1,924.9 million, respectively. The total amount of receivables due from Red Iron to the company as of October 31, 2021 and 2020 were $31.0 million and $12.6 million, respectively.</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October 31, 2021 and 2020 was $20.7 million and $19.7 million, respectively. The company has not guaranteed the outstanding indebtedness of Red Iron.</w:t>
      </w:r>
    </w:p>
    <w:p>
      <w:pPr>
        <w:spacing w:after="0" w:line="108" w:lineRule="exact"/>
        <w:rPr>
          <w:sz w:val="20"/>
          <w:szCs w:val="20"/>
          <w:color w:val="auto"/>
        </w:rPr>
      </w:pPr>
    </w:p>
    <w:p>
      <w:pPr>
        <w:ind w:left="620" w:hanging="594"/>
        <w:spacing w:after="0"/>
        <w:tabs>
          <w:tab w:leader="none" w:pos="620" w:val="left"/>
        </w:tabs>
        <w:numPr>
          <w:ilvl w:val="0"/>
          <w:numId w:val="57"/>
        </w:numPr>
        <w:rPr>
          <w:rFonts w:ascii="Arial" w:cs="Arial" w:eastAsia="Arial" w:hAnsi="Arial"/>
          <w:sz w:val="43"/>
          <w:szCs w:val="43"/>
          <w:b w:val="1"/>
          <w:bCs w:val="1"/>
          <w:color w:val="auto"/>
        </w:rPr>
      </w:pPr>
      <w:r>
        <w:rPr>
          <w:rFonts w:ascii="Arial" w:cs="Arial" w:eastAsia="Arial" w:hAnsi="Arial"/>
          <w:sz w:val="20"/>
          <w:szCs w:val="20"/>
          <w:b w:val="1"/>
          <w:bCs w:val="1"/>
          <w:color w:val="auto"/>
        </w:rPr>
        <w:t>Income Taxes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were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Coronavirus Aid, Relief, and Economic Security Act ("CARES Act") was signed into law on March 27, 2020 and allowed for delayed payment of employer payroll taxes, among other items. The company has reflected the impact of the CARES Act for the fiscal years ended October 31, 2021 and 2020 within its Consolidated Financial Statements and such impact was not material to the company's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the company's provision for income taxes were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provision:</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6"/>
        </w:trPr>
        <w:tc>
          <w:tcPr>
            <w:tcW w:w="2180" w:type="dxa"/>
            <w:vAlign w:val="bottom"/>
          </w:tcPr>
          <w:p>
            <w:pPr>
              <w:ind w:left="140"/>
              <w:spacing w:after="0"/>
              <w:rPr>
                <w:sz w:val="20"/>
                <w:szCs w:val="20"/>
                <w:color w:val="auto"/>
              </w:rPr>
            </w:pPr>
            <w:r>
              <w:rPr>
                <w:rFonts w:ascii="Arial" w:cs="Arial" w:eastAsia="Arial" w:hAnsi="Arial"/>
                <w:sz w:val="14"/>
                <w:szCs w:val="14"/>
                <w:color w:val="auto"/>
              </w:rPr>
              <w:t>Federal</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90,222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58,243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37,415</w:t>
            </w:r>
          </w:p>
        </w:tc>
      </w:tr>
      <w:tr>
        <w:trPr>
          <w:trHeight w:val="192"/>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15,973</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11,322</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w:t>
            </w:r>
          </w:p>
        </w:tc>
      </w:tr>
      <w:tr>
        <w:trPr>
          <w:trHeight w:val="186"/>
        </w:trPr>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Foreign</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9,163</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5,534</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6,846</w:t>
            </w:r>
          </w:p>
        </w:tc>
      </w:tr>
      <w:tr>
        <w:trPr>
          <w:trHeight w:val="182"/>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115,358</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75,099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51,756</w:t>
            </w:r>
          </w:p>
        </w:tc>
      </w:tr>
      <w:tr>
        <w:trPr>
          <w:trHeight w:val="183"/>
        </w:trPr>
        <w:tc>
          <w:tcPr>
            <w:tcW w:w="2180" w:type="dxa"/>
            <w:vAlign w:val="bottom"/>
          </w:tcPr>
          <w:p>
            <w:pPr>
              <w:ind w:left="20"/>
              <w:spacing w:after="0"/>
              <w:rPr>
                <w:sz w:val="20"/>
                <w:szCs w:val="20"/>
                <w:color w:val="auto"/>
              </w:rPr>
            </w:pPr>
            <w:r>
              <w:rPr>
                <w:rFonts w:ascii="Arial" w:cs="Arial" w:eastAsia="Arial" w:hAnsi="Arial"/>
                <w:sz w:val="14"/>
                <w:szCs w:val="14"/>
                <w:color w:val="auto"/>
              </w:rPr>
              <w:t>Deferred provision (benefit):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(18,361)</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1,710</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6"/>
        </w:trPr>
        <w:tc>
          <w:tcPr>
            <w:tcW w:w="2180" w:type="dxa"/>
            <w:vAlign w:val="bottom"/>
          </w:tcPr>
          <w:p>
            <w:pPr>
              <w:ind w:left="140"/>
              <w:spacing w:after="0"/>
              <w:rPr>
                <w:sz w:val="20"/>
                <w:szCs w:val="20"/>
                <w:color w:val="auto"/>
              </w:rPr>
            </w:pPr>
            <w:r>
              <w:rPr>
                <w:rFonts w:ascii="Arial" w:cs="Arial" w:eastAsia="Arial" w:hAnsi="Arial"/>
                <w:sz w:val="14"/>
                <w:szCs w:val="14"/>
                <w:color w:val="auto"/>
              </w:rPr>
              <w:t>State</w:t>
            </w:r>
          </w:p>
        </w:tc>
        <w:tc>
          <w:tcPr>
            <w:tcW w:w="4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(6,486)</w:t>
            </w:r>
          </w:p>
        </w:tc>
        <w:tc>
          <w:tcPr>
            <w:tcW w:w="26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(3,205)</w:t>
            </w:r>
          </w:p>
        </w:tc>
      </w:tr>
      <w:tr>
        <w:trPr>
          <w:trHeight w:val="189"/>
        </w:trPr>
        <w:tc>
          <w:tcPr>
            <w:tcW w:w="2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18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deferred provision (benefit)</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(25,420)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2,270</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(3,606)</w:t>
            </w:r>
          </w:p>
        </w:tc>
      </w:tr>
      <w:tr>
        <w:trPr>
          <w:trHeight w:val="208"/>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provision for income taxes</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89,938</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77,369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48,150</w:t>
            </w:r>
          </w:p>
        </w:tc>
      </w:tr>
      <w:tr>
        <w:trPr>
          <w:trHeight w:val="20"/>
        </w:trPr>
        <w:tc>
          <w:tcPr>
            <w:tcW w:w="2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the company's deferred income tax assets and liabilities were as follows (in thousands):</w:t>
      </w:r>
    </w:p>
    <w:p>
      <w:pPr>
        <w:spacing w:after="0" w:line="84"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6"/>
        </w:trPr>
        <w:tc>
          <w:tcPr>
            <w:tcW w:w="222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446,256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369,016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283,730</w:t>
            </w:r>
          </w:p>
        </w:tc>
      </w:tr>
      <w:tr>
        <w:trPr>
          <w:trHeight w:val="189"/>
        </w:trPr>
        <w:tc>
          <w:tcPr>
            <w:tcW w:w="2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53,562</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38,054</w:t>
            </w: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r>
      <w:tr>
        <w:trPr>
          <w:trHeight w:val="18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Total earnings before income taxes</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499,818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407,070</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322,133</w:t>
            </w:r>
          </w:p>
        </w:tc>
      </w:tr>
      <w:tr>
        <w:trPr>
          <w:trHeight w:val="24"/>
        </w:trPr>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Effective Tax Rate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statutory federal income tax rate to the company's effective tax rate is summarized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federal income tax rate</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21.0 %</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35"/>
        </w:trPr>
        <w:tc>
          <w:tcPr>
            <w:tcW w:w="2420" w:type="dxa"/>
            <w:vAlign w:val="bottom"/>
          </w:tcPr>
          <w:p>
            <w:pPr>
              <w:ind w:left="140"/>
              <w:spacing w:after="0" w:line="135" w:lineRule="exact"/>
              <w:rPr>
                <w:sz w:val="20"/>
                <w:szCs w:val="20"/>
                <w:color w:val="auto"/>
              </w:rPr>
            </w:pPr>
            <w:r>
              <w:rPr>
                <w:rFonts w:ascii="Arial" w:cs="Arial" w:eastAsia="Arial" w:hAnsi="Arial"/>
                <w:sz w:val="14"/>
                <w:szCs w:val="14"/>
                <w:color w:val="auto"/>
              </w:rPr>
              <w:t>Excess deduction for stock-based</w:t>
            </w:r>
          </w:p>
        </w:tc>
        <w:tc>
          <w:tcPr>
            <w:tcW w:w="1080" w:type="dxa"/>
            <w:vAlign w:val="bottom"/>
            <w:vMerge w:val="restart"/>
          </w:tcPr>
          <w:p>
            <w:pPr>
              <w:jc w:val="right"/>
              <w:ind w:right="308"/>
              <w:spacing w:after="0"/>
              <w:rPr>
                <w:sz w:val="20"/>
                <w:szCs w:val="20"/>
                <w:color w:val="auto"/>
              </w:rPr>
            </w:pPr>
            <w:r>
              <w:rPr>
                <w:rFonts w:ascii="Arial" w:cs="Arial" w:eastAsia="Arial" w:hAnsi="Arial"/>
                <w:sz w:val="14"/>
                <w:szCs w:val="14"/>
                <w:color w:val="auto"/>
              </w:rPr>
              <w:t>(1.5)</w:t>
            </w: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color w:val="auto"/>
              </w:rPr>
              <w:t>(1.7)</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Domestic manufacturer's deduction</w:t>
            </w:r>
          </w:p>
        </w:tc>
        <w:tc>
          <w:tcPr>
            <w:tcW w:w="10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420" w:type="dxa"/>
            <w:vAlign w:val="bottom"/>
          </w:tcPr>
          <w:p>
            <w:pPr>
              <w:ind w:left="140"/>
              <w:spacing w:after="0" w:line="135" w:lineRule="exact"/>
              <w:rPr>
                <w:sz w:val="20"/>
                <w:szCs w:val="20"/>
                <w:color w:val="auto"/>
              </w:rPr>
            </w:pPr>
            <w:r>
              <w:rPr>
                <w:rFonts w:ascii="Arial" w:cs="Arial" w:eastAsia="Arial" w:hAnsi="Arial"/>
                <w:sz w:val="14"/>
                <w:szCs w:val="14"/>
                <w:color w:val="auto"/>
              </w:rPr>
              <w:t>State and local income taxes, net of</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1.4</w:t>
            </w:r>
          </w:p>
        </w:tc>
        <w:tc>
          <w:tcPr>
            <w:tcW w:w="1060" w:type="dxa"/>
            <w:vAlign w:val="bottom"/>
            <w:vMerge w:val="restart"/>
          </w:tcPr>
          <w:p>
            <w:pPr>
              <w:jc w:val="right"/>
              <w:ind w:right="328"/>
              <w:spacing w:after="0"/>
              <w:rPr>
                <w:sz w:val="20"/>
                <w:szCs w:val="20"/>
                <w:color w:val="auto"/>
              </w:rPr>
            </w:pPr>
            <w:r>
              <w:rPr>
                <w:rFonts w:ascii="Arial" w:cs="Arial" w:eastAsia="Arial" w:hAnsi="Arial"/>
                <w:sz w:val="14"/>
                <w:szCs w:val="14"/>
                <w:color w:val="auto"/>
              </w:rPr>
              <w:t>2.4</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federal benefit</w:t>
            </w:r>
          </w:p>
        </w:tc>
        <w:tc>
          <w:tcPr>
            <w:tcW w:w="1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operations</w:t>
            </w:r>
          </w:p>
        </w:tc>
        <w:tc>
          <w:tcPr>
            <w:tcW w:w="10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(0.5)</w:t>
            </w:r>
          </w:p>
        </w:tc>
        <w:tc>
          <w:tcPr>
            <w:tcW w:w="10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(0.6)</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Federal research tax credit</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(1.4)</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(1.7)</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Foreign-derived intangible income</w:t>
            </w:r>
          </w:p>
        </w:tc>
        <w:tc>
          <w:tcPr>
            <w:tcW w:w="10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(0.9)</w:t>
            </w: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5"/>
        </w:trPr>
        <w:tc>
          <w:tcPr>
            <w:tcW w:w="2420" w:type="dxa"/>
            <w:vAlign w:val="bottom"/>
          </w:tcPr>
          <w:p>
            <w:pPr>
              <w:ind w:left="140"/>
              <w:spacing w:after="0" w:line="135" w:lineRule="exact"/>
              <w:rPr>
                <w:sz w:val="20"/>
                <w:szCs w:val="20"/>
                <w:color w:val="auto"/>
              </w:rPr>
            </w:pPr>
            <w:r>
              <w:rPr>
                <w:rFonts w:ascii="Arial" w:cs="Arial" w:eastAsia="Arial" w:hAnsi="Arial"/>
                <w:sz w:val="14"/>
                <w:szCs w:val="14"/>
                <w:color w:val="auto"/>
              </w:rPr>
              <w:t>Remeasurement of deferred tax</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assets and liabilities</w:t>
            </w:r>
          </w:p>
        </w:tc>
        <w:tc>
          <w:tcPr>
            <w:tcW w:w="1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repatriation tax</w:t>
            </w:r>
          </w:p>
        </w:tc>
        <w:tc>
          <w:tcPr>
            <w:tcW w:w="10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(0.1)</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(0.4)</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0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18.0 %</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1"/>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assets:</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6"/>
        </w:trPr>
        <w:tc>
          <w:tcPr>
            <w:tcW w:w="3180" w:type="dxa"/>
            <w:vAlign w:val="bottom"/>
          </w:tcPr>
          <w:p>
            <w:pPr>
              <w:ind w:left="140"/>
              <w:spacing w:after="0"/>
              <w:rPr>
                <w:sz w:val="20"/>
                <w:szCs w:val="20"/>
                <w:color w:val="auto"/>
              </w:rPr>
            </w:pPr>
            <w:r>
              <w:rPr>
                <w:rFonts w:ascii="Arial" w:cs="Arial" w:eastAsia="Arial" w:hAnsi="Arial"/>
                <w:sz w:val="14"/>
                <w:szCs w:val="14"/>
                <w:color w:val="auto"/>
              </w:rPr>
              <w:t>Compensation and benefits</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34,403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30,363</w:t>
            </w:r>
          </w:p>
        </w:tc>
      </w:tr>
      <w:tr>
        <w:trPr>
          <w:trHeight w:val="192"/>
        </w:trPr>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Warranty and insurance</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30,840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28,480</w:t>
            </w:r>
          </w:p>
        </w:tc>
      </w:tr>
      <w:tr>
        <w:trPr>
          <w:trHeight w:val="186"/>
        </w:trPr>
        <w:tc>
          <w:tcPr>
            <w:tcW w:w="3180" w:type="dxa"/>
            <w:vAlign w:val="bottom"/>
          </w:tcPr>
          <w:p>
            <w:pPr>
              <w:ind w:left="140"/>
              <w:spacing w:after="0"/>
              <w:rPr>
                <w:sz w:val="20"/>
                <w:szCs w:val="20"/>
                <w:color w:val="auto"/>
              </w:rPr>
            </w:pPr>
            <w:r>
              <w:rPr>
                <w:rFonts w:ascii="Arial" w:cs="Arial" w:eastAsia="Arial" w:hAnsi="Arial"/>
                <w:sz w:val="14"/>
                <w:szCs w:val="14"/>
                <w:color w:val="auto"/>
              </w:rPr>
              <w:t>Lease liabilities</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17,735</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20,843</w:t>
            </w:r>
          </w:p>
        </w:tc>
      </w:tr>
      <w:tr>
        <w:trPr>
          <w:trHeight w:val="192"/>
        </w:trPr>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sales promotions and incentives</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6,669</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6,937</w:t>
            </w:r>
          </w:p>
        </w:tc>
      </w:tr>
      <w:tr>
        <w:trPr>
          <w:trHeight w:val="186"/>
        </w:trPr>
        <w:tc>
          <w:tcPr>
            <w:tcW w:w="318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21,118</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4,937</w:t>
            </w:r>
          </w:p>
        </w:tc>
      </w:tr>
      <w:tr>
        <w:trPr>
          <w:trHeight w:val="192"/>
        </w:trPr>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4,232</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w:t>
            </w:r>
          </w:p>
        </w:tc>
      </w:tr>
      <w:tr>
        <w:trPr>
          <w:trHeight w:val="186"/>
        </w:trPr>
        <w:tc>
          <w:tcPr>
            <w:tcW w:w="3180" w:type="dxa"/>
            <w:vAlign w:val="bottom"/>
          </w:tcPr>
          <w:p>
            <w:pPr>
              <w:ind w:left="140"/>
              <w:spacing w:after="0"/>
              <w:rPr>
                <w:sz w:val="20"/>
                <w:szCs w:val="20"/>
                <w:color w:val="auto"/>
              </w:rPr>
            </w:pPr>
            <w:r>
              <w:rPr>
                <w:rFonts w:ascii="Arial" w:cs="Arial" w:eastAsia="Arial" w:hAnsi="Arial"/>
                <w:sz w:val="14"/>
                <w:szCs w:val="14"/>
                <w:color w:val="auto"/>
              </w:rPr>
              <w:t>Other</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10,520</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9,643</w:t>
            </w:r>
          </w:p>
        </w:tc>
      </w:tr>
      <w:tr>
        <w:trPr>
          <w:trHeight w:val="189"/>
        </w:trPr>
        <w:tc>
          <w:tcPr>
            <w:tcW w:w="3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Valuation allowance</w:t>
            </w: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(3,205)</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r>
      <w:tr>
        <w:trPr>
          <w:trHeight w:val="18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 assets</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122,312</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100,543</w:t>
            </w:r>
          </w:p>
        </w:tc>
      </w:tr>
      <w:tr>
        <w:trPr>
          <w:trHeight w:val="18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318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(17,071)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(20,179)</w:t>
            </w:r>
          </w:p>
        </w:tc>
      </w:tr>
      <w:tr>
        <w:trPr>
          <w:trHeight w:val="192"/>
        </w:trPr>
        <w:tc>
          <w:tcPr>
            <w:tcW w:w="3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(47,551)</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(49,018)</w:t>
            </w:r>
          </w:p>
        </w:tc>
      </w:tr>
      <w:tr>
        <w:trPr>
          <w:trHeight w:val="186"/>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Amortization</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(102,287)</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(95,315)</w:t>
            </w:r>
          </w:p>
        </w:tc>
      </w:tr>
      <w:tr>
        <w:trPr>
          <w:trHeight w:val="183"/>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(166,909)</w:t>
            </w: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(164,512)</w:t>
            </w:r>
          </w:p>
        </w:tc>
      </w:tr>
      <w:tr>
        <w:trPr>
          <w:trHeight w:val="18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 liabilities, net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(44,597)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(63,969)</w:t>
            </w:r>
          </w:p>
        </w:tc>
      </w:tr>
      <w:tr>
        <w:trPr>
          <w:trHeight w:val="24"/>
        </w:trPr>
        <w:tc>
          <w:tcPr>
            <w:tcW w:w="3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160"/>
        <w:spacing w:after="0" w:line="271" w:lineRule="auto"/>
        <w:rPr>
          <w:sz w:val="20"/>
          <w:szCs w:val="20"/>
          <w:color w:val="auto"/>
        </w:rPr>
      </w:pPr>
      <w:r>
        <w:rPr>
          <w:rFonts w:ascii="Arial" w:cs="Arial" w:eastAsia="Arial" w:hAnsi="Arial"/>
          <w:sz w:val="17"/>
          <w:szCs w:val="17"/>
          <w:color w:val="auto"/>
        </w:rPr>
        <w:t>The net change in the total valuation allowance between the fiscal years ended October 31, 2021 and 2020 was a decrease of $0.4 million. The change in valuation allowance is related to state tax credits, branch foreign tax credits, capital loss carryforwards, and net operating losses that are expected to expire prior to utilization. As of October 31, 2021, the company had net operating loss carryforwards of approximately $1.3 million in foreign jurisdictions, which are comprised of $0.9 million that do not expire and $0.4 million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expire between fiscal 2025 and fiscal 2038. The company also had domestic credit carryforwards of $2.7 million that expire between fiscal 2028 and fiscal 2042.</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that $22.3 million of the total undistributed earnings of its foreign operations are intended to be indefinitely reinvested. Should these earnings be distributed in the future in the form of dividends or otherwise, the company may be subject to foreign withholding taxes, state income taxes, and/or additional federal taxes for currency fluctuations. As of October 31, 2021, the unrecognized deferred tax liabilities for temporary differences related to the company’s investment in non-U.S. subsidiaries, and any withholding, state, or additional federal taxes that may be applied upon any future repatriation, are expected to be immaterial.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Unrecognized tax benefits as of October 31, 2020</w:t>
            </w:r>
          </w:p>
        </w:tc>
        <w:tc>
          <w:tcPr>
            <w:tcW w:w="6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2,860</w:t>
            </w:r>
          </w:p>
        </w:tc>
      </w:tr>
      <w:tr>
        <w:trPr>
          <w:trHeight w:val="18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as a result of tax positions taken during a prior period</w:t>
            </w:r>
          </w:p>
        </w:tc>
        <w:tc>
          <w:tcPr>
            <w:tcW w:w="6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Decrease as a result of tax positions taken during a prior period</w:t>
            </w:r>
          </w:p>
        </w:tc>
        <w:tc>
          <w:tcPr>
            <w:tcW w:w="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Increase as a result of tax positions taken during the current period</w:t>
            </w:r>
          </w:p>
        </w:tc>
        <w:tc>
          <w:tcPr>
            <w:tcW w:w="6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r>
      <w:tr>
        <w:trPr>
          <w:trHeight w:val="18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Reductions as a result of statute of limitations lapses</w:t>
            </w:r>
          </w:p>
        </w:tc>
        <w:tc>
          <w:tcPr>
            <w:tcW w:w="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8"/>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 as of October 31, 2021</w:t>
            </w:r>
          </w:p>
        </w:tc>
        <w:tc>
          <w:tcPr>
            <w:tcW w:w="6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interest and penalties related to unrecognized tax benefits as a component of the provision for income taxes within the Consolidated Statements of Earnings. In addition to the unrecognized tax benefits of $3.1 million, which have been recorded as an other accrued liability within the Consolidated Balance Sheets as of October 31, 2021, the company recorded $1.0 million of accrued interest and penalties as an other accrued liability within the Consolidated Balance Sheets as of October 31, 2021. Included in the balance of unrecognized tax benefits as of October 31, 2021 are potential benefits of $3.3 million that, if recognized, would affect the effective tax rate.</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2017. The company is under audit in certain state jurisdictions and expects various statutes of limitation to expire during the next 12 months. Due to the uncertainty related to the response of taxing authorities, a range of outcomes cannot be reasonably estimated at this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auto"/>
        </w:rPr>
        <w:t xml:space="preserve">10 </w:t>
      </w:r>
      <w:r>
        <w:rPr>
          <w:rFonts w:ascii="Arial" w:cs="Arial" w:eastAsia="Arial" w:hAnsi="Arial"/>
          <w:sz w:val="19"/>
          <w:szCs w:val="19"/>
          <w:b w:val="1"/>
          <w:bCs w:val="1"/>
          <w:color w:val="auto"/>
        </w:rPr>
        <w:t>Stock-Based Compensation</w:t>
      </w:r>
    </w:p>
    <w:p>
      <w:pPr>
        <w:spacing w:after="0" w:line="210"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The company maintains the 2010 plan for executive officers, other employees, and non-employee Board members. The 2010 plan allows the company to grant stock-based compensation awards to such individuals, including stock options, restricted stock units, restricted stock, performance share awards, and unrestricted common stock awards. The number of unissued shares of common stock available for future stock-based compensation award grants under the 2010 plan was 3,063,231 as of October 31, 2021. Shares of common stock issued upon the exercise, vesting, or settlement of stock options, restricted stock units, and performance shares are issued from treasury shares.</w:t>
      </w:r>
    </w:p>
    <w:p>
      <w:pPr>
        <w:spacing w:after="0" w:line="77"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Compensation costs related to stock-based compensation awards were as follows (in thousands):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 awards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9,971</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9,163</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6,537</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Performance share awards</w:t>
            </w:r>
          </w:p>
        </w:tc>
        <w:tc>
          <w:tcPr>
            <w:tcW w:w="3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6,861</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2,123</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 awards</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4,306</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3,429</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Unrestricted common stock awards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32"/>
        </w:trPr>
        <w:tc>
          <w:tcPr>
            <w:tcW w:w="23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compensation cost for stock-</w:t>
            </w: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21,809</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15,408</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13,429</w:t>
            </w:r>
          </w:p>
        </w:tc>
        <w:tc>
          <w:tcPr>
            <w:tcW w:w="0" w:type="dxa"/>
            <w:vAlign w:val="bottom"/>
          </w:tcPr>
          <w:p>
            <w:pPr>
              <w:spacing w:after="0"/>
              <w:rPr>
                <w:sz w:val="1"/>
                <w:szCs w:val="1"/>
                <w:color w:val="auto"/>
              </w:rPr>
            </w:pPr>
          </w:p>
        </w:tc>
      </w:tr>
      <w:tr>
        <w:trPr>
          <w:trHeight w:val="206"/>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based compensation awards</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00" w:type="dxa"/>
            <w:vAlign w:val="bottom"/>
          </w:tcPr>
          <w:p>
            <w:pPr>
              <w:ind w:left="20"/>
              <w:spacing w:after="0" w:line="113" w:lineRule="exact"/>
              <w:rPr>
                <w:sz w:val="20"/>
                <w:szCs w:val="20"/>
                <w:color w:val="auto"/>
              </w:rPr>
            </w:pPr>
            <w:r>
              <w:rPr>
                <w:rFonts w:ascii="Arial" w:cs="Arial" w:eastAsia="Arial" w:hAnsi="Arial"/>
                <w:sz w:val="13"/>
                <w:szCs w:val="13"/>
                <w:color w:val="auto"/>
              </w:rPr>
              <w:t>Related tax benefit from stock-based</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5,221</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3,696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compensation awards</w:t>
            </w:r>
          </w:p>
        </w:tc>
        <w:tc>
          <w:tcPr>
            <w:tcW w:w="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 Awards</w:t>
      </w:r>
    </w:p>
    <w:p>
      <w:pPr>
        <w:spacing w:after="0" w:line="121"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Under the 2010 plan, stock options are granted with an exercise price equal to the closing price of the company's common stock on the date of grant, as reported by the New York Stock Exchange. Options are generally granted to executive officers, other employees, and non-employee Board members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if the option holder is employed as of the end of the fiscal year in which the options are granted, such options will not be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illustrates the weighted-average valuation assumptions used under the Black-Scholes valuation method for options granted in the following fiscal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Fiscal Years Ended October 31</w:t>
            </w: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of option in years</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6.21</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Expected stock price volatility</w:t>
            </w:r>
          </w:p>
        </w:tc>
        <w:tc>
          <w:tcPr>
            <w:tcW w:w="3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23.26 %</w:t>
            </w: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19.53 %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19.83 %</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0.55 %</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1.73 %</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2.77 %</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3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0.86 %</w:t>
            </w: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0.99 %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Per share weighted-average fair</w:t>
            </w: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19.39</w:t>
            </w:r>
          </w:p>
        </w:tc>
        <w:tc>
          <w:tcPr>
            <w:tcW w:w="2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15.23</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value at date of grant</w:t>
            </w: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total market value of stock options exercised and the total intrinsic value of options exercised during the following fiscal years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Market value of stock options</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40,071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56,761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92,352</w:t>
            </w: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20"/>
              <w:spacing w:after="0" w:line="135" w:lineRule="exact"/>
              <w:rPr>
                <w:sz w:val="20"/>
                <w:szCs w:val="20"/>
                <w:color w:val="auto"/>
              </w:rPr>
            </w:pPr>
            <w:r>
              <w:rPr>
                <w:rFonts w:ascii="Arial" w:cs="Arial" w:eastAsia="Arial" w:hAnsi="Arial"/>
                <w:sz w:val="14"/>
                <w:szCs w:val="14"/>
                <w:color w:val="auto"/>
              </w:rPr>
              <w:t>Intrinsic value of stock options</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25,952</w:t>
            </w: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33,920</w:t>
            </w: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62,288</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exercised</w:t>
            </w:r>
            <w:r>
              <w:rPr>
                <w:rFonts w:ascii="Arial" w:cs="Arial" w:eastAsia="Arial" w:hAnsi="Arial"/>
                <w:sz w:val="18"/>
                <w:szCs w:val="18"/>
                <w:color w:val="auto"/>
                <w:vertAlign w:val="superscript"/>
              </w:rPr>
              <w:t>1</w:t>
            </w:r>
          </w:p>
        </w:tc>
        <w:tc>
          <w:tcPr>
            <w:tcW w:w="4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hanging="332"/>
        <w:spacing w:after="0" w:line="220" w:lineRule="auto"/>
        <w:tabs>
          <w:tab w:leader="none" w:pos="205" w:val="left"/>
        </w:tabs>
        <w:numPr>
          <w:ilvl w:val="0"/>
          <w:numId w:val="58"/>
        </w:numPr>
        <w:rPr>
          <w:rFonts w:ascii="Arial" w:cs="Arial" w:eastAsia="Arial" w:hAnsi="Arial"/>
          <w:sz w:val="20"/>
          <w:szCs w:val="20"/>
          <w:color w:val="auto"/>
          <w:vertAlign w:val="superscript"/>
        </w:rPr>
      </w:pPr>
      <w:r>
        <w:rPr>
          <w:rFonts w:ascii="Arial" w:cs="Arial" w:eastAsia="Arial" w:hAnsi="Arial"/>
          <w:sz w:val="15"/>
          <w:szCs w:val="15"/>
          <w:color w:val="auto"/>
        </w:rPr>
        <w:t>Intrinsic value is calculated as the amount by which the stock price at exercise date exceeded the option exercise price.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Awards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related to the company's performance share awards are as follows (in thousands, except per award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Weighted-average fair value per award</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90.59</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77.33</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59.58</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date of grant</w:t>
            </w:r>
          </w:p>
        </w:tc>
        <w:tc>
          <w:tcPr>
            <w:tcW w:w="2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4"/>
                <w:szCs w:val="14"/>
                <w:color w:val="auto"/>
              </w:rPr>
              <w:t>Fair value of performance share</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3,428</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6,271</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6,300</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awards vested</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stock option activity for fiscal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2"/>
              </w:rPr>
              <w:t>Weighted-</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Stock Option</w:t>
            </w: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9"/>
              </w:rPr>
              <w:t>Average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1"/>
                <w:szCs w:val="11"/>
                <w:color w:val="auto"/>
              </w:rPr>
            </w:pPr>
          </w:p>
        </w:tc>
        <w:tc>
          <w:tcPr>
            <w:tcW w:w="80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3"/>
              </w:rPr>
              <w:t>Exercise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80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5"/>
              </w:rPr>
              <w:t>Value (in</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Awards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4"/>
              </w:rPr>
              <w:t>Price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Life (years)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1"/>
              </w:rPr>
              <w:t>thousands)</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Outstanding as of</w:t>
            </w:r>
          </w:p>
        </w:tc>
        <w:tc>
          <w:tcPr>
            <w:tcW w:w="11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2,646,603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54.40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73,305</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2020</w:t>
            </w:r>
          </w:p>
        </w:tc>
        <w:tc>
          <w:tcPr>
            <w:tcW w:w="11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rPr>
                <w:sz w:val="20"/>
                <w:szCs w:val="20"/>
                <w:color w:val="auto"/>
              </w:rPr>
            </w:pPr>
            <w:r>
              <w:rPr>
                <w:rFonts w:ascii="Arial" w:cs="Arial" w:eastAsia="Arial" w:hAnsi="Arial"/>
                <w:sz w:val="14"/>
                <w:szCs w:val="14"/>
                <w:color w:val="auto"/>
              </w:rPr>
              <w:t>Granted</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546,569</w:t>
            </w:r>
          </w:p>
        </w:tc>
        <w:tc>
          <w:tcPr>
            <w:tcW w:w="1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92.73</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(403,134)</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35.02</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(18,684)</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81.29</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Outstanding as of</w:t>
            </w:r>
          </w:p>
        </w:tc>
        <w:tc>
          <w:tcPr>
            <w:tcW w:w="11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2,771,354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64.60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85,576</w:t>
            </w: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2021</w:t>
            </w: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60" w:type="dxa"/>
            <w:vAlign w:val="bottom"/>
          </w:tcPr>
          <w:p>
            <w:pPr>
              <w:ind w:left="20"/>
              <w:spacing w:after="0" w:line="132" w:lineRule="exact"/>
              <w:rPr>
                <w:sz w:val="20"/>
                <w:szCs w:val="20"/>
                <w:color w:val="auto"/>
              </w:rPr>
            </w:pPr>
            <w:r>
              <w:rPr>
                <w:rFonts w:ascii="Arial" w:cs="Arial" w:eastAsia="Arial" w:hAnsi="Arial"/>
                <w:sz w:val="14"/>
                <w:szCs w:val="14"/>
                <w:color w:val="auto"/>
              </w:rPr>
              <w:t>Exercisable as of</w:t>
            </w:r>
          </w:p>
        </w:tc>
        <w:tc>
          <w:tcPr>
            <w:tcW w:w="1120" w:type="dxa"/>
            <w:vAlign w:val="bottom"/>
            <w:vMerge w:val="restart"/>
          </w:tcPr>
          <w:p>
            <w:pPr>
              <w:jc w:val="right"/>
              <w:ind w:right="49"/>
              <w:spacing w:after="0"/>
              <w:rPr>
                <w:sz w:val="20"/>
                <w:szCs w:val="20"/>
                <w:color w:val="auto"/>
              </w:rPr>
            </w:pPr>
            <w:r>
              <w:rPr>
                <w:rFonts w:ascii="Arial" w:cs="Arial" w:eastAsia="Arial" w:hAnsi="Arial"/>
                <w:sz w:val="14"/>
                <w:szCs w:val="14"/>
                <w:color w:val="auto"/>
              </w:rPr>
              <w:t>1,691,552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53.90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70,313</w:t>
            </w: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October 31, 2021</w:t>
            </w: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2021, there was $3.1 million of total unrecognized compensation cost related to unvested stock options that is expected to be recognized over a weighted-average period of 1.92 years.</w:t>
      </w:r>
    </w:p>
    <w:p>
      <w:pPr>
        <w:spacing w:after="0" w:line="20" w:lineRule="exact"/>
        <w:rPr>
          <w:sz w:val="20"/>
          <w:szCs w:val="20"/>
          <w:color w:val="auto"/>
        </w:rPr>
      </w:pPr>
      <w:r>
        <w:rPr>
          <w:sz w:val="20"/>
          <w:szCs w:val="20"/>
          <w:color w:val="auto"/>
        </w:rPr>
        <w:br w:type="column"/>
      </w:r>
    </w:p>
    <w:p>
      <w:pPr>
        <w:jc w:val="both"/>
        <w:ind w:left="160"/>
        <w:spacing w:after="0" w:line="277" w:lineRule="auto"/>
        <w:rPr>
          <w:sz w:val="20"/>
          <w:szCs w:val="20"/>
          <w:color w:val="auto"/>
        </w:rPr>
      </w:pPr>
      <w:r>
        <w:rPr>
          <w:rFonts w:ascii="Arial" w:cs="Arial" w:eastAsia="Arial" w:hAnsi="Arial"/>
          <w:sz w:val="18"/>
          <w:szCs w:val="18"/>
          <w:color w:val="auto"/>
        </w:rPr>
        <w:t>The table below presents fiscal 2021 activity for unvested performance share awards: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148"/>
        </w:trPr>
        <w:tc>
          <w:tcPr>
            <w:tcW w:w="2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Performance</w:t>
            </w:r>
          </w:p>
        </w:tc>
        <w:tc>
          <w:tcPr>
            <w:tcW w:w="1660" w:type="dxa"/>
            <w:vAlign w:val="bottom"/>
            <w:tcBorders>
              <w:top w:val="single" w:sz="8" w:color="auto"/>
            </w:tcBorders>
            <w:gridSpan w:val="2"/>
          </w:tcPr>
          <w:p>
            <w:pPr>
              <w:jc w:val="right"/>
              <w:ind w:right="8"/>
              <w:spacing w:after="0" w:line="149" w:lineRule="exact"/>
              <w:rPr>
                <w:sz w:val="20"/>
                <w:szCs w:val="20"/>
                <w:color w:val="auto"/>
              </w:rPr>
            </w:pPr>
            <w:r>
              <w:rPr>
                <w:rFonts w:ascii="Arial" w:cs="Arial" w:eastAsia="Arial" w:hAnsi="Arial"/>
                <w:sz w:val="14"/>
                <w:szCs w:val="14"/>
                <w:b w:val="1"/>
                <w:bCs w:val="1"/>
                <w:color w:val="auto"/>
              </w:rPr>
              <w:t>Weighted-Average Fair</w:t>
            </w:r>
          </w:p>
        </w:tc>
      </w:tr>
      <w:tr>
        <w:trPr>
          <w:trHeight w:val="188"/>
        </w:trPr>
        <w:tc>
          <w:tcPr>
            <w:tcW w:w="2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Value at Date of Grant</w:t>
            </w:r>
          </w:p>
        </w:tc>
      </w:tr>
      <w:tr>
        <w:trPr>
          <w:trHeight w:val="184"/>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October 31, 2020</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187,421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w:t>
            </w:r>
          </w:p>
        </w:tc>
      </w:tr>
      <w:tr>
        <w:trPr>
          <w:trHeight w:val="186"/>
        </w:trPr>
        <w:tc>
          <w:tcPr>
            <w:tcW w:w="234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53,976</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90.59</w:t>
            </w:r>
          </w:p>
        </w:tc>
      </w:tr>
      <w:tr>
        <w:trPr>
          <w:trHeight w:val="189"/>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(37,153)</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65.40</w:t>
            </w:r>
          </w:p>
        </w:tc>
      </w:tr>
      <w:tr>
        <w:trPr>
          <w:trHeight w:val="18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Unvested as of October 31, 2021</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76.16</w:t>
            </w:r>
          </w:p>
        </w:tc>
      </w:tr>
      <w:tr>
        <w:trPr>
          <w:trHeight w:val="24"/>
        </w:trPr>
        <w:tc>
          <w:tcPr>
            <w:tcW w:w="2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160"/>
        <w:spacing w:after="0" w:line="311" w:lineRule="auto"/>
        <w:rPr>
          <w:sz w:val="20"/>
          <w:szCs w:val="20"/>
          <w:color w:val="auto"/>
        </w:rPr>
      </w:pPr>
      <w:r>
        <w:rPr>
          <w:rFonts w:ascii="Arial" w:cs="Arial" w:eastAsia="Arial" w:hAnsi="Arial"/>
          <w:sz w:val="16"/>
          <w:szCs w:val="16"/>
          <w:color w:val="auto"/>
        </w:rPr>
        <w:t>As of October 31, 2021, there was $9.0 million of total unrecognized compensation cost related to unvested performance share awards that is expected to be recognized over a weighted-average period of 1.80 years.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Restricted Stock Unit Awards</w:t>
      </w:r>
    </w:p>
    <w:p>
      <w:pPr>
        <w:spacing w:after="0" w:line="121"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Under the 2010 plan, restricted stock unit awards are generally granted to certain employees that are not executive officers. Occasionally, restricted stock unit awards may be granted, including to executive officers, in connection with</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hiring, mid-year promotions, leadership transition, or retention. Restricted stock unit awards generally vest one-third each year over a three-year period, or vest in full on the three-year anniversary of the date of grant. In rare circumstances,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related to the company's restricted stock unit awards are as follows (in thousands, except per award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Weighted-average fair value per award</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97.87</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74.55</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66.26</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date of grant</w:t>
            </w:r>
          </w:p>
        </w:tc>
        <w:tc>
          <w:tcPr>
            <w:tcW w:w="2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4"/>
                <w:szCs w:val="14"/>
                <w:color w:val="auto"/>
              </w:rPr>
              <w:t>Fair value of restricted stock units</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4,464</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3,410</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vested</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fiscal 2021 activity for unvested restricted stock units: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Restricted Stock</w:t>
            </w:r>
          </w:p>
        </w:tc>
        <w:tc>
          <w:tcPr>
            <w:tcW w:w="16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Weighted-Average Fair</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3"/>
              </w:rPr>
              <w:t>Value at Date</w:t>
            </w:r>
          </w:p>
        </w:tc>
        <w:tc>
          <w:tcPr>
            <w:tcW w:w="0" w:type="dxa"/>
            <w:vAlign w:val="bottom"/>
          </w:tcPr>
          <w:p>
            <w:pPr>
              <w:spacing w:after="0"/>
              <w:rPr>
                <w:sz w:val="1"/>
                <w:szCs w:val="1"/>
                <w:color w:val="auto"/>
              </w:rPr>
            </w:pPr>
          </w:p>
        </w:tc>
      </w:tr>
      <w:tr>
        <w:trPr>
          <w:trHeight w:val="188"/>
        </w:trPr>
        <w:tc>
          <w:tcPr>
            <w:tcW w:w="2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Units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of Grant</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October 31, 2020</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100,280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73,098</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97.87</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(44,142)</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w:t>
            </w:r>
          </w:p>
        </w:tc>
        <w:tc>
          <w:tcPr>
            <w:tcW w:w="0" w:type="dxa"/>
            <w:vAlign w:val="bottom"/>
          </w:tcPr>
          <w:p>
            <w:pPr>
              <w:spacing w:after="0"/>
              <w:rPr>
                <w:sz w:val="1"/>
                <w:szCs w:val="1"/>
                <w:color w:val="auto"/>
              </w:rPr>
            </w:pPr>
          </w:p>
        </w:tc>
      </w:tr>
      <w:tr>
        <w:trPr>
          <w:trHeight w:val="18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(4,984)</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Unvested as of October 31, 2021</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124,252</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October 31, 2021, there was $5.3 million of total unrecognized compensation cost related to unvested restricted stock units that is expected to be recognized over a weighted-average period of 2.19 years.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Unrestricted Common Stock Awards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2021, 2020, and 2019, 8,070, 8,920, and 10,090 shares, respectively, of fully vested unrestricted common stock awards were granted to certain Board members as a component of their compensation for their service on the Board and were recorded within selling, general and administrative expense in the Consolidated Statements of Earnings. Additionally, our Board members may elect to convert a portion or all of their calendar year annual retainers otherwise payable in cash into shares of the company's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a deferred compensation plan that allows executive officers and certain other employees that receive performance share awards under the 2010 plan to defer receipt of shares of the company's common stock paid out under such awards to a date in the future. Participants can defer up to 100 percent of the common stock payout and are always 100 percent vested in their accounts. Common stock payout deferrals under this plan are held in a rabbi trust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treated in a manner similar to treasury shares and are recorded at cost within stockholders' equity in the Consolidated Balance Sheets as of October 31, 2021 and 2020. The total of common stock required to settle this deferred compensation obligation is included in the denominator of the calculation of both basic and diluted net earnings per share of common stock.</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auto"/>
        </w:rPr>
        <w:t xml:space="preserve">11 </w:t>
      </w:r>
      <w:r>
        <w:rPr>
          <w:rFonts w:ascii="Arial" w:cs="Arial" w:eastAsia="Arial" w:hAnsi="Arial"/>
          <w:sz w:val="19"/>
          <w:szCs w:val="19"/>
          <w:b w:val="1"/>
          <w:bCs w:val="1"/>
          <w:color w:val="auto"/>
        </w:rPr>
        <w:t>Stockholders' Equity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On December 3, 2015, the company's Board authorized the repurchase of 8,000,000 shares of the company's common stock in open-market or in privately negotiated transactions. On December 4, 2018, the company's Board authorized the repurchase of up to an additional 5,000,000 shares of common stock in open-market or in privately negotiated transactions under the authorized stock repurchase program. During fiscal 2021 and 2019, the company paid $302.3 million and $20.0 million to repurchase 2,989,794 and 359,758 shares, respectively, under the authorized repurchase program; and as a result of the fiscal 2021 repurchase activity, no shares remained authorized under the December 3, 2015 tranche of authorized shares under the company's stock repurchase program as of October 31, 2021. The company curtailed the repurchase of shares of its common stock during fiscal 2020 as a result of the Venture Products transaction and to enhance its liquidity position in response to COVID-19; and thus, no shares were repurchased during fiscal 2020. The company curtailed the repurchase of shares of its common stock during the company's fiscal 2019 second, third, and fourth quarters as a result of the CMW transaction. As of October 31, 2021, 4,052,462 shares remained authorized by the company's Board for repurchase under the December 4, 2018 tranche of authorized shares under the company's stock repurchase program. This authorized stock repurchase program has no expiration date but may be terminated by the Board at any time. The authorized stock repurchase program does not include shares of the company's common stock surrendered by employees to satisfy minimum tax withholding obligations upon vesting of certain stock-based compensation awards granted under the company's 2010 plan.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Treasury Shares</w:t>
      </w:r>
    </w:p>
    <w:p>
      <w:pPr>
        <w:spacing w:after="0" w:line="121"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Treasury shares generally consist of shares of the company's common stock repurchased under the company's Board authorized stock repurchase program. The company values treasury shares on an average cost basis. As of October 31, 2021, the company had a total of 22,566,717 treasury shares at a total average cost of $1,595.8 million. As of October 31, 2020, the company had a total of 20,545,330 treasury shares at a total average cost of $1,323.2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AOCL, net of tax, within the Consolidated Statements of Stockholders' Equity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October 31</w:t>
            </w:r>
          </w:p>
        </w:tc>
        <w:tc>
          <w:tcPr>
            <w:tcW w:w="6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19,535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24,508</w:t>
            </w: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color w:val="auto"/>
              </w:rPr>
              <w:t>Pension benefits</w:t>
            </w:r>
          </w:p>
        </w:tc>
        <w:tc>
          <w:tcPr>
            <w:tcW w:w="6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3,899</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5,106</w:t>
            </w:r>
          </w:p>
        </w:tc>
      </w:tr>
      <w:tr>
        <w:trPr>
          <w:trHeight w:val="189"/>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flow derivative instruments</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2,562</w:t>
            </w: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w:t>
            </w:r>
          </w:p>
        </w:tc>
      </w:tr>
      <w:tr>
        <w:trPr>
          <w:trHeight w:val="18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accumulated other comprehensive loss</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25,996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34,262</w:t>
            </w:r>
          </w:p>
        </w:tc>
      </w:tr>
      <w:tr>
        <w:trPr>
          <w:trHeight w:val="24"/>
        </w:trPr>
        <w:tc>
          <w:tcPr>
            <w:tcW w:w="3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and activity of AOCL, net of tax,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2"/>
              </w:rPr>
              <w:t>Foreign</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3"/>
                <w:szCs w:val="13"/>
                <w:b w:val="1"/>
                <w:bCs w:val="1"/>
                <w:color w:val="auto"/>
                <w:w w:val="92"/>
              </w:rPr>
              <w:t>Cash Flow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8"/>
              </w:rPr>
              <w:t>Currency</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Pension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Derivative</w:t>
            </w:r>
          </w:p>
        </w:tc>
        <w:tc>
          <w:tcPr>
            <w:tcW w:w="220" w:type="dxa"/>
            <w:vAlign w:val="bottom"/>
          </w:tcPr>
          <w:p>
            <w:pPr>
              <w:spacing w:after="0"/>
              <w:rPr>
                <w:sz w:val="11"/>
                <w:szCs w:val="11"/>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3"/>
              </w:rPr>
              <w:t>Adjustments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Instruments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24,508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5,106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4,648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34,262</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2020</w:t>
            </w:r>
          </w:p>
        </w:tc>
        <w:tc>
          <w:tcPr>
            <w:tcW w:w="1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income before</w:t>
            </w:r>
          </w:p>
        </w:tc>
        <w:tc>
          <w:tcPr>
            <w:tcW w:w="18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(4,973)</w:t>
            </w:r>
          </w:p>
        </w:tc>
        <w:tc>
          <w:tcPr>
            <w:tcW w:w="22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(1,207)</w:t>
            </w:r>
          </w:p>
        </w:tc>
        <w:tc>
          <w:tcPr>
            <w:tcW w:w="20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(12,830)</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(19,010)</w:t>
            </w:r>
          </w:p>
        </w:tc>
        <w:tc>
          <w:tcPr>
            <w:tcW w:w="0" w:type="dxa"/>
            <w:vAlign w:val="bottom"/>
          </w:tcPr>
          <w:p>
            <w:pPr>
              <w:spacing w:after="0"/>
              <w:rPr>
                <w:sz w:val="1"/>
                <w:szCs w:val="1"/>
                <w:color w:val="auto"/>
              </w:rPr>
            </w:pPr>
          </w:p>
        </w:tc>
      </w:tr>
      <w:tr>
        <w:trPr>
          <w:trHeight w:val="186"/>
        </w:trPr>
        <w:tc>
          <w:tcPr>
            <w:tcW w:w="1300" w:type="dxa"/>
            <w:vAlign w:val="bottom"/>
          </w:tcPr>
          <w:p>
            <w:pPr>
              <w:ind w:left="2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Amounts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reclassified from</w:t>
            </w:r>
          </w:p>
        </w:tc>
        <w:tc>
          <w:tcPr>
            <w:tcW w:w="1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10,744</w:t>
            </w: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10,744</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AOCL</w:t>
            </w: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00" w:type="dxa"/>
            <w:vAlign w:val="bottom"/>
          </w:tcPr>
          <w:p>
            <w:pPr>
              <w:ind w:left="20"/>
              <w:spacing w:after="0" w:line="132" w:lineRule="exact"/>
              <w:rPr>
                <w:sz w:val="20"/>
                <w:szCs w:val="20"/>
                <w:color w:val="auto"/>
              </w:rPr>
            </w:pPr>
            <w:r>
              <w:rPr>
                <w:rFonts w:ascii="Arial" w:cs="Arial" w:eastAsia="Arial" w:hAnsi="Arial"/>
                <w:sz w:val="14"/>
                <w:szCs w:val="14"/>
                <w:color w:val="auto"/>
              </w:rPr>
              <w:t>Net current period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(4,973)</w:t>
            </w:r>
          </w:p>
        </w:tc>
        <w:tc>
          <w:tcPr>
            <w:tcW w:w="22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(1,207)</w:t>
            </w:r>
          </w:p>
        </w:tc>
        <w:tc>
          <w:tcPr>
            <w:tcW w:w="20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(2,086)</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(8,266)</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19,535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3,899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2,562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25,996</w:t>
            </w:r>
          </w:p>
        </w:tc>
        <w:tc>
          <w:tcPr>
            <w:tcW w:w="0" w:type="dxa"/>
            <w:vAlign w:val="bottom"/>
          </w:tcPr>
          <w:p>
            <w:pPr>
              <w:spacing w:after="0"/>
              <w:rPr>
                <w:sz w:val="1"/>
                <w:szCs w:val="1"/>
                <w:color w:val="auto"/>
              </w:rPr>
            </w:pPr>
          </w:p>
        </w:tc>
      </w:tr>
      <w:tr>
        <w:trPr>
          <w:trHeight w:val="20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2021</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0"/>
              <w:spacing w:after="0" w:line="129" w:lineRule="exact"/>
              <w:rPr>
                <w:sz w:val="20"/>
                <w:szCs w:val="20"/>
                <w:color w:val="auto"/>
              </w:rPr>
            </w:pPr>
            <w:r>
              <w:rPr>
                <w:rFonts w:ascii="Arial" w:cs="Arial" w:eastAsia="Arial" w:hAnsi="Arial"/>
                <w:sz w:val="13"/>
                <w:szCs w:val="13"/>
                <w:b w:val="1"/>
                <w:bCs w:val="1"/>
                <w:color w:val="auto"/>
                <w:w w:val="92"/>
              </w:rPr>
              <w:t>Foreign</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92"/>
              </w:rPr>
              <w:t>Cash Flow</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8"/>
              </w:rPr>
              <w:t>Currency</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Pension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Derivative</w:t>
            </w:r>
          </w:p>
        </w:tc>
        <w:tc>
          <w:tcPr>
            <w:tcW w:w="220" w:type="dxa"/>
            <w:vAlign w:val="bottom"/>
          </w:tcPr>
          <w:p>
            <w:pPr>
              <w:spacing w:after="0"/>
              <w:rPr>
                <w:sz w:val="11"/>
                <w:szCs w:val="11"/>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3"/>
              </w:rPr>
              <w:t>Adjustments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Instruments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31,025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4,861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(3,837)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32,049</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2019</w:t>
            </w:r>
          </w:p>
        </w:tc>
        <w:tc>
          <w:tcPr>
            <w:tcW w:w="1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w w:val="99"/>
              </w:rPr>
              <w:t>(income) loss before</w:t>
            </w:r>
          </w:p>
        </w:tc>
        <w:tc>
          <w:tcPr>
            <w:tcW w:w="18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(6,517)</w:t>
            </w:r>
          </w:p>
        </w:tc>
        <w:tc>
          <w:tcPr>
            <w:tcW w:w="220" w:type="dxa"/>
            <w:vAlign w:val="bottom"/>
          </w:tcPr>
          <w:p>
            <w:pPr>
              <w:spacing w:after="0"/>
              <w:rPr>
                <w:sz w:val="11"/>
                <w:szCs w:val="11"/>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11"/>
                <w:szCs w:val="11"/>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14,159</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7,887</w:t>
            </w:r>
          </w:p>
        </w:tc>
        <w:tc>
          <w:tcPr>
            <w:tcW w:w="0" w:type="dxa"/>
            <w:vAlign w:val="bottom"/>
          </w:tcPr>
          <w:p>
            <w:pPr>
              <w:spacing w:after="0"/>
              <w:rPr>
                <w:sz w:val="1"/>
                <w:szCs w:val="1"/>
                <w:color w:val="auto"/>
              </w:rPr>
            </w:pPr>
          </w:p>
        </w:tc>
      </w:tr>
      <w:tr>
        <w:trPr>
          <w:trHeight w:val="186"/>
        </w:trPr>
        <w:tc>
          <w:tcPr>
            <w:tcW w:w="1300" w:type="dxa"/>
            <w:vAlign w:val="bottom"/>
          </w:tcPr>
          <w:p>
            <w:pPr>
              <w:ind w:left="2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Amounts</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reclassified from</w:t>
            </w:r>
          </w:p>
        </w:tc>
        <w:tc>
          <w:tcPr>
            <w:tcW w:w="1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(5,674)</w:t>
            </w: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(5,674)</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AOCL</w:t>
            </w: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00" w:type="dxa"/>
            <w:vAlign w:val="bottom"/>
          </w:tcPr>
          <w:p>
            <w:pPr>
              <w:ind w:left="20"/>
              <w:spacing w:after="0" w:line="132" w:lineRule="exact"/>
              <w:rPr>
                <w:sz w:val="20"/>
                <w:szCs w:val="20"/>
                <w:color w:val="auto"/>
              </w:rPr>
            </w:pPr>
            <w:r>
              <w:rPr>
                <w:rFonts w:ascii="Arial" w:cs="Arial" w:eastAsia="Arial" w:hAnsi="Arial"/>
                <w:sz w:val="14"/>
                <w:szCs w:val="14"/>
                <w:color w:val="auto"/>
              </w:rPr>
              <w:t>Net current period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(6,517)</w:t>
            </w:r>
          </w:p>
        </w:tc>
        <w:tc>
          <w:tcPr>
            <w:tcW w:w="220" w:type="dxa"/>
            <w:vAlign w:val="bottom"/>
          </w:tcPr>
          <w:p>
            <w:pPr>
              <w:spacing w:after="0"/>
              <w:rPr>
                <w:sz w:val="11"/>
                <w:szCs w:val="11"/>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11"/>
                <w:szCs w:val="11"/>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8,485</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Balance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24,508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5,106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4,648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34,262</w:t>
            </w:r>
          </w:p>
        </w:tc>
        <w:tc>
          <w:tcPr>
            <w:tcW w:w="0" w:type="dxa"/>
            <w:vAlign w:val="bottom"/>
          </w:tcPr>
          <w:p>
            <w:pPr>
              <w:spacing w:after="0"/>
              <w:rPr>
                <w:sz w:val="1"/>
                <w:szCs w:val="1"/>
                <w:color w:val="auto"/>
              </w:rPr>
            </w:pPr>
          </w:p>
        </w:tc>
      </w:tr>
      <w:tr>
        <w:trPr>
          <w:trHeight w:val="20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2020</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14,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auto"/>
        </w:rPr>
        <w:t xml:space="preserve">12 </w:t>
      </w:r>
      <w:r>
        <w:rPr>
          <w:rFonts w:ascii="Arial" w:cs="Arial" w:eastAsia="Arial" w:hAnsi="Arial"/>
          <w:sz w:val="19"/>
          <w:szCs w:val="19"/>
          <w:b w:val="1"/>
          <w:bCs w:val="1"/>
          <w:color w:val="auto"/>
        </w:rPr>
        <w:t>Commitments and Contingencies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Financing Arrangements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 xml:space="preserve">The company is party to a joint venture with TCFIF, established as Red Iron, to provide wholesale financing to certain dealers and distributors of certain of the company's products. Refer to Note 8, </w:t>
      </w:r>
      <w:r>
        <w:rPr>
          <w:rFonts w:ascii="Arial" w:cs="Arial" w:eastAsia="Arial" w:hAnsi="Arial"/>
          <w:sz w:val="17"/>
          <w:szCs w:val="17"/>
          <w:i w:val="1"/>
          <w:iCs w:val="1"/>
          <w:color w:val="auto"/>
        </w:rPr>
        <w:t>Investment in Joint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Venture, </w:t>
      </w:r>
      <w:r>
        <w:rPr>
          <w:rFonts w:ascii="Arial" w:cs="Arial" w:eastAsia="Arial" w:hAnsi="Arial"/>
          <w:sz w:val="17"/>
          <w:szCs w:val="17"/>
          <w:color w:val="auto"/>
        </w:rPr>
        <w:t>for additional information related to Red Iron. Under a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TCFCFC provides inventory financing to dealers of certain of the company's products in Canada. The company also has floor plan financing agreements with other third-party financial institutions to provide floor plan financing to certain dealers and distributors not financed through Red Iron, which include agreements with third-party financial institutions in the U.S. and internationally. These third-party financial institutions and TCFCFC financed $460.5 million and $410.7 million of receivables for such dealers and distributors during the fiscal years ended October 31, 2021 and 2020, respectively. As of October 31, 2021 and 2020, $151.5 million and $137.6 million, respectively, of receivables financed by the third-party financing institutions and TCFCFC, excluding Red Iron, were outstanding.</w:t>
      </w:r>
    </w:p>
    <w:p>
      <w:pPr>
        <w:spacing w:after="0" w:line="72"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The company entered into a limited inventory repurchase agreement with Red Iron and TCFCFC. Under such limited inventory repurchase agreement, the company has agreed to repurchase products repossessed by Red Iron and TCFCFC, up to a maximum aggregate amount of $7.5 million in a calendar year. Additionally, as a result of the company's floor plan financing agreements with the separate third-party financial institutions, the company also entered into inventory repurchase agreements with the separate third-party financial institutions. Under such inventory repurchase agreements, the company has agreed to repurchase products repossessed by the separate third-party financial institutions. For the fiscal years ended October 31, 2021 and 2020, the company was contingently liable to repurchase up to a maximum amount of $96.8 million and $128.1 million, respectively, of inventory related to receivables under these inventory repurchase agreements. The company's financial exposure under these inventory repurchase agreements is limited to the difference between the amount paid to Red Iron or other third-party financing institutions for repurchases of inventory and the amount received upon subsequent resale of the repossessed product. The company has repurchased immaterial amounts of inventory pursuant to such arrangements during the fiscal years ended October 31, 2021, 2020, and 2019.</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117"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 From time to time, the company enters into</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agreements where it provides recourse to third-party finance companies in the event of default by the end-customer for financing payments to the third-party finance company. The company's maximum exposure for credit collection for the fiscal years ended October 31, 2021 and 2020 was $11.4 million and $12.5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October 31, 2021, the company had $57.1 million of noncancelable purchase commitments with certain of the company's suppliers for commodities as part of the normal course of business. As of October 31, 2021, the company did not have any material noncancelable purchase commitments related to capital expenditures for renovation and expansion efforts at the company's facilities and other property, plant and equipment.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w:t>
      </w:r>
    </w:p>
    <w:p>
      <w:pPr>
        <w:spacing w:after="0" w:line="4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9"/>
          <w:szCs w:val="19"/>
          <w:b w:val="1"/>
          <w:bCs w:val="1"/>
          <w:color w:val="auto"/>
        </w:rPr>
        <w:t>Leases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November 1, 2019, the first quarter of fiscal 2020, under the modified retrospective transition method with no cumulative-effect adjustment to beginning retained earnings within the Consolidated Balance Sheet as of such date. Accordingly, the company's Consolidated Financial Statements for the fiscal years ended October 31, 2021 and 2020 have been prepared and presented in accordance with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the company's Consolidated Financial Statements for the fiscal year ended October 31, 2019 continue to be prepared and presented in accordance with the legacy lease accounting guidance at ASC Topic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asset. Lease expense for the company's operating leases is recognized on a straight-line basis over the lease term and is recorded in cost of sales or selling, general and administrative expense within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3"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285"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the lease expense incurred on the company’s operating, short-term, and variable leases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w:t>
            </w:r>
          </w:p>
        </w:tc>
        <w:tc>
          <w:tcPr>
            <w:tcW w:w="8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20,361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19,637</w:t>
            </w:r>
          </w:p>
        </w:tc>
      </w:tr>
      <w:tr>
        <w:trPr>
          <w:trHeight w:val="186"/>
        </w:trPr>
        <w:tc>
          <w:tcPr>
            <w:tcW w:w="252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8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2,953</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2,949</w:t>
            </w:r>
          </w:p>
        </w:tc>
      </w:tr>
      <w:tr>
        <w:trPr>
          <w:trHeight w:val="189"/>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8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3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lease expense</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23,411</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22,720</w:t>
            </w:r>
          </w:p>
        </w:tc>
      </w:tr>
      <w:tr>
        <w:trPr>
          <w:trHeight w:val="24"/>
        </w:trPr>
        <w:tc>
          <w:tcPr>
            <w:tcW w:w="2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Total lease expense related to the company's operating leases under the legacy lease accounting guidance at ASC Topic 840, </w:t>
      </w:r>
      <w:r>
        <w:rPr>
          <w:rFonts w:ascii="Arial" w:cs="Arial" w:eastAsia="Arial" w:hAnsi="Arial"/>
          <w:sz w:val="17"/>
          <w:szCs w:val="17"/>
          <w:i w:val="1"/>
          <w:iCs w:val="1"/>
          <w:color w:val="auto"/>
        </w:rPr>
        <w:t>Leases</w:t>
      </w:r>
      <w:r>
        <w:rPr>
          <w:rFonts w:ascii="Arial" w:cs="Arial" w:eastAsia="Arial" w:hAnsi="Arial"/>
          <w:sz w:val="17"/>
          <w:szCs w:val="17"/>
          <w:color w:val="auto"/>
        </w:rPr>
        <w:t>, was $34.1 million for the fiscal year ended October 31, 2019.</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the company's operating leases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w:t>
            </w: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Operating cash flows for amounts included in the</w:t>
            </w:r>
          </w:p>
        </w:tc>
        <w:tc>
          <w:tcPr>
            <w:tcW w:w="3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18,877</w:t>
            </w:r>
          </w:p>
        </w:tc>
        <w:tc>
          <w:tcPr>
            <w:tcW w:w="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17,762</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measurement of lease liabilities</w:t>
            </w:r>
          </w:p>
        </w:tc>
        <w:tc>
          <w:tcPr>
            <w:tcW w:w="3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w w:val="95"/>
              </w:rPr>
              <w:t>Right-of-use assets obtained in exchange for lease</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5,390</w:t>
            </w:r>
          </w:p>
        </w:tc>
        <w:tc>
          <w:tcPr>
            <w:tcW w:w="3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22,667</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obligations</w:t>
            </w:r>
          </w:p>
        </w:tc>
        <w:tc>
          <w:tcPr>
            <w:tcW w:w="3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presents other lease information related to the company's operating leases as of October 31, 2021 and October 31,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October 31,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October 31, 2020</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Weighted-average remaining lease term of</w:t>
            </w:r>
          </w:p>
        </w:tc>
        <w:tc>
          <w:tcPr>
            <w:tcW w:w="14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 in years</w:t>
            </w:r>
          </w:p>
        </w:tc>
        <w:tc>
          <w:tcPr>
            <w:tcW w:w="14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rPr>
              <w:t>Weighted-average discount rate of operating</w:t>
            </w: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color w:val="auto"/>
              </w:rPr>
              <w:t>2.71 %</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leases</w:t>
            </w:r>
          </w:p>
        </w:tc>
        <w:tc>
          <w:tcPr>
            <w:tcW w:w="14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2021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2"/>
              </w:rPr>
              <w:t>October 31, 2021</w:t>
            </w:r>
          </w:p>
        </w:tc>
      </w:tr>
      <w:tr>
        <w:trPr>
          <w:trHeight w:val="184"/>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1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16,833</w:t>
            </w:r>
          </w:p>
        </w:tc>
      </w:tr>
      <w:tr>
        <w:trPr>
          <w:trHeight w:val="186"/>
        </w:trPr>
        <w:tc>
          <w:tcPr>
            <w:tcW w:w="3560" w:type="dxa"/>
            <w:vAlign w:val="bottom"/>
          </w:tcPr>
          <w:p>
            <w:pPr>
              <w:ind w:left="20"/>
              <w:spacing w:after="0"/>
              <w:rPr>
                <w:sz w:val="20"/>
                <w:szCs w:val="20"/>
                <w:color w:val="auto"/>
              </w:rPr>
            </w:pPr>
            <w:r>
              <w:rPr>
                <w:rFonts w:ascii="Arial" w:cs="Arial" w:eastAsia="Arial" w:hAnsi="Arial"/>
                <w:sz w:val="14"/>
                <w:szCs w:val="14"/>
                <w:color w:val="auto"/>
              </w:rPr>
              <w:t>2023</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13,568</w:t>
            </w:r>
          </w:p>
        </w:tc>
      </w:tr>
      <w:tr>
        <w:trPr>
          <w:trHeight w:val="19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w:t>
            </w:r>
          </w:p>
        </w:tc>
      </w:tr>
      <w:tr>
        <w:trPr>
          <w:trHeight w:val="186"/>
        </w:trPr>
        <w:tc>
          <w:tcPr>
            <w:tcW w:w="3560" w:type="dxa"/>
            <w:vAlign w:val="bottom"/>
          </w:tcPr>
          <w:p>
            <w:pPr>
              <w:ind w:left="20"/>
              <w:spacing w:after="0"/>
              <w:rPr>
                <w:sz w:val="20"/>
                <w:szCs w:val="20"/>
                <w:color w:val="auto"/>
              </w:rPr>
            </w:pPr>
            <w:r>
              <w:rPr>
                <w:rFonts w:ascii="Arial" w:cs="Arial" w:eastAsia="Arial" w:hAnsi="Arial"/>
                <w:sz w:val="14"/>
                <w:szCs w:val="14"/>
                <w:color w:val="auto"/>
              </w:rPr>
              <w:t>2025</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10,446</w:t>
            </w:r>
          </w:p>
        </w:tc>
      </w:tr>
      <w:tr>
        <w:trPr>
          <w:trHeight w:val="19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5,408</w:t>
            </w:r>
          </w:p>
        </w:tc>
      </w:tr>
      <w:tr>
        <w:trPr>
          <w:trHeight w:val="18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18,239</w:t>
            </w:r>
          </w:p>
        </w:tc>
      </w:tr>
      <w:tr>
        <w:trPr>
          <w:trHeight w:val="186"/>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future minimum operating lease payments</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76,536</w:t>
            </w:r>
          </w:p>
        </w:tc>
      </w:tr>
      <w:tr>
        <w:trPr>
          <w:trHeight w:val="186"/>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Less: imputed interest</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6,501</w:t>
            </w:r>
          </w:p>
        </w:tc>
      </w:tr>
      <w:tr>
        <w:trPr>
          <w:trHeight w:val="208"/>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1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70,035</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9"/>
          <w:szCs w:val="19"/>
          <w:b w:val="1"/>
          <w:bCs w:val="1"/>
          <w:color w:val="auto"/>
        </w:rPr>
        <w:t>Derivative</w:t>
      </w:r>
      <w:r>
        <w:rPr>
          <w:rFonts w:ascii="Arial" w:cs="Arial" w:eastAsia="Arial" w:hAnsi="Arial"/>
          <w:sz w:val="43"/>
          <w:szCs w:val="43"/>
          <w:b w:val="1"/>
          <w:bCs w:val="1"/>
          <w:color w:val="auto"/>
          <w:vertAlign w:val="subscript"/>
        </w:rPr>
        <w:t>Activities</w:t>
      </w:r>
      <w:r>
        <w:rPr>
          <w:rFonts w:ascii="Arial" w:cs="Arial" w:eastAsia="Arial" w:hAnsi="Arial"/>
          <w:sz w:val="43"/>
          <w:szCs w:val="43"/>
          <w:b w:val="1"/>
          <w:bCs w:val="1"/>
          <w:color w:val="auto"/>
        </w:rPr>
        <w:t xml:space="preserve"> </w:t>
      </w:r>
      <w:r>
        <w:rPr>
          <w:rFonts w:ascii="Arial" w:cs="Arial" w:eastAsia="Arial" w:hAnsi="Arial"/>
          <w:sz w:val="19"/>
          <w:szCs w:val="19"/>
          <w:b w:val="1"/>
          <w:bCs w:val="1"/>
          <w:color w:val="auto"/>
        </w:rPr>
        <w:t>Instruments and Hedging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the amount of exposure to the currency involved and an assessment of the near-term market value for each currency. 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Hedging Instruments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 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instrument remains in AOCL and is reclassified to net earnings within the same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 As of October 31, 2021, the notional amount outstanding of forward currency contracts designated as cash flow hedging instruments was $266.0 million.</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Derivatives Not Designated as Cash Flow Hedging Instruments</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60" w:lineRule="exact"/>
        <w:rPr>
          <w:sz w:val="20"/>
          <w:szCs w:val="20"/>
          <w:color w:val="auto"/>
        </w:rPr>
      </w:pPr>
    </w:p>
    <w:p>
      <w:pPr>
        <w:jc w:val="both"/>
        <w:ind w:left="160"/>
        <w:spacing w:after="0" w:line="342" w:lineRule="auto"/>
        <w:rPr>
          <w:sz w:val="20"/>
          <w:szCs w:val="20"/>
          <w:color w:val="auto"/>
        </w:rPr>
      </w:pPr>
      <w:r>
        <w:rPr>
          <w:rFonts w:ascii="Arial" w:cs="Arial" w:eastAsia="Arial" w:hAnsi="Arial"/>
          <w:sz w:val="16"/>
          <w:szCs w:val="16"/>
          <w:color w:val="auto"/>
        </w:rPr>
        <w:t>The following table presents the fair value and location of the company’s derivative instruments on the Consolidated Balance Sheets (in thousands):</w:t>
      </w:r>
    </w:p>
    <w:p>
      <w:pPr>
        <w:spacing w:after="0" w:line="37"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as of October 31</w:t>
            </w: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r>
      <w:tr>
        <w:trPr>
          <w:trHeight w:val="184"/>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w w:val="95"/>
              </w:rPr>
              <w:t>Derivatives designated as cash flow hedging instruments: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3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802</w:t>
            </w:r>
          </w:p>
        </w:tc>
      </w:tr>
      <w:tr>
        <w:trPr>
          <w:trHeight w:val="138"/>
        </w:trPr>
        <w:tc>
          <w:tcPr>
            <w:tcW w:w="35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i w:val="1"/>
                <w:iCs w:val="1"/>
                <w:color w:val="auto"/>
              </w:rPr>
              <w:t>Derivatives not designated as cash flow hedging</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89"/>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instruments:</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3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18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derivative assets</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w w:val="95"/>
              </w:rPr>
              <w:t>Derivatives designated as cash flow hedging instruments: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3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1,260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2,687</w:t>
            </w:r>
          </w:p>
        </w:tc>
      </w:tr>
      <w:tr>
        <w:trPr>
          <w:trHeight w:val="138"/>
        </w:trPr>
        <w:tc>
          <w:tcPr>
            <w:tcW w:w="35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i w:val="1"/>
                <w:iCs w:val="1"/>
                <w:color w:val="auto"/>
              </w:rPr>
              <w:t>Derivatives not designated as cash flow hedging</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89"/>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instruments:</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3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8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derivative liabilities</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r>
      <w:tr>
        <w:trPr>
          <w:trHeight w:val="24"/>
        </w:trPr>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the effects of the master netting arrangements on the fair value of the company’s derivative instruments that are recorded on the Consolidated Balance Sheets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as of October 31</w:t>
            </w:r>
          </w:p>
        </w:tc>
        <w:tc>
          <w:tcPr>
            <w:tcW w:w="5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r>
      <w:tr>
        <w:trPr>
          <w:trHeight w:val="184"/>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6"/>
        </w:trPr>
        <w:tc>
          <w:tcPr>
            <w:tcW w:w="3340" w:type="dxa"/>
            <w:vAlign w:val="bottom"/>
          </w:tcPr>
          <w:p>
            <w:pPr>
              <w:ind w:left="140"/>
              <w:spacing w:after="0"/>
              <w:rPr>
                <w:sz w:val="20"/>
                <w:szCs w:val="20"/>
                <w:color w:val="auto"/>
              </w:rPr>
            </w:pPr>
            <w:r>
              <w:rPr>
                <w:rFonts w:ascii="Arial" w:cs="Arial" w:eastAsia="Arial" w:hAnsi="Arial"/>
                <w:sz w:val="14"/>
                <w:szCs w:val="14"/>
                <w:i w:val="1"/>
                <w:iCs w:val="1"/>
                <w:color w:val="auto"/>
              </w:rPr>
              <w:t>Forward currency contracts:</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3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amount of derivative assets</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r>
      <w:tr>
        <w:trPr>
          <w:trHeight w:val="186"/>
        </w:trPr>
        <w:tc>
          <w:tcPr>
            <w:tcW w:w="33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Derivative liabilities offsetting derivative assets</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r>
      <w:tr>
        <w:trPr>
          <w:trHeight w:val="207"/>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amount of derivative assets</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34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Forward currency contracts:</w:t>
            </w: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340" w:type="dxa"/>
            <w:vAlign w:val="bottom"/>
          </w:tcPr>
          <w:p>
            <w:pPr>
              <w:ind w:left="220"/>
              <w:spacing w:after="0"/>
              <w:rPr>
                <w:sz w:val="20"/>
                <w:szCs w:val="20"/>
                <w:color w:val="auto"/>
              </w:rPr>
            </w:pPr>
            <w:r>
              <w:rPr>
                <w:rFonts w:ascii="Arial" w:cs="Arial" w:eastAsia="Arial" w:hAnsi="Arial"/>
                <w:sz w:val="14"/>
                <w:szCs w:val="14"/>
                <w:color w:val="auto"/>
              </w:rPr>
              <w:t>Gross amount of derivative liabilities</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(4,853)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(3,233)</w:t>
            </w:r>
          </w:p>
        </w:tc>
      </w:tr>
      <w:tr>
        <w:trPr>
          <w:trHeight w:val="189"/>
        </w:trPr>
        <w:tc>
          <w:tcPr>
            <w:tcW w:w="3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Derivative assets offsetting derivative liabilities</w:t>
            </w:r>
          </w:p>
        </w:tc>
        <w:tc>
          <w:tcPr>
            <w:tcW w:w="5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2,721</w:t>
            </w: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w:t>
            </w:r>
          </w:p>
        </w:tc>
      </w:tr>
      <w:tr>
        <w:trPr>
          <w:trHeight w:val="18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amount of derivative liabilities</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(2,132)</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r>
      <w:tr>
        <w:trPr>
          <w:trHeight w:val="24"/>
        </w:trPr>
        <w:tc>
          <w:tcPr>
            <w:tcW w:w="3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28"/>
              <w:spacing w:after="0" w:line="149" w:lineRule="exact"/>
              <w:rPr>
                <w:sz w:val="20"/>
                <w:szCs w:val="20"/>
                <w:color w:val="auto"/>
              </w:rPr>
            </w:pPr>
            <w:r>
              <w:rPr>
                <w:rFonts w:ascii="Arial" w:cs="Arial" w:eastAsia="Arial" w:hAnsi="Arial"/>
                <w:sz w:val="14"/>
                <w:szCs w:val="14"/>
                <w:b w:val="1"/>
                <w:bCs w:val="1"/>
                <w:color w:val="auto"/>
                <w:w w:val="89"/>
              </w:rPr>
              <w:t>Gain (Loss) Reclassified</w:t>
            </w:r>
          </w:p>
        </w:tc>
        <w:tc>
          <w:tcPr>
            <w:tcW w:w="120" w:type="dxa"/>
            <w:vAlign w:val="bottom"/>
          </w:tcPr>
          <w:p>
            <w:pPr>
              <w:spacing w:after="0"/>
              <w:rPr>
                <w:sz w:val="12"/>
                <w:szCs w:val="12"/>
                <w:color w:val="auto"/>
              </w:rPr>
            </w:pPr>
          </w:p>
        </w:tc>
        <w:tc>
          <w:tcPr>
            <w:tcW w:w="170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w w:val="93"/>
              </w:rPr>
              <w:t>Gain (Loss) Recognized in</w:t>
            </w:r>
          </w:p>
        </w:tc>
        <w:tc>
          <w:tcPr>
            <w:tcW w:w="0" w:type="dxa"/>
            <w:vAlign w:val="bottom"/>
          </w:tcPr>
          <w:p>
            <w:pPr>
              <w:spacing w:after="0"/>
              <w:rPr>
                <w:sz w:val="1"/>
                <w:szCs w:val="1"/>
                <w:color w:val="auto"/>
              </w:rPr>
            </w:pPr>
          </w:p>
        </w:tc>
      </w:tr>
      <w:tr>
        <w:trPr>
          <w:trHeight w:val="188"/>
        </w:trPr>
        <w:tc>
          <w:tcPr>
            <w:tcW w:w="1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from AOCL into Income</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9"/>
              </w:rPr>
              <w:t>OCI on Derivatives</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Fiscal Years Ended October</w:t>
            </w:r>
          </w:p>
        </w:tc>
        <w:tc>
          <w:tcPr>
            <w:tcW w:w="10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i w:val="1"/>
                <w:iCs w:val="1"/>
                <w:color w:val="auto"/>
              </w:rPr>
              <w:t>Derivatives designated as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cash flow hedging</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instruments: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160"/>
              <w:spacing w:after="0"/>
              <w:rPr>
                <w:sz w:val="20"/>
                <w:szCs w:val="20"/>
                <w:color w:val="auto"/>
              </w:rPr>
            </w:pPr>
            <w:r>
              <w:rPr>
                <w:rFonts w:ascii="Arial" w:cs="Arial" w:eastAsia="Arial" w:hAnsi="Arial"/>
                <w:sz w:val="14"/>
                <w:szCs w:val="14"/>
                <w:color w:val="auto"/>
              </w:rPr>
              <w:t>Forward currency contracts: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(10,883)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w:t>
            </w:r>
          </w:p>
        </w:tc>
        <w:tc>
          <w:tcPr>
            <w:tcW w:w="0" w:type="dxa"/>
            <w:vAlign w:val="bottom"/>
          </w:tcPr>
          <w:p>
            <w:pPr>
              <w:spacing w:after="0"/>
              <w:rPr>
                <w:sz w:val="1"/>
                <w:szCs w:val="1"/>
                <w:color w:val="auto"/>
              </w:rPr>
            </w:pPr>
          </w:p>
        </w:tc>
      </w:tr>
      <w:tr>
        <w:trPr>
          <w:trHeight w:val="186"/>
        </w:trPr>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Cost of sales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(734)</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32"/>
        </w:trPr>
        <w:tc>
          <w:tcPr>
            <w:tcW w:w="19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derivatives designated</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as cash flow hedging</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(10,744)</w:t>
            </w: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5,674</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2,086</w:t>
            </w: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206"/>
        </w:trPr>
        <w:tc>
          <w:tcPr>
            <w:tcW w:w="1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2021 and 2020, the company recognized immaterial losses and gains, respectively, within other income, net on the Consolidated Statement of Earnings due to the discontinuance of cash flow hedge accounting on certain forward currency contracts designated as cash flow hedging instruments. As of October 31, 2021, the company expects to reclassify approximately $4.4 million of losses from AOCL to earnings during the next twelve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 Recognized in</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04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w w:val="92"/>
              </w:rPr>
              <w:t>Earnings on Cash Flow Hedging</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Instruments</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 2021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5"/>
              </w:rPr>
              <w:t>Cost of Sales</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Total Consolidated Statements of Earnings income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(expense) amounts in which the effects of cash flow</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3,959,584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(2,621,092)</w:t>
            </w: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hedging instruments are recorded</w:t>
            </w: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80" w:type="dxa"/>
            <w:vAlign w:val="bottom"/>
          </w:tcPr>
          <w:p>
            <w:pPr>
              <w:ind w:left="20"/>
              <w:spacing w:after="0" w:line="138" w:lineRule="exact"/>
              <w:rPr>
                <w:sz w:val="20"/>
                <w:szCs w:val="20"/>
                <w:color w:val="auto"/>
              </w:rPr>
            </w:pPr>
            <w:r>
              <w:rPr>
                <w:rFonts w:ascii="Arial" w:cs="Arial" w:eastAsia="Arial" w:hAnsi="Arial"/>
                <w:sz w:val="13"/>
                <w:szCs w:val="13"/>
                <w:i w:val="1"/>
                <w:iCs w:val="1"/>
                <w:color w:val="auto"/>
                <w:w w:val="98"/>
              </w:rPr>
              <w:t>Gain (loss) on derivatives designated as cash flow hedging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20"/>
              <w:spacing w:after="0"/>
              <w:rPr>
                <w:sz w:val="20"/>
                <w:szCs w:val="20"/>
                <w:color w:val="auto"/>
              </w:rPr>
            </w:pPr>
            <w:r>
              <w:rPr>
                <w:rFonts w:ascii="Arial" w:cs="Arial" w:eastAsia="Arial" w:hAnsi="Arial"/>
                <w:sz w:val="13"/>
                <w:szCs w:val="13"/>
                <w:i w:val="1"/>
                <w:iCs w:val="1"/>
                <w:color w:val="auto"/>
              </w:rPr>
              <w:t>instruments: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Forward currency contracts: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380" w:type="dxa"/>
            <w:vAlign w:val="bottom"/>
          </w:tcPr>
          <w:p>
            <w:pPr>
              <w:ind w:left="240"/>
              <w:spacing w:after="0" w:line="138" w:lineRule="exact"/>
              <w:rPr>
                <w:sz w:val="20"/>
                <w:szCs w:val="20"/>
                <w:color w:val="auto"/>
              </w:rPr>
            </w:pPr>
            <w:r>
              <w:rPr>
                <w:rFonts w:ascii="Arial" w:cs="Arial" w:eastAsia="Arial" w:hAnsi="Arial"/>
                <w:sz w:val="13"/>
                <w:szCs w:val="13"/>
                <w:color w:val="auto"/>
              </w:rPr>
              <w:t>Amount of gain (loss) reclassified from AOCL into</w:t>
            </w:r>
          </w:p>
        </w:tc>
        <w:tc>
          <w:tcPr>
            <w:tcW w:w="14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3"/>
                <w:szCs w:val="13"/>
                <w:color w:val="auto"/>
              </w:rPr>
              <w:t>(10,883)</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79"/>
        </w:trPr>
        <w:tc>
          <w:tcPr>
            <w:tcW w:w="3380" w:type="dxa"/>
            <w:vAlign w:val="bottom"/>
          </w:tcPr>
          <w:p>
            <w:pPr>
              <w:ind w:left="240"/>
              <w:spacing w:after="0"/>
              <w:rPr>
                <w:sz w:val="20"/>
                <w:szCs w:val="20"/>
                <w:color w:val="auto"/>
              </w:rPr>
            </w:pPr>
            <w:r>
              <w:rPr>
                <w:rFonts w:ascii="Arial" w:cs="Arial" w:eastAsia="Arial" w:hAnsi="Arial"/>
                <w:sz w:val="13"/>
                <w:szCs w:val="13"/>
                <w:color w:val="auto"/>
              </w:rPr>
              <w:t>earnings</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380" w:type="dxa"/>
            <w:vAlign w:val="bottom"/>
            <w:shd w:val="clear" w:color="auto" w:fill="CCEEFF"/>
          </w:tcPr>
          <w:p>
            <w:pPr>
              <w:ind w:left="240"/>
              <w:spacing w:after="0" w:line="145" w:lineRule="exact"/>
              <w:rPr>
                <w:sz w:val="20"/>
                <w:szCs w:val="20"/>
                <w:color w:val="auto"/>
              </w:rPr>
            </w:pPr>
            <w:r>
              <w:rPr>
                <w:rFonts w:ascii="Arial" w:cs="Arial" w:eastAsia="Arial" w:hAnsi="Arial"/>
                <w:sz w:val="13"/>
                <w:szCs w:val="13"/>
                <w:color w:val="auto"/>
              </w:rPr>
              <w:t>Gain on components excluded from effectiveness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8"/>
              </w:rPr>
              <w:t>testing recognized in earnings based on changes in fair</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1,427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80"/>
        </w:trPr>
        <w:tc>
          <w:tcPr>
            <w:tcW w:w="3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value</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Gain (Loss) Recognized in</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04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w w:val="92"/>
              </w:rPr>
              <w:t>Earnings on Cash Flow Hedging</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Instruments</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 2020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5"/>
              </w:rPr>
              <w:t>Cost of Sales</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Total Consolidated Statements of Earnings income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(expense) amounts in which the effects of cash flow</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3,378,810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(2,189,036)</w:t>
            </w: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hedging instruments are recorded</w:t>
            </w: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80" w:type="dxa"/>
            <w:vAlign w:val="bottom"/>
          </w:tcPr>
          <w:p>
            <w:pPr>
              <w:ind w:left="20"/>
              <w:spacing w:after="0" w:line="138" w:lineRule="exact"/>
              <w:rPr>
                <w:sz w:val="20"/>
                <w:szCs w:val="20"/>
                <w:color w:val="auto"/>
              </w:rPr>
            </w:pPr>
            <w:r>
              <w:rPr>
                <w:rFonts w:ascii="Arial" w:cs="Arial" w:eastAsia="Arial" w:hAnsi="Arial"/>
                <w:sz w:val="13"/>
                <w:szCs w:val="13"/>
                <w:i w:val="1"/>
                <w:iCs w:val="1"/>
                <w:color w:val="auto"/>
              </w:rPr>
              <w:t>Gain on derivatives designated as cash flow hedging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20"/>
              <w:spacing w:after="0"/>
              <w:rPr>
                <w:sz w:val="20"/>
                <w:szCs w:val="20"/>
                <w:color w:val="auto"/>
              </w:rPr>
            </w:pPr>
            <w:r>
              <w:rPr>
                <w:rFonts w:ascii="Arial" w:cs="Arial" w:eastAsia="Arial" w:hAnsi="Arial"/>
                <w:sz w:val="13"/>
                <w:szCs w:val="13"/>
                <w:i w:val="1"/>
                <w:iCs w:val="1"/>
                <w:color w:val="auto"/>
              </w:rPr>
              <w:t>instruments: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Forward currency contracts: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240"/>
              <w:spacing w:after="0"/>
              <w:rPr>
                <w:sz w:val="20"/>
                <w:szCs w:val="20"/>
                <w:color w:val="auto"/>
              </w:rPr>
            </w:pPr>
            <w:r>
              <w:rPr>
                <w:rFonts w:ascii="Arial" w:cs="Arial" w:eastAsia="Arial" w:hAnsi="Arial"/>
                <w:sz w:val="13"/>
                <w:szCs w:val="13"/>
                <w:color w:val="auto"/>
              </w:rPr>
              <w:t>Amount of gain reclassified from AOCL into earnings</w:t>
            </w:r>
          </w:p>
        </w:tc>
        <w:tc>
          <w:tcPr>
            <w:tcW w:w="140" w:type="dxa"/>
            <w:vAlign w:val="bottom"/>
          </w:tcPr>
          <w:p>
            <w:pPr>
              <w:spacing w:after="0"/>
              <w:rPr>
                <w:sz w:val="15"/>
                <w:szCs w:val="15"/>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color w:val="auto"/>
              </w:rPr>
              <w:t>5,023</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45"/>
        </w:trPr>
        <w:tc>
          <w:tcPr>
            <w:tcW w:w="3380" w:type="dxa"/>
            <w:vAlign w:val="bottom"/>
            <w:shd w:val="clear" w:color="auto" w:fill="CCEEFF"/>
          </w:tcPr>
          <w:p>
            <w:pPr>
              <w:ind w:left="240"/>
              <w:spacing w:after="0" w:line="145" w:lineRule="exact"/>
              <w:rPr>
                <w:sz w:val="20"/>
                <w:szCs w:val="20"/>
                <w:color w:val="auto"/>
              </w:rPr>
            </w:pPr>
            <w:r>
              <w:rPr>
                <w:rFonts w:ascii="Arial" w:cs="Arial" w:eastAsia="Arial" w:hAnsi="Arial"/>
                <w:sz w:val="13"/>
                <w:szCs w:val="13"/>
                <w:color w:val="auto"/>
              </w:rPr>
              <w:t>Gain on components excluded from effectiveness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8"/>
              </w:rPr>
              <w:t>testing recognized in earnings based on changes in fair</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3"/>
                <w:szCs w:val="13"/>
                <w:color w:val="auto"/>
              </w:rPr>
              <w:t>3,229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80"/>
        </w:trPr>
        <w:tc>
          <w:tcPr>
            <w:tcW w:w="3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value</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the impact and location of derivative instruments on the Consolidated Statements of Earnings for the company’s derivatives not designated as cash flow hedging instruments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32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i w:val="1"/>
                <w:iCs w:val="1"/>
                <w:color w:val="auto"/>
                <w:w w:val="95"/>
              </w:rPr>
              <w:t>Loss on derivative instruments not designated as cash</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flow hedging instruments: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140"/>
              <w:spacing w:after="0"/>
              <w:rPr>
                <w:sz w:val="20"/>
                <w:szCs w:val="20"/>
                <w:color w:val="auto"/>
              </w:rPr>
            </w:pPr>
            <w:r>
              <w:rPr>
                <w:rFonts w:ascii="Arial" w:cs="Arial" w:eastAsia="Arial" w:hAnsi="Arial"/>
                <w:sz w:val="14"/>
                <w:szCs w:val="14"/>
                <w:color w:val="auto"/>
              </w:rPr>
              <w:t>Forward currency contracts: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(4,566)</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32"/>
        </w:trPr>
        <w:tc>
          <w:tcPr>
            <w:tcW w:w="3260" w:type="dxa"/>
            <w:vAlign w:val="bottom"/>
          </w:tcPr>
          <w:p>
            <w:pPr>
              <w:ind w:left="20"/>
              <w:spacing w:after="0" w:line="132" w:lineRule="exact"/>
              <w:rPr>
                <w:sz w:val="20"/>
                <w:szCs w:val="20"/>
                <w:color w:val="auto"/>
              </w:rPr>
            </w:pPr>
            <w:r>
              <w:rPr>
                <w:rFonts w:ascii="Arial" w:cs="Arial" w:eastAsia="Arial" w:hAnsi="Arial"/>
                <w:sz w:val="14"/>
                <w:szCs w:val="14"/>
                <w:color w:val="auto"/>
                <w:w w:val="98"/>
              </w:rPr>
              <w:t>Total loss on derivatives not designated as cash flow</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(4,566)</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hedging instruments</w:t>
            </w: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15 </w:t>
      </w:r>
      <w:r>
        <w:rPr>
          <w:rFonts w:ascii="Arial" w:cs="Arial" w:eastAsia="Arial" w:hAnsi="Arial"/>
          <w:sz w:val="19"/>
          <w:szCs w:val="19"/>
          <w:b w:val="1"/>
          <w:bCs w:val="1"/>
          <w:color w:val="auto"/>
        </w:rPr>
        <w:t>Fair Value Measurements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65"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54" w:lineRule="exact"/>
        <w:rPr>
          <w:sz w:val="20"/>
          <w:szCs w:val="20"/>
          <w:color w:val="auto"/>
        </w:rPr>
      </w:pPr>
    </w:p>
    <w:p>
      <w:pPr>
        <w:jc w:val="both"/>
        <w:ind w:left="340"/>
        <w:spacing w:after="0" w:line="298"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Observable inputs other than Level 1 prices, such as quoted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jc w:val="both"/>
        <w:ind w:left="340"/>
        <w:spacing w:after="0" w:line="312"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reflecting management's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about the inputs used in pricing the asset or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October 31, 2021 and 2020, according to the valuation technique utilized to determine their fair values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Fair Value Measurements Using Inputs</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Considered as: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2021</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322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322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2,132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2,132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Fair Value Measurements Using Inputs</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Considered as: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2020</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933</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933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2,484</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2,484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2,484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and asset acquisitions, when applicable. For additional information on the company's business combinations and asset acquisitions and the related non-recurring fair value measurement of the assets acquired and liabilities assumed, refer to Note 2,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and Asset Acquisitions.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Fair Value Disclosures</w:t>
      </w:r>
    </w:p>
    <w:p>
      <w:pPr>
        <w:spacing w:after="0" w:line="121"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80"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 xml:space="preserve">As of October 31, 2021 and 2020, the company's long-term debt included $424.0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October 31, 2021, the estimated gross fair value of long-term debt with fixed interest rates was $517.9 million compared to its gross carrying amount of $424.0 million. As of October 31, 2020, the estimated gross fair value of long-term debt with fixed interest rates was $508.2 million compared to its gross carrying amount of $424.0 million. For additional information regarding long-term debt with fixed interest rates, refer to Note 6, </w:t>
      </w:r>
      <w:r>
        <w:rPr>
          <w:rFonts w:ascii="Arial" w:cs="Arial" w:eastAsia="Arial" w:hAnsi="Arial"/>
          <w:sz w:val="17"/>
          <w:szCs w:val="17"/>
          <w:i w:val="1"/>
          <w:iCs w:val="1"/>
          <w:color w:val="auto"/>
        </w:rPr>
        <w:t>Indebtedness</w:t>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16 </w:t>
      </w:r>
      <w:r>
        <w:rPr>
          <w:rFonts w:ascii="Arial" w:cs="Arial" w:eastAsia="Arial" w:hAnsi="Arial"/>
          <w:sz w:val="19"/>
          <w:szCs w:val="19"/>
          <w:b w:val="1"/>
          <w:bCs w:val="1"/>
          <w:color w:val="auto"/>
        </w:rPr>
        <w:t>Employee Retirement Plans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maintains The Toro Company Retirement Plan for eligible employees. The company's expenses under this plan, which include costs related to matching contributions and discretionary retirement fund contributions, as applicable, were $28.5 million, $17.4 million, and $23.4 million for the fiscal years ended October 31, 2021, 2020, and 2019, respectively. The decrease in expense for the fiscal year ended October 31, 2020, as compared to the fiscal years ended October 31, 2021 and October 31, 2019, was primarily the result of the company's suspension of discretionary retirement fund contributions for fiscal 2020 as a proactive cost reduction measure to mitigate the anticipated adverse impacts of COVID-19. The increase in expense for the fiscal year ended October 31, 2021 as compared to the fiscal year ended October 31, 2020 is primarily the result of the resumption of discretionary retirement fund contributions in fiscal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Plans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a defined benefit pension plan covering certain employees in the United Kingdom ("defined benefit retirement plan"). The company was also previously a sponsor to another defined benefit pension plan for certain employees in the U.S. (collectively with the defined benefit retirement plan, the "defined benefit retirement plans"). This defined benefit pension plan for certain employees in the U.S. was terminated as of October 31, 2020 and all accumulated benefit obligations of the company related to such plan have been satisfied. The projected and accumulated benefit obligation of the defined benefit retirement plan was $35.1 million and $33.4 million as of October 31, 2021 and 2020, respectively. The fair value of the defined benefit retirement plan assets as of October 31, 2021 and 2020 was $33.0 million and $29.5 million, respectively. The net funded status of the defined benefit retirement plan as of October 31, 2021 and 2020 was underfunded at $2.1 million and $3.9 million, respectively.</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income of $0.1 million, $0.2 million, and $6.6 million for the fiscal years ended October 31, 2021, 2020, and 2019, respectively.</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omitted the remaining disclosures for the defined benefit retirement plans as the company deems these defined benefit retirement plans to be immaterial to its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17 </w:t>
      </w:r>
      <w:r>
        <w:rPr>
          <w:rFonts w:ascii="Arial" w:cs="Arial" w:eastAsia="Arial" w:hAnsi="Arial"/>
          <w:sz w:val="19"/>
          <w:szCs w:val="19"/>
          <w:b w:val="1"/>
          <w:bCs w:val="1"/>
          <w:color w:val="auto"/>
        </w:rPr>
        <w:t>Subsequent Events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all subsequent events and concluded that no additional subsequent events have occurred that would require recognition in the Consolidated Financial Statements or disclosure in the Notes to Consolidated Financial Statements.</w:t>
      </w:r>
    </w:p>
    <w:p>
      <w:pPr>
        <w:spacing w:after="0" w:line="8985"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management evaluated, with the participation of the company's Chairman of the Board, President and Chief Executive Officer and Vice President, Chief Financial Officer, the effectiveness of the design and operation of the company's disclosure controls and procedures as of the end of the period covered by this Annual Report on Form 10-K. Based on that evaluation, the company's Chairman of the Board, President and Chief Executive Officer and Vice President,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President and Chief Executive Officer and Vice President, Chief Financial Officer, as appropriate to allow timely decisions regarding required disclosures.</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March 2, 2020, during the second quarter of fiscal 2020, the company completed the acquisition of Venture Products. Prior to this acquisition, Venture Products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of the end of fiscal 2021, the company has completed its integration activities related to internal control over financial reporting for Venture Products. Accordingly, the company has included Venture Products within its assessment of the effectiveness of its internal control over financial reporting as of October 31, 2021. Refer to the company's management report on internal control over financial reporting included in this Annual Report on Form 10-K within Part II, Item 8, "Financial Statements and Supplementary Data," under the caption "Management's Report on Internal Control over Financial Reporting" for additional information.</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exception of internal control-related integration activities in connection with the company's acquisition of Venture Products, there was no change in the company's internal control over financial reporting that occurred during the fourth quarter of fiscal 2021 that has materially affected, or is reasonably likely to materially affect, the company's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2"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PART III</w:t>
      </w:r>
    </w:p>
    <w:p>
      <w:pPr>
        <w:sectPr>
          <w:pgSz w:w="11900" w:h="16838" w:orient="portrait"/>
          <w:cols w:equalWidth="0" w:num="1">
            <w:col w:w="11120"/>
          </w:cols>
          <w:pgMar w:left="320" w:top="125" w:right="459" w:bottom="1440" w:gutter="0" w:footer="0" w:header="0"/>
        </w:sect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and "Corporate Governance — Board Committees," in the company's proxy statement for its 2022 Annual Meeting of Shareholders to be filed with the SEC.</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fourth quarter of fiscal 2021, the company did not make any material changes to the procedures by which shareholders may recommend nominees to the Board of Directors, as described in the company's proxy statement for its 2021 Annual Meeting of Shareholders. The company has a Code of Ethics for its CEO and Senior Financial Personnel, a copy of which is posted on the company's website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as applicable, by posting such information on its website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"Investors" link, then the "Corporate Governance" link, then the "Code of Conduct and Ethics" link).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"Executive Compensation" and "Director Compensation" in the company's proxy statement for its 2022 Annual Meeting of Shareholders to be filed with the SEC.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OWNERS AND MANAGEMENT AND RELATED STOCKHOLDER MATTERS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"Equity Compensation Plan Information" in the company's proxy statement for its 2022 Annual Meeting of Shareholders to be filed with the SEC.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required by this item is incorporated by reference to information to be contained under the caption "Corporate Governance — Director Independence" and "Corporate Governance — Related Person Transactions and Policies and Procedures Regarding Related Person Transactions" in the company's proxy statement for its 2022 Annual Meeting of Shareholders to be filed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2022 Annual Meeting of Shareholders to be filed with the SEC.</w:t>
      </w:r>
    </w:p>
    <w:p>
      <w:pPr>
        <w:spacing w:after="0" w:line="5279"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following Consolidated Financial Statements of The Toro Company and its consolidated subsidiaries are included in Part II, Item 8, "Financial Statements and Supplementary Data," of this Annual Report on Form 10-K:</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9680" w:type="dxa"/>
            <w:vAlign w:val="bottom"/>
          </w:tcPr>
          <w:p>
            <w:pPr>
              <w:spacing w:after="0"/>
              <w:rPr>
                <w:sz w:val="20"/>
                <w:szCs w:val="20"/>
                <w:color w:val="auto"/>
              </w:rPr>
            </w:pPr>
            <w:r>
              <w:rPr>
                <w:rFonts w:ascii="Arial" w:cs="Arial" w:eastAsia="Arial" w:hAnsi="Arial"/>
                <w:sz w:val="17"/>
                <w:szCs w:val="17"/>
                <w:color w:val="auto"/>
              </w:rPr>
              <w:t>Management's Report on Internal Control over Financial Reporting</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57</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58</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Consolidated Statements of Earnings for the fiscal years ended October 31, 2021, 2020, and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60</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Consolidated Statements of Comprehensive Income for the fiscal years ended October 31, 2021, 2020, and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60</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Consolidated Balance Sheets as of October 31, 2021 and 2020</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61</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Consolidated Statements of Cash Flows for the fiscal years ended October 31, 2021, 2020, and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62</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Consolidated Statements of Stockholders' Equity for the fiscal years ended October 31, 2021, 2020, and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63</w:t>
              </w:r>
            </w:hyperlink>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64</w:t>
              </w:r>
            </w:hyperlink>
          </w:p>
        </w:tc>
      </w:tr>
    </w:tbl>
    <w:p>
      <w:pPr>
        <w:spacing w:after="0" w:line="202"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List of Financial Statement Schedules</w:t>
      </w:r>
    </w:p>
    <w:p>
      <w:pPr>
        <w:spacing w:after="0" w:line="117"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List of Exhibits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following exhibits are incorporated herein by reference or are filed or furnished with this Annual Report on Form 10-K as indicated below:</w:t>
      </w:r>
    </w:p>
    <w:p>
      <w:pPr>
        <w:spacing w:after="0" w:line="256" w:lineRule="exact"/>
        <w:rPr>
          <w:sz w:val="20"/>
          <w:szCs w:val="20"/>
          <w:color w:val="auto"/>
        </w:rPr>
      </w:pPr>
    </w:p>
    <w:tbl>
      <w:tblPr>
        <w:tblLayout w:type="fixed"/>
        <w:tblInd w:w="1420" w:type="dxa"/>
        <w:tblCellMar>
          <w:top w:w="0" w:type="dxa"/>
          <w:left w:w="0" w:type="dxa"/>
          <w:bottom w:w="0" w:type="dxa"/>
          <w:right w:w="0" w:type="dxa"/>
        </w:tblCellMar>
      </w:tblPr>
      <w:tr>
        <w:trPr>
          <w:trHeight w:val="175"/>
        </w:trPr>
        <w:tc>
          <w:tcPr>
            <w:tcW w:w="920" w:type="dxa"/>
            <w:vAlign w:val="bottom"/>
            <w:tcBorders>
              <w:top w:val="single" w:sz="8" w:color="auto"/>
            </w:tcBorders>
          </w:tcPr>
          <w:p>
            <w:pPr>
              <w:ind w:left="140"/>
              <w:spacing w:after="0" w:line="175" w:lineRule="exact"/>
              <w:rPr>
                <w:sz w:val="20"/>
                <w:szCs w:val="20"/>
                <w:color w:val="auto"/>
              </w:rPr>
            </w:pPr>
            <w:r>
              <w:rPr>
                <w:rFonts w:ascii="Arial" w:cs="Arial" w:eastAsia="Arial" w:hAnsi="Arial"/>
                <w:sz w:val="16"/>
                <w:szCs w:val="16"/>
                <w:b w:val="1"/>
                <w:bCs w:val="1"/>
                <w:color w:val="auto"/>
              </w:rPr>
              <w:t>Exhibit</w:t>
            </w:r>
          </w:p>
        </w:tc>
        <w:tc>
          <w:tcPr>
            <w:tcW w:w="4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580" w:type="dxa"/>
            <w:vAlign w:val="bottom"/>
            <w:tcBorders>
              <w:top w:val="single" w:sz="8" w:color="auto"/>
            </w:tcBorders>
            <w:gridSpan w:val="21"/>
            <w:vMerge w:val="restart"/>
          </w:tcPr>
          <w:p>
            <w:pPr>
              <w:ind w:left="4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920" w:type="dxa"/>
            <w:vAlign w:val="bottom"/>
          </w:tcPr>
          <w:p>
            <w:pPr>
              <w:ind w:left="20"/>
              <w:spacing w:after="0" w:line="172" w:lineRule="exact"/>
              <w:rPr>
                <w:sz w:val="20"/>
                <w:szCs w:val="20"/>
                <w:color w:val="auto"/>
              </w:rPr>
            </w:pPr>
            <w:r>
              <w:rPr>
                <w:rFonts w:ascii="Arial" w:cs="Arial" w:eastAsia="Arial" w:hAnsi="Arial"/>
                <w:sz w:val="16"/>
                <w:szCs w:val="16"/>
                <w:b w:val="1"/>
                <w:bCs w:val="1"/>
                <w:color w:val="auto"/>
              </w:rPr>
              <w:t>2.1 (1)</w:t>
            </w:r>
          </w:p>
        </w:tc>
        <w:tc>
          <w:tcPr>
            <w:tcW w:w="9180" w:type="dxa"/>
            <w:vAlign w:val="bottom"/>
            <w:gridSpan w:val="26"/>
          </w:tcPr>
          <w:p>
            <w:pPr>
              <w:spacing w:after="0" w:line="172" w:lineRule="exact"/>
              <w:rPr>
                <w:rFonts w:ascii="Arial" w:cs="Arial" w:eastAsia="Arial" w:hAnsi="Arial"/>
                <w:sz w:val="16"/>
                <w:szCs w:val="16"/>
                <w:color w:val="0000FF"/>
              </w:rPr>
            </w:pPr>
            <w:hyperlink r:id="rId113">
              <w:r>
                <w:rPr>
                  <w:rFonts w:ascii="Arial" w:cs="Arial" w:eastAsia="Arial" w:hAnsi="Arial"/>
                  <w:sz w:val="16"/>
                  <w:szCs w:val="16"/>
                  <w:color w:val="0000FF"/>
                </w:rPr>
                <w:t>Agreement to Form Joint Venture dated August 12, 2009 by and between The Toro Company and TCF Inventory Finance, Inc.</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4"/>
              </w:rPr>
            </w:pPr>
            <w:hyperlink r:id="rId113">
              <w:r>
                <w:rPr>
                  <w:rFonts w:ascii="Arial" w:cs="Arial" w:eastAsia="Arial" w:hAnsi="Arial"/>
                  <w:sz w:val="16"/>
                  <w:szCs w:val="16"/>
                  <w:color w:val="0000FF"/>
                  <w:w w:val="94"/>
                </w:rPr>
                <w:t>(incorporated by reference to Exhibit 2.1 to Registrant's Current Report on Form 8-K dated August 12, 2009, Commission File No. 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980" w:type="dxa"/>
            <w:vAlign w:val="bottom"/>
            <w:gridSpan w:val="2"/>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8649).</w:t>
              </w:r>
              <w:r>
                <w:rPr>
                  <w:rFonts w:ascii="Arial" w:cs="Arial" w:eastAsia="Arial" w:hAnsi="Arial"/>
                  <w:sz w:val="16"/>
                  <w:szCs w:val="16"/>
                  <w:color w:val="000000"/>
                </w:rPr>
                <w:t>**</w:t>
              </w:r>
            </w:hyperlink>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2.2 (2)</w:t>
            </w:r>
          </w:p>
        </w:tc>
        <w:tc>
          <w:tcPr>
            <w:tcW w:w="4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w w:val="99"/>
              </w:rPr>
            </w:pPr>
            <w:hyperlink r:id="rId114">
              <w:r>
                <w:rPr>
                  <w:rFonts w:ascii="Arial" w:cs="Arial" w:eastAsia="Arial" w:hAnsi="Arial"/>
                  <w:sz w:val="16"/>
                  <w:szCs w:val="16"/>
                  <w:color w:val="0000FF"/>
                  <w:w w:val="99"/>
                </w:rPr>
                <w:t>First Amendment to Agreement to Form Joint Venture dated June 6, 2012 by and between The Toro Company and TCF Inventory</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4"/>
              </w:rPr>
            </w:pPr>
            <w:hyperlink r:id="rId114">
              <w:r>
                <w:rPr>
                  <w:rFonts w:ascii="Arial" w:cs="Arial" w:eastAsia="Arial" w:hAnsi="Arial"/>
                  <w:sz w:val="16"/>
                  <w:szCs w:val="16"/>
                  <w:color w:val="0000FF"/>
                  <w:w w:val="94"/>
                </w:rPr>
                <w:t>Finance, Inc. (incorporated by reference to Exhibit 2.1 to Registrant's Quarterly Report on Form 10-Q for the fiscal quarter ended May 4,</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60" w:type="dxa"/>
            <w:vAlign w:val="bottom"/>
            <w:gridSpan w:val="25"/>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2012, 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2.3 (3)</w:t>
            </w:r>
          </w:p>
        </w:tc>
        <w:tc>
          <w:tcPr>
            <w:tcW w:w="1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w w:val="99"/>
              </w:rPr>
            </w:pPr>
            <w:hyperlink r:id="rId115">
              <w:r>
                <w:rPr>
                  <w:rFonts w:ascii="Arial" w:cs="Arial" w:eastAsia="Arial" w:hAnsi="Arial"/>
                  <w:sz w:val="16"/>
                  <w:szCs w:val="16"/>
                  <w:color w:val="0000FF"/>
                  <w:w w:val="99"/>
                </w:rPr>
                <w:t>Second Amendment to Agreement to Form Joint Venture dated November 29, 2016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2"/>
              </w:rPr>
            </w:pPr>
            <w:hyperlink r:id="rId115">
              <w:r>
                <w:rPr>
                  <w:rFonts w:ascii="Arial" w:cs="Arial" w:eastAsia="Arial" w:hAnsi="Arial"/>
                  <w:sz w:val="16"/>
                  <w:szCs w:val="16"/>
                  <w:color w:val="0000FF"/>
                  <w:w w:val="92"/>
                </w:rPr>
                <w:t>Inventory Finance, Inc. (incorporated by reference to Exhibit 2.1 to Registrant's Current Report on Form 8-K dated November 29, 2016,</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60" w:type="dxa"/>
            <w:vAlign w:val="bottom"/>
            <w:gridSpan w:val="20"/>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2.4 (4)</w:t>
            </w:r>
          </w:p>
        </w:tc>
        <w:tc>
          <w:tcPr>
            <w:tcW w:w="198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w w:val="95"/>
              </w:rPr>
            </w:pPr>
            <w:hyperlink r:id="rId116">
              <w:r>
                <w:rPr>
                  <w:rFonts w:ascii="Arial" w:cs="Arial" w:eastAsia="Arial" w:hAnsi="Arial"/>
                  <w:sz w:val="16"/>
                  <w:szCs w:val="16"/>
                  <w:color w:val="0000FF"/>
                  <w:w w:val="95"/>
                </w:rPr>
                <w:t>Third Amendment to Agreement to Form Joint Venture effective as of December 20, 2019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20" w:type="dxa"/>
            <w:vAlign w:val="bottom"/>
            <w:tcBorders>
              <w:top w:val="single" w:sz="8" w:color="0000FF"/>
            </w:tcBorders>
            <w:gridSpan w:val="23"/>
          </w:tcPr>
          <w:p>
            <w:pPr>
              <w:spacing w:after="0" w:line="142" w:lineRule="exact"/>
              <w:rPr>
                <w:rFonts w:ascii="Arial" w:cs="Arial" w:eastAsia="Arial" w:hAnsi="Arial"/>
                <w:sz w:val="16"/>
                <w:szCs w:val="16"/>
                <w:color w:val="0000FF"/>
                <w:w w:val="97"/>
              </w:rPr>
            </w:pPr>
            <w:hyperlink r:id="rId116">
              <w:r>
                <w:rPr>
                  <w:rFonts w:ascii="Arial" w:cs="Arial" w:eastAsia="Arial" w:hAnsi="Arial"/>
                  <w:sz w:val="16"/>
                  <w:szCs w:val="16"/>
                  <w:color w:val="0000FF"/>
                  <w:w w:val="97"/>
                </w:rPr>
                <w:t>Inventory Finance, Inc. (incorporated by reference to Exhibit 2.2 to Registrant’s Quarterly Report on Form 10-Q for the fiscal quarter</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1"/>
              </w:rPr>
            </w:pPr>
            <w:hyperlink r:id="rId116">
              <w:r>
                <w:rPr>
                  <w:rFonts w:ascii="Arial" w:cs="Arial" w:eastAsia="Arial" w:hAnsi="Arial"/>
                  <w:sz w:val="16"/>
                  <w:szCs w:val="16"/>
                  <w:color w:val="0000FF"/>
                  <w:w w:val="91"/>
                </w:rPr>
                <w:t>ended January 31, 2020, Commission File No. 1-8649).</w:t>
              </w:r>
            </w:hyperlink>
          </w:p>
        </w:tc>
        <w:tc>
          <w:tcPr>
            <w:tcW w:w="53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2.5 (4)</w:t>
            </w:r>
          </w:p>
        </w:tc>
        <w:tc>
          <w:tcPr>
            <w:tcW w:w="9180" w:type="dxa"/>
            <w:vAlign w:val="bottom"/>
            <w:gridSpan w:val="26"/>
          </w:tcPr>
          <w:p>
            <w:pPr>
              <w:spacing w:after="0"/>
              <w:rPr>
                <w:rFonts w:ascii="Arial" w:cs="Arial" w:eastAsia="Arial" w:hAnsi="Arial"/>
                <w:sz w:val="16"/>
                <w:szCs w:val="16"/>
                <w:color w:val="0000FF"/>
                <w:w w:val="96"/>
              </w:rPr>
            </w:pPr>
            <w:hyperlink r:id="rId117">
              <w:r>
                <w:rPr>
                  <w:rFonts w:ascii="Arial" w:cs="Arial" w:eastAsia="Arial" w:hAnsi="Arial"/>
                  <w:sz w:val="16"/>
                  <w:szCs w:val="16"/>
                  <w:color w:val="0000FF"/>
                  <w:w w:val="96"/>
                </w:rPr>
                <w:t>Fourth Amendment to Agreement to Form Joint Venture dated as of March 26, 2021 and effective as of March 2, 2020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4"/>
              </w:rPr>
            </w:pPr>
            <w:hyperlink r:id="rId117">
              <w:r>
                <w:rPr>
                  <w:rFonts w:ascii="Arial" w:cs="Arial" w:eastAsia="Arial" w:hAnsi="Arial"/>
                  <w:sz w:val="16"/>
                  <w:szCs w:val="16"/>
                  <w:color w:val="0000FF"/>
                  <w:w w:val="94"/>
                </w:rPr>
                <w:t>The Toro Company and TCF Inventory Finance, Inc. (incorporated by reference to Exhibit 2.2. to Registrant's Quarterly Report on Form</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40" w:type="dxa"/>
            <w:vAlign w:val="bottom"/>
            <w:gridSpan w:val="24"/>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10-Q for the fiscal quarter ended April 30, 2021, Commission File No. 1-8649)</w:t>
              </w:r>
              <w:r>
                <w:rPr>
                  <w:rFonts w:ascii="Arial" w:cs="Arial" w:eastAsia="Arial" w:hAnsi="Arial"/>
                  <w:sz w:val="16"/>
                  <w:szCs w:val="16"/>
                  <w:u w:val="single" w:color="auto"/>
                  <w:color w:val="0000FF"/>
                </w:rPr>
                <w: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2.6 (1)</w:t>
            </w:r>
          </w:p>
        </w:tc>
        <w:tc>
          <w:tcPr>
            <w:tcW w:w="4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rPr>
            </w:pPr>
            <w:hyperlink r:id="rId118">
              <w:r>
                <w:rPr>
                  <w:rFonts w:ascii="Arial" w:cs="Arial" w:eastAsia="Arial" w:hAnsi="Arial"/>
                  <w:sz w:val="16"/>
                  <w:szCs w:val="16"/>
                  <w:color w:val="0000FF"/>
                </w:rPr>
                <w:t>Limited Liability Company Agreement of Red Iron Acceptance, LLC dated August 12, 2009 by and between Red Iron Holding</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20" w:type="dxa"/>
            <w:vAlign w:val="bottom"/>
            <w:tcBorders>
              <w:top w:val="single" w:sz="8" w:color="0000FF"/>
            </w:tcBorders>
            <w:gridSpan w:val="18"/>
          </w:tcPr>
          <w:p>
            <w:pPr>
              <w:spacing w:after="0" w:line="142" w:lineRule="exact"/>
              <w:rPr>
                <w:rFonts w:ascii="Arial" w:cs="Arial" w:eastAsia="Arial" w:hAnsi="Arial"/>
                <w:sz w:val="16"/>
                <w:szCs w:val="16"/>
                <w:color w:val="0000FF"/>
                <w:w w:val="94"/>
              </w:rPr>
            </w:pPr>
            <w:hyperlink r:id="rId118">
              <w:r>
                <w:rPr>
                  <w:rFonts w:ascii="Arial" w:cs="Arial" w:eastAsia="Arial" w:hAnsi="Arial"/>
                  <w:sz w:val="16"/>
                  <w:szCs w:val="16"/>
                  <w:color w:val="0000FF"/>
                  <w:w w:val="94"/>
                </w:rPr>
                <w:t>Corporation and TCFIF Joint Venture I, LLC (incorporated by reference to Exhibit 2.2 to Registrant's Current Report on Form 8-K dated</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August 12, 2009, 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2.7</w:t>
            </w:r>
          </w:p>
        </w:tc>
        <w:tc>
          <w:tcPr>
            <w:tcW w:w="314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w w:val="99"/>
              </w:rPr>
            </w:pPr>
            <w:hyperlink r:id="rId119">
              <w:r>
                <w:rPr>
                  <w:rFonts w:ascii="Arial" w:cs="Arial" w:eastAsia="Arial" w:hAnsi="Arial"/>
                  <w:sz w:val="16"/>
                  <w:szCs w:val="16"/>
                  <w:color w:val="0000FF"/>
                  <w:w w:val="99"/>
                </w:rPr>
                <w:t>Amendment No. 1 to Limited Liability Company Agreement of Red Iron Acceptance, LLC dated May 31, 2011 by and between Red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6"/>
              </w:rPr>
            </w:pPr>
            <w:hyperlink r:id="rId119">
              <w:r>
                <w:rPr>
                  <w:rFonts w:ascii="Arial" w:cs="Arial" w:eastAsia="Arial" w:hAnsi="Arial"/>
                  <w:sz w:val="16"/>
                  <w:szCs w:val="16"/>
                  <w:color w:val="0000FF"/>
                  <w:w w:val="96"/>
                </w:rPr>
                <w:t>Iron Holding Corporation and TCFIF Joint Venture I, LLC (incorporated by reference to Exhibit 2.4 to Registrant's Annual Report on</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80" w:type="dxa"/>
            <w:vAlign w:val="bottom"/>
            <w:gridSpan w:val="21"/>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Form 10-K for the fiscal year ended October 31, 2012, Commission File No. 1-8649).</w:t>
              </w:r>
              <w:r>
                <w:rPr>
                  <w:rFonts w:ascii="Arial" w:cs="Arial" w:eastAsia="Arial" w:hAnsi="Arial"/>
                  <w:sz w:val="16"/>
                  <w:szCs w:val="16"/>
                  <w:color w:val="000000"/>
                </w:rPr>
                <w:t>**</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2.8 (2)</w:t>
            </w:r>
          </w:p>
        </w:tc>
        <w:tc>
          <w:tcPr>
            <w:tcW w:w="4620" w:type="dxa"/>
            <w:vAlign w:val="bottom"/>
            <w:gridSpan w:val="6"/>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w w:val="97"/>
              </w:rPr>
            </w:pPr>
            <w:hyperlink r:id="rId120">
              <w:r>
                <w:rPr>
                  <w:rFonts w:ascii="Arial" w:cs="Arial" w:eastAsia="Arial" w:hAnsi="Arial"/>
                  <w:sz w:val="16"/>
                  <w:szCs w:val="16"/>
                  <w:color w:val="0000FF"/>
                  <w:w w:val="97"/>
                </w:rPr>
                <w:t>Second Amendment to Limited Liability Company Agreement of Red Iron Acceptance, LLC dated June 6, 2012 by and between Red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00" w:type="dxa"/>
            <w:vAlign w:val="bottom"/>
            <w:tcBorders>
              <w:top w:val="single" w:sz="8" w:color="0000FF"/>
            </w:tcBorders>
            <w:gridSpan w:val="17"/>
          </w:tcPr>
          <w:p>
            <w:pPr>
              <w:spacing w:after="0" w:line="142" w:lineRule="exact"/>
              <w:rPr>
                <w:rFonts w:ascii="Arial" w:cs="Arial" w:eastAsia="Arial" w:hAnsi="Arial"/>
                <w:sz w:val="16"/>
                <w:szCs w:val="16"/>
                <w:color w:val="0000FF"/>
                <w:w w:val="95"/>
              </w:rPr>
            </w:pPr>
            <w:hyperlink r:id="rId120">
              <w:r>
                <w:rPr>
                  <w:rFonts w:ascii="Arial" w:cs="Arial" w:eastAsia="Arial" w:hAnsi="Arial"/>
                  <w:sz w:val="16"/>
                  <w:szCs w:val="16"/>
                  <w:color w:val="0000FF"/>
                  <w:w w:val="95"/>
                </w:rPr>
                <w:t>Iron Holding Corporation and TCFIF Joint Venture I, LLC (incorporated by reference to Exhibit 2.2 to Registrant's Quarterly Report on</w:t>
              </w:r>
            </w:hyperlink>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Form 10-Q for the fiscal quarter ended May 4, 2012, Commission File No. 1-8649).</w:t>
              </w:r>
              <w:r>
                <w:rPr>
                  <w:rFonts w:ascii="Arial" w:cs="Arial" w:eastAsia="Arial" w:hAnsi="Arial"/>
                  <w:sz w:val="16"/>
                  <w:szCs w:val="16"/>
                  <w:color w:val="000000"/>
                </w:rPr>
                <w:t>**</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2.9 (3)</w:t>
            </w:r>
          </w:p>
        </w:tc>
        <w:tc>
          <w:tcPr>
            <w:tcW w:w="4620" w:type="dxa"/>
            <w:vAlign w:val="bottom"/>
            <w:gridSpan w:val="6"/>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180" w:type="dxa"/>
            <w:vAlign w:val="bottom"/>
            <w:gridSpan w:val="26"/>
          </w:tcPr>
          <w:p>
            <w:pPr>
              <w:spacing w:after="0"/>
              <w:rPr>
                <w:rFonts w:ascii="Arial" w:cs="Arial" w:eastAsia="Arial" w:hAnsi="Arial"/>
                <w:sz w:val="16"/>
                <w:szCs w:val="16"/>
                <w:color w:val="0000FF"/>
                <w:w w:val="98"/>
              </w:rPr>
            </w:pPr>
            <w:hyperlink r:id="rId121">
              <w:r>
                <w:rPr>
                  <w:rFonts w:ascii="Arial" w:cs="Arial" w:eastAsia="Arial" w:hAnsi="Arial"/>
                  <w:sz w:val="16"/>
                  <w:szCs w:val="16"/>
                  <w:color w:val="0000FF"/>
                  <w:w w:val="98"/>
                </w:rPr>
                <w:t>Third Amendment to Limited Liability Company Agreement of Red Iron Acceptance, LLC dated November 29, 2016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20" w:type="dxa"/>
            <w:vAlign w:val="bottom"/>
            <w:tcBorders>
              <w:top w:val="single" w:sz="8" w:color="0000FF"/>
            </w:tcBorders>
            <w:gridSpan w:val="13"/>
          </w:tcPr>
          <w:p>
            <w:pPr>
              <w:spacing w:after="0" w:line="142" w:lineRule="exact"/>
              <w:rPr>
                <w:rFonts w:ascii="Arial" w:cs="Arial" w:eastAsia="Arial" w:hAnsi="Arial"/>
                <w:sz w:val="16"/>
                <w:szCs w:val="16"/>
                <w:color w:val="0000FF"/>
                <w:w w:val="94"/>
              </w:rPr>
            </w:pPr>
            <w:hyperlink r:id="rId121">
              <w:r>
                <w:rPr>
                  <w:rFonts w:ascii="Arial" w:cs="Arial" w:eastAsia="Arial" w:hAnsi="Arial"/>
                  <w:sz w:val="16"/>
                  <w:szCs w:val="16"/>
                  <w:color w:val="0000FF"/>
                  <w:w w:val="94"/>
                </w:rPr>
                <w:t>Red Iron Holding Corporation and TCFIF Joint Venture I, LLC (incorporated by reference to Exhibit 2.2 to Registrant's Current Report</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on Form 8-K dated November 29, 2016, Commission File No. 1-8649).</w:t>
              </w:r>
              <w:r>
                <w:rPr>
                  <w:rFonts w:ascii="Arial" w:cs="Arial" w:eastAsia="Arial" w:hAnsi="Arial"/>
                  <w:sz w:val="16"/>
                  <w:szCs w:val="16"/>
                  <w:color w:val="000000"/>
                </w:rPr>
                <w:t>**</w:t>
              </w:r>
            </w:hyperlink>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Arial" w:cs="Arial" w:eastAsia="Arial" w:hAnsi="Arial"/>
                <w:sz w:val="16"/>
                <w:szCs w:val="16"/>
                <w:b w:val="1"/>
                <w:bCs w:val="1"/>
                <w:color w:val="auto"/>
              </w:rPr>
              <w:t>2.10</w:t>
            </w:r>
          </w:p>
        </w:tc>
        <w:tc>
          <w:tcPr>
            <w:tcW w:w="9060" w:type="dxa"/>
            <w:vAlign w:val="bottom"/>
            <w:gridSpan w:val="17"/>
          </w:tcPr>
          <w:p>
            <w:pPr>
              <w:spacing w:after="0"/>
              <w:rPr>
                <w:rFonts w:ascii="Arial" w:cs="Arial" w:eastAsia="Arial" w:hAnsi="Arial"/>
                <w:sz w:val="16"/>
                <w:szCs w:val="16"/>
                <w:color w:val="0000FF"/>
                <w:w w:val="96"/>
              </w:rPr>
            </w:pPr>
            <w:hyperlink r:id="rId123">
              <w:r>
                <w:rPr>
                  <w:rFonts w:ascii="Arial" w:cs="Arial" w:eastAsia="Arial" w:hAnsi="Arial"/>
                  <w:sz w:val="16"/>
                  <w:szCs w:val="16"/>
                  <w:color w:val="0000FF"/>
                  <w:w w:val="96"/>
                </w:rPr>
                <w:t>Fourth Amendment to Limited Liability Company Agreement of Red Iron Acceptance, LLC dated as of July 17, 2019 by and between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14"/>
          </w:tcPr>
          <w:p>
            <w:pPr>
              <w:spacing w:after="0" w:line="142" w:lineRule="exact"/>
              <w:rPr>
                <w:rFonts w:ascii="Arial" w:cs="Arial" w:eastAsia="Arial" w:hAnsi="Arial"/>
                <w:sz w:val="16"/>
                <w:szCs w:val="16"/>
                <w:color w:val="0000FF"/>
                <w:w w:val="95"/>
              </w:rPr>
            </w:pPr>
            <w:hyperlink r:id="rId123">
              <w:r>
                <w:rPr>
                  <w:rFonts w:ascii="Arial" w:cs="Arial" w:eastAsia="Arial" w:hAnsi="Arial"/>
                  <w:sz w:val="16"/>
                  <w:szCs w:val="16"/>
                  <w:color w:val="0000FF"/>
                  <w:w w:val="95"/>
                </w:rPr>
                <w:t>Red Iron Holding Corporation and TCFIF Joint Venture I, LLC (incorporated by reference to Exhibit 2.9 to Registrant's Annual Report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on Form 10-K for the fiscal year ended October 31, 2020, Commission File No. 1-8649).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2.11</w:t>
            </w:r>
          </w:p>
        </w:tc>
        <w:tc>
          <w:tcPr>
            <w:tcW w:w="19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60" w:type="dxa"/>
            <w:vAlign w:val="bottom"/>
            <w:gridSpan w:val="17"/>
          </w:tcPr>
          <w:p>
            <w:pPr>
              <w:spacing w:after="0"/>
              <w:rPr>
                <w:rFonts w:ascii="Arial" w:cs="Arial" w:eastAsia="Arial" w:hAnsi="Arial"/>
                <w:sz w:val="16"/>
                <w:szCs w:val="16"/>
                <w:color w:val="0000FF"/>
                <w:w w:val="98"/>
              </w:rPr>
            </w:pPr>
            <w:hyperlink r:id="rId124">
              <w:r>
                <w:rPr>
                  <w:rFonts w:ascii="Arial" w:cs="Arial" w:eastAsia="Arial" w:hAnsi="Arial"/>
                  <w:sz w:val="16"/>
                  <w:szCs w:val="16"/>
                  <w:color w:val="0000FF"/>
                  <w:w w:val="98"/>
                </w:rPr>
                <w:t>Fifth Amendment to Limited Liability Company Agreement of Red Iron Acceptance, LLC effective as of December 20, 2019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10"/>
          </w:tcPr>
          <w:p>
            <w:pPr>
              <w:spacing w:after="0" w:line="142" w:lineRule="exact"/>
              <w:rPr>
                <w:rFonts w:ascii="Arial" w:cs="Arial" w:eastAsia="Arial" w:hAnsi="Arial"/>
                <w:sz w:val="16"/>
                <w:szCs w:val="16"/>
                <w:color w:val="0000FF"/>
                <w:w w:val="99"/>
              </w:rPr>
            </w:pPr>
            <w:hyperlink r:id="rId124">
              <w:r>
                <w:rPr>
                  <w:rFonts w:ascii="Arial" w:cs="Arial" w:eastAsia="Arial" w:hAnsi="Arial"/>
                  <w:sz w:val="16"/>
                  <w:szCs w:val="16"/>
                  <w:color w:val="0000FF"/>
                  <w:w w:val="99"/>
                </w:rPr>
                <w:t>between Red Iron Holding Corporation and TCFIF Joint Venture I, LLC (incorporated by reference to Exhibit 2.3 to Registrant’s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Quarterly Report on Form 10-Q for the fiscal quarter ended January 31, 2020, Commission File No. 1-8649).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2.12</w:t>
            </w:r>
          </w:p>
        </w:tc>
        <w:tc>
          <w:tcPr>
            <w:tcW w:w="19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60" w:type="dxa"/>
            <w:vAlign w:val="bottom"/>
            <w:gridSpan w:val="17"/>
          </w:tcPr>
          <w:p>
            <w:pPr>
              <w:spacing w:after="0"/>
              <w:rPr>
                <w:rFonts w:ascii="Arial" w:cs="Arial" w:eastAsia="Arial" w:hAnsi="Arial"/>
                <w:sz w:val="16"/>
                <w:szCs w:val="16"/>
                <w:color w:val="0000FF"/>
                <w:w w:val="92"/>
              </w:rPr>
            </w:pPr>
            <w:hyperlink r:id="rId125">
              <w:r>
                <w:rPr>
                  <w:rFonts w:ascii="Arial" w:cs="Arial" w:eastAsia="Arial" w:hAnsi="Arial"/>
                  <w:sz w:val="16"/>
                  <w:szCs w:val="16"/>
                  <w:color w:val="0000FF"/>
                  <w:w w:val="92"/>
                </w:rPr>
                <w:t>Receivable Purchase Agreement dated October 1, 2009 by and among Toro Credit Company, as Seller, The Toro Company, and Red Iron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tcBorders>
            <w:gridSpan w:val="13"/>
          </w:tcPr>
          <w:p>
            <w:pPr>
              <w:spacing w:after="0" w:line="142" w:lineRule="exact"/>
              <w:rPr>
                <w:rFonts w:ascii="Arial" w:cs="Arial" w:eastAsia="Arial" w:hAnsi="Arial"/>
                <w:sz w:val="16"/>
                <w:szCs w:val="16"/>
                <w:color w:val="0000FF"/>
                <w:w w:val="93"/>
              </w:rPr>
            </w:pPr>
            <w:hyperlink r:id="rId125">
              <w:r>
                <w:rPr>
                  <w:rFonts w:ascii="Arial" w:cs="Arial" w:eastAsia="Arial" w:hAnsi="Arial"/>
                  <w:sz w:val="16"/>
                  <w:szCs w:val="16"/>
                  <w:color w:val="0000FF"/>
                  <w:w w:val="93"/>
                </w:rPr>
                <w:t>Acceptance, LLC, as Buyer (incorporated by reference to Exhibit 2.1 to Registrant's Current Report on Form 8-K dated October 1, 2009,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Commission File No. 1-8649).</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2.13 (3)</w:t>
            </w:r>
          </w:p>
        </w:tc>
        <w:tc>
          <w:tcPr>
            <w:tcW w:w="19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60" w:type="dxa"/>
            <w:vAlign w:val="bottom"/>
            <w:gridSpan w:val="17"/>
          </w:tcPr>
          <w:p>
            <w:pPr>
              <w:spacing w:after="0"/>
              <w:rPr>
                <w:rFonts w:ascii="Arial" w:cs="Arial" w:eastAsia="Arial" w:hAnsi="Arial"/>
                <w:sz w:val="16"/>
                <w:szCs w:val="16"/>
                <w:color w:val="0000FF"/>
                <w:w w:val="92"/>
              </w:rPr>
            </w:pPr>
            <w:hyperlink r:id="rId126">
              <w:r>
                <w:rPr>
                  <w:rFonts w:ascii="Arial" w:cs="Arial" w:eastAsia="Arial" w:hAnsi="Arial"/>
                  <w:sz w:val="16"/>
                  <w:szCs w:val="16"/>
                  <w:color w:val="0000FF"/>
                  <w:w w:val="92"/>
                </w:rPr>
                <w:t>Fourth Amended and Restated Program and Repurchase Agreement dated as of November 29, 2016 by and between The Toro Company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and Red Iron Acceptance, LLC (incorporated by reference to Exhibit 2.3 to Registrant's Current Report on Form 8-K dated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2"/>
              </w:rPr>
            </w:pPr>
            <w:hyperlink r:id="rId126">
              <w:r>
                <w:rPr>
                  <w:rFonts w:ascii="Arial" w:cs="Arial" w:eastAsia="Arial" w:hAnsi="Arial"/>
                  <w:sz w:val="16"/>
                  <w:szCs w:val="16"/>
                  <w:color w:val="0000FF"/>
                  <w:w w:val="92"/>
                </w:rPr>
                <w:t>November 29, 2016, Commission File No. 1-8649).</w:t>
              </w:r>
            </w:hyperlink>
          </w:p>
        </w:tc>
        <w:tc>
          <w:tcPr>
            <w:tcW w:w="5580" w:type="dxa"/>
            <w:vAlign w:val="bottom"/>
            <w:tcBorders>
              <w:top w:val="single" w:sz="8" w:color="0000FF"/>
            </w:tcBorders>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2.14 (4)</w:t>
            </w:r>
          </w:p>
        </w:tc>
        <w:tc>
          <w:tcPr>
            <w:tcW w:w="9060" w:type="dxa"/>
            <w:vAlign w:val="bottom"/>
            <w:gridSpan w:val="17"/>
          </w:tcPr>
          <w:p>
            <w:pPr>
              <w:spacing w:after="0"/>
              <w:rPr>
                <w:rFonts w:ascii="Arial" w:cs="Arial" w:eastAsia="Arial" w:hAnsi="Arial"/>
                <w:sz w:val="16"/>
                <w:szCs w:val="16"/>
                <w:color w:val="0000FF"/>
                <w:w w:val="96"/>
              </w:rPr>
            </w:pPr>
            <w:hyperlink r:id="rId127">
              <w:r>
                <w:rPr>
                  <w:rFonts w:ascii="Arial" w:cs="Arial" w:eastAsia="Arial" w:hAnsi="Arial"/>
                  <w:sz w:val="16"/>
                  <w:szCs w:val="16"/>
                  <w:color w:val="0000FF"/>
                  <w:w w:val="96"/>
                </w:rPr>
                <w:t>First Amendment to Fourth Amended and Restated Program and Repurchase Agreement effective as of December 20, 2019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5"/>
              </w:rPr>
            </w:pPr>
            <w:hyperlink r:id="rId127">
              <w:r>
                <w:rPr>
                  <w:rFonts w:ascii="Arial" w:cs="Arial" w:eastAsia="Arial" w:hAnsi="Arial"/>
                  <w:sz w:val="16"/>
                  <w:szCs w:val="16"/>
                  <w:color w:val="0000FF"/>
                  <w:w w:val="95"/>
                </w:rPr>
                <w:t>between The Toro Company and Red Iron Acceptance, LLC (incorporated by reference to Exhibit 2.4 to Registrant’s Quarterly Report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gridSpan w:val="16"/>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on Form 10-Q for the fiscal quarter ended January 31, 2020,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2.15</w:t>
            </w:r>
          </w:p>
        </w:tc>
        <w:tc>
          <w:tcPr>
            <w:tcW w:w="4320" w:type="dxa"/>
            <w:vAlign w:val="bottom"/>
            <w:gridSpan w:val="3"/>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60" w:type="dxa"/>
            <w:vAlign w:val="bottom"/>
            <w:gridSpan w:val="17"/>
          </w:tcPr>
          <w:p>
            <w:pPr>
              <w:spacing w:after="0"/>
              <w:rPr>
                <w:rFonts w:ascii="Arial" w:cs="Arial" w:eastAsia="Arial" w:hAnsi="Arial"/>
                <w:sz w:val="16"/>
                <w:szCs w:val="16"/>
                <w:color w:val="0000FF"/>
                <w:w w:val="95"/>
              </w:rPr>
            </w:pPr>
            <w:hyperlink r:id="rId128">
              <w:r>
                <w:rPr>
                  <w:rFonts w:ascii="Arial" w:cs="Arial" w:eastAsia="Arial" w:hAnsi="Arial"/>
                  <w:sz w:val="16"/>
                  <w:szCs w:val="16"/>
                  <w:color w:val="0000FF"/>
                  <w:w w:val="95"/>
                </w:rPr>
                <w:t>Agreement and Plan of Merger dated as of February 14, 2019 among The Toro Company, Helix Company, Inc., The Charles Machine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tcBorders>
            <w:gridSpan w:val="15"/>
          </w:tcPr>
          <w:p>
            <w:pPr>
              <w:spacing w:after="0" w:line="142" w:lineRule="exact"/>
              <w:rPr>
                <w:rFonts w:ascii="Arial" w:cs="Arial" w:eastAsia="Arial" w:hAnsi="Arial"/>
                <w:sz w:val="16"/>
                <w:szCs w:val="16"/>
                <w:color w:val="0000FF"/>
                <w:w w:val="97"/>
              </w:rPr>
            </w:pPr>
            <w:hyperlink r:id="rId128">
              <w:r>
                <w:rPr>
                  <w:rFonts w:ascii="Arial" w:cs="Arial" w:eastAsia="Arial" w:hAnsi="Arial"/>
                  <w:sz w:val="16"/>
                  <w:szCs w:val="16"/>
                  <w:color w:val="0000FF"/>
                  <w:w w:val="97"/>
                </w:rPr>
                <w:t>Works, Inc. and Agent 186 LLC, as Shareholders’ Agent (incorporated by reference to Exhibit 2.1 to Registrant’s Current Report on</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Form 8-K dated February 14, 2019, Commission File No. 1-8649).</w:t>
              </w:r>
              <w:r>
                <w:rPr>
                  <w:rFonts w:ascii="Arial" w:cs="Arial" w:eastAsia="Arial" w:hAnsi="Arial"/>
                  <w:sz w:val="16"/>
                  <w:szCs w:val="16"/>
                  <w:color w:val="000000"/>
                </w:rPr>
                <w:t>**</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jc w:val="both"/>
        <w:ind w:left="2340" w:hanging="890"/>
        <w:spacing w:after="0"/>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3.1 and 4.1</w:t>
      </w:r>
      <w:r>
        <w:rPr>
          <w:sz w:val="20"/>
          <w:szCs w:val="20"/>
          <w:color w:val="auto"/>
        </w:rPr>
        <w:tab/>
      </w:r>
      <w:hyperlink r:id="rId129">
        <w:r>
          <w:rPr>
            <w:rFonts w:ascii="Arial" w:cs="Arial" w:eastAsia="Arial" w:hAnsi="Arial"/>
            <w:sz w:val="16"/>
            <w:szCs w:val="16"/>
            <w:u w:val="single" w:color="auto"/>
            <w:color w:val="0000FF"/>
          </w:rPr>
          <w:t>Restated Certificate of Incorporation of The Toro Company (incorporated by reference to Exhibit 3.1 to Registrant’s Current Report on</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Form 8-K dated June 17, 2008, Commission File No. 1-8649).</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3.2 and 4.2</w:t>
      </w:r>
      <w:r>
        <w:rPr>
          <w:sz w:val="20"/>
          <w:szCs w:val="20"/>
          <w:color w:val="auto"/>
        </w:rPr>
        <w:tab/>
      </w:r>
      <w:hyperlink r:id="rId130">
        <w:r>
          <w:rPr>
            <w:rFonts w:ascii="Arial" w:cs="Arial" w:eastAsia="Arial" w:hAnsi="Arial"/>
            <w:sz w:val="16"/>
            <w:szCs w:val="16"/>
            <w:u w:val="single" w:color="auto"/>
            <w:color w:val="0000FF"/>
          </w:rPr>
          <w:t>Certificate of Amendment to Restated Certificate of Incorporation of The Toro Company (incorporated by reference to Exhibit 3.1 to</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Registrant’s Current Report on Form 8-K dated March 12, 2013, Commission File No. 1-8649).</w:t>
        </w:r>
      </w:hyperlink>
    </w:p>
    <w:p>
      <w:pPr>
        <w:spacing w:after="0" w:line="2" w:lineRule="exact"/>
        <w:rPr>
          <w:sz w:val="20"/>
          <w:szCs w:val="20"/>
          <w:color w:val="auto"/>
        </w:rPr>
      </w:pPr>
    </w:p>
    <w:p>
      <w:pPr>
        <w:ind w:left="1440"/>
        <w:spacing w:after="0"/>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3.3 and 4.3</w:t>
      </w:r>
      <w:r>
        <w:rPr>
          <w:sz w:val="20"/>
          <w:szCs w:val="20"/>
          <w:color w:val="auto"/>
        </w:rPr>
        <w:tab/>
      </w:r>
      <w:hyperlink r:id="rId131">
        <w:r>
          <w:rPr>
            <w:rFonts w:ascii="Arial" w:cs="Arial" w:eastAsia="Arial" w:hAnsi="Arial"/>
            <w:sz w:val="15"/>
            <w:szCs w:val="15"/>
            <w:color w:val="0000FF"/>
          </w:rPr>
          <w:t>Amended and Restated Bylaws of The Toro Company (incorporated by reference to Exhibit 3.1 to Registrant’s Current Report on</w:t>
        </w:r>
      </w:hyperlink>
    </w:p>
    <w:tbl>
      <w:tblPr>
        <w:tblLayout w:type="fixed"/>
        <w:tblInd w:w="144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2"/>
              </w:rPr>
            </w:pPr>
            <w:hyperlink r:id="rId131">
              <w:r>
                <w:rPr>
                  <w:rFonts w:ascii="Arial" w:cs="Arial" w:eastAsia="Arial" w:hAnsi="Arial"/>
                  <w:sz w:val="16"/>
                  <w:szCs w:val="16"/>
                  <w:color w:val="0000FF"/>
                  <w:w w:val="92"/>
                </w:rPr>
                <w:t>Form 8-K dated July 19, 2016, Commission File No. 1-8649).</w:t>
              </w:r>
            </w:hyperlink>
          </w:p>
        </w:tc>
        <w:tc>
          <w:tcPr>
            <w:tcW w:w="50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4.4</w:t>
            </w:r>
          </w:p>
        </w:tc>
        <w:tc>
          <w:tcPr>
            <w:tcW w:w="9200" w:type="dxa"/>
            <w:vAlign w:val="bottom"/>
            <w:gridSpan w:val="31"/>
          </w:tcPr>
          <w:p>
            <w:pPr>
              <w:spacing w:after="0"/>
              <w:rPr>
                <w:rFonts w:ascii="Arial" w:cs="Arial" w:eastAsia="Arial" w:hAnsi="Arial"/>
                <w:sz w:val="16"/>
                <w:szCs w:val="16"/>
                <w:color w:val="0000FF"/>
                <w:w w:val="96"/>
              </w:rPr>
            </w:pPr>
            <w:hyperlink r:id="rId132">
              <w:r>
                <w:rPr>
                  <w:rFonts w:ascii="Arial" w:cs="Arial" w:eastAsia="Arial" w:hAnsi="Arial"/>
                  <w:sz w:val="16"/>
                  <w:szCs w:val="16"/>
                  <w:color w:val="0000FF"/>
                  <w:w w:val="96"/>
                </w:rPr>
                <w:t>Specimen Form of Common Stock Certificate (incorporated by reference to Exhibit 4(c) to Registrant's Quarterly Report on Form 10-Q</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for the fiscal quarter ended August 1, 2008, Commission File No. 1-8649).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4.5</w:t>
            </w:r>
          </w:p>
        </w:tc>
        <w:tc>
          <w:tcPr>
            <w:tcW w:w="456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3"/>
              </w:rPr>
            </w:pPr>
            <w:hyperlink w:anchor="page104">
              <w:r>
                <w:rPr>
                  <w:rFonts w:ascii="Arial" w:cs="Arial" w:eastAsia="Arial" w:hAnsi="Arial"/>
                  <w:sz w:val="16"/>
                  <w:szCs w:val="16"/>
                  <w:color w:val="0000FF"/>
                  <w:w w:val="93"/>
                </w:rPr>
                <w:t>Description of Common Stock of The Toro Company (filed herewith).</w:t>
              </w:r>
            </w:hyperlink>
          </w:p>
        </w:tc>
        <w:tc>
          <w:tcPr>
            <w:tcW w:w="280" w:type="dxa"/>
            <w:vAlign w:val="bottom"/>
            <w:tcBorders>
              <w:top w:val="single" w:sz="8" w:color="0000FF"/>
            </w:tcBorders>
          </w:tcPr>
          <w:p>
            <w:pPr>
              <w:spacing w:after="0"/>
              <w:rPr>
                <w:sz w:val="17"/>
                <w:szCs w:val="17"/>
                <w:color w:val="auto"/>
              </w:rPr>
            </w:pPr>
          </w:p>
        </w:tc>
        <w:tc>
          <w:tcPr>
            <w:tcW w:w="43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6"/>
                <w:szCs w:val="16"/>
                <w:b w:val="1"/>
                <w:bCs w:val="1"/>
                <w:color w:val="auto"/>
              </w:rPr>
              <w:t>4.6</w:t>
            </w:r>
          </w:p>
        </w:tc>
        <w:tc>
          <w:tcPr>
            <w:tcW w:w="9200" w:type="dxa"/>
            <w:vAlign w:val="bottom"/>
            <w:gridSpan w:val="31"/>
          </w:tcPr>
          <w:p>
            <w:pPr>
              <w:spacing w:after="0"/>
              <w:rPr>
                <w:sz w:val="20"/>
                <w:szCs w:val="20"/>
                <w:color w:val="auto"/>
              </w:rPr>
            </w:pPr>
            <w:r>
              <w:rPr>
                <w:rFonts w:ascii="Arial" w:cs="Arial" w:eastAsia="Arial" w:hAnsi="Arial"/>
                <w:sz w:val="16"/>
                <w:szCs w:val="16"/>
                <w:color w:val="auto"/>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200" w:type="dxa"/>
            <w:vAlign w:val="bottom"/>
            <w:gridSpan w:val="31"/>
          </w:tcPr>
          <w:p>
            <w:pPr>
              <w:spacing w:after="0" w:line="162" w:lineRule="exact"/>
              <w:rPr>
                <w:sz w:val="20"/>
                <w:szCs w:val="20"/>
                <w:color w:val="auto"/>
              </w:rPr>
            </w:pPr>
            <w:r>
              <w:rPr>
                <w:rFonts w:ascii="Arial" w:cs="Arial" w:eastAsia="Arial" w:hAnsi="Arial"/>
                <w:sz w:val="16"/>
                <w:szCs w:val="16"/>
                <w:color w:val="auto"/>
                <w:w w:val="95"/>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9200" w:type="dxa"/>
            <w:vAlign w:val="bottom"/>
            <w:gridSpan w:val="31"/>
          </w:tcPr>
          <w:p>
            <w:pPr>
              <w:spacing w:after="0"/>
              <w:rPr>
                <w:sz w:val="20"/>
                <w:szCs w:val="20"/>
                <w:color w:val="auto"/>
              </w:rPr>
            </w:pPr>
            <w:r>
              <w:rPr>
                <w:rFonts w:ascii="Arial" w:cs="Arial" w:eastAsia="Arial" w:hAnsi="Arial"/>
                <w:sz w:val="16"/>
                <w:szCs w:val="16"/>
                <w:color w:val="auto"/>
                <w:w w:val="98"/>
              </w:rPr>
              <w:t>dated June 24, 1997, Commission File No. 1-8649). (Filed on paper - hyperlink not required pursuant to Rule 105 of Regulation S-T)</w:t>
            </w:r>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Arial" w:cs="Arial" w:eastAsia="Arial" w:hAnsi="Arial"/>
                <w:sz w:val="16"/>
                <w:szCs w:val="16"/>
                <w:b w:val="1"/>
                <w:bCs w:val="1"/>
                <w:color w:val="auto"/>
              </w:rPr>
              <w:t>4.7</w:t>
            </w:r>
          </w:p>
        </w:tc>
        <w:tc>
          <w:tcPr>
            <w:tcW w:w="9200" w:type="dxa"/>
            <w:vAlign w:val="bottom"/>
            <w:gridSpan w:val="31"/>
          </w:tcPr>
          <w:p>
            <w:pPr>
              <w:spacing w:after="0" w:line="181" w:lineRule="exact"/>
              <w:rPr>
                <w:rFonts w:ascii="Arial" w:cs="Arial" w:eastAsia="Arial" w:hAnsi="Arial"/>
                <w:sz w:val="16"/>
                <w:szCs w:val="16"/>
                <w:color w:val="0000FF"/>
                <w:w w:val="97"/>
              </w:rPr>
            </w:pPr>
            <w:hyperlink r:id="rId133">
              <w:r>
                <w:rPr>
                  <w:rFonts w:ascii="Arial" w:cs="Arial" w:eastAsia="Arial" w:hAnsi="Arial"/>
                  <w:sz w:val="16"/>
                  <w:szCs w:val="16"/>
                  <w:color w:val="0000FF"/>
                  <w:w w:val="97"/>
                </w:rPr>
                <w:t>Indenture dated as of April 20,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60" w:type="dxa"/>
            <w:vAlign w:val="bottom"/>
            <w:tcBorders>
              <w:top w:val="single" w:sz="8" w:color="0000FF"/>
            </w:tcBorders>
            <w:gridSpan w:val="29"/>
          </w:tcPr>
          <w:p>
            <w:pPr>
              <w:spacing w:after="0" w:line="142" w:lineRule="exact"/>
              <w:rPr>
                <w:rFonts w:ascii="Arial" w:cs="Arial" w:eastAsia="Arial" w:hAnsi="Arial"/>
                <w:sz w:val="16"/>
                <w:szCs w:val="16"/>
                <w:color w:val="0000FF"/>
                <w:w w:val="98"/>
              </w:rPr>
            </w:pPr>
            <w:hyperlink r:id="rId133">
              <w:r>
                <w:rPr>
                  <w:rFonts w:ascii="Arial" w:cs="Arial" w:eastAsia="Arial" w:hAnsi="Arial"/>
                  <w:sz w:val="16"/>
                  <w:szCs w:val="16"/>
                  <w:color w:val="0000FF"/>
                  <w:w w:val="98"/>
                </w:rPr>
                <w:t>Toro Company’s 6.625% Notes due May 1, 2037 (incorporated by reference to Exhibit 4.3 to Registrant’s Registration Statement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72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2"/>
              </w:rPr>
            </w:pPr>
            <w:hyperlink r:id="rId133">
              <w:r>
                <w:rPr>
                  <w:rFonts w:ascii="Arial" w:cs="Arial" w:eastAsia="Arial" w:hAnsi="Arial"/>
                  <w:sz w:val="16"/>
                  <w:szCs w:val="16"/>
                  <w:color w:val="0000FF"/>
                  <w:w w:val="92"/>
                </w:rPr>
                <w:t>Form S-3 filed with the Securities and Exchange Commission on April 23, 2007, Registration No. 333-142282).</w:t>
              </w:r>
            </w:hyperlink>
          </w:p>
        </w:tc>
        <w:tc>
          <w:tcPr>
            <w:tcW w:w="16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4.8</w:t>
            </w:r>
          </w:p>
        </w:tc>
        <w:tc>
          <w:tcPr>
            <w:tcW w:w="9200" w:type="dxa"/>
            <w:vAlign w:val="bottom"/>
            <w:gridSpan w:val="31"/>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w w:val="99"/>
              </w:rPr>
            </w:pPr>
            <w:hyperlink r:id="rId134">
              <w:r>
                <w:rPr>
                  <w:rFonts w:ascii="Arial" w:cs="Arial" w:eastAsia="Arial" w:hAnsi="Arial"/>
                  <w:sz w:val="16"/>
                  <w:szCs w:val="16"/>
                  <w:color w:val="0000FF"/>
                  <w:w w:val="99"/>
                </w:rPr>
                <w:t>Trustee, relating to The Toro Company’s 6.625% Notes due May 1, 2037 (incorporated by reference to Exhibit 4.1 to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20" w:type="dxa"/>
            <w:vAlign w:val="bottom"/>
            <w:gridSpan w:val="27"/>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Current Report on Form 8-K dated April 23, 2007, Commission File No. 1-8649).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4.9</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w w:val="97"/>
              </w:rPr>
            </w:pPr>
            <w:hyperlink r:id="rId135">
              <w:r>
                <w:rPr>
                  <w:rFonts w:ascii="Arial" w:cs="Arial" w:eastAsia="Arial" w:hAnsi="Arial"/>
                  <w:sz w:val="16"/>
                  <w:szCs w:val="16"/>
                  <w:color w:val="0000FF"/>
                  <w:w w:val="97"/>
                </w:rPr>
                <w:t>Form of The Toro Company 6.625% Note due May 1, 2037 (incorporated by reference to Exhibit 4.2 to Registrant’s Current Report 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Form 8-K dated April 23, 2007,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10.1</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w w:val="98"/>
              </w:rPr>
            </w:pPr>
            <w:hyperlink r:id="rId136">
              <w:r>
                <w:rPr>
                  <w:rFonts w:ascii="Arial" w:cs="Arial" w:eastAsia="Arial" w:hAnsi="Arial"/>
                  <w:sz w:val="16"/>
                  <w:szCs w:val="16"/>
                  <w:color w:val="0000FF"/>
                  <w:w w:val="98"/>
                </w:rPr>
                <w:t>The 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tcBorders>
            <w:gridSpan w:val="20"/>
          </w:tcPr>
          <w:p>
            <w:pPr>
              <w:spacing w:after="0" w:line="142" w:lineRule="exact"/>
              <w:rPr>
                <w:rFonts w:ascii="Arial" w:cs="Arial" w:eastAsia="Arial" w:hAnsi="Arial"/>
                <w:sz w:val="16"/>
                <w:szCs w:val="16"/>
                <w:color w:val="0000FF"/>
                <w:w w:val="96"/>
              </w:rPr>
            </w:pPr>
            <w:hyperlink r:id="rId136">
              <w:r>
                <w:rPr>
                  <w:rFonts w:ascii="Arial" w:cs="Arial" w:eastAsia="Arial" w:hAnsi="Arial"/>
                  <w:sz w:val="16"/>
                  <w:szCs w:val="16"/>
                  <w:color w:val="0000FF"/>
                  <w:w w:val="96"/>
                </w:rPr>
                <w:t>Exhibit 10.1 to Registrant’s Annual Report on Form 10-K for the fiscal year ended October 31, 2016, Commission File No. 1-8649).</w:t>
              </w:r>
              <w:r>
                <w:rPr>
                  <w:rFonts w:ascii="Arial" w:cs="Arial" w:eastAsia="Arial" w:hAnsi="Arial"/>
                  <w:sz w:val="16"/>
                  <w:szCs w:val="16"/>
                  <w:color w:val="000000"/>
                  <w:w w:val="96"/>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10.2</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w w:val="94"/>
              </w:rPr>
            </w:pPr>
            <w:hyperlink r:id="rId137">
              <w:r>
                <w:rPr>
                  <w:rFonts w:ascii="Arial" w:cs="Arial" w:eastAsia="Arial" w:hAnsi="Arial"/>
                  <w:sz w:val="16"/>
                  <w:szCs w:val="16"/>
                  <w:color w:val="0000FF"/>
                  <w:w w:val="94"/>
                </w:rPr>
                <w:t>Amendment No. 1 to The Toro Company Amended and Restated 2010 Equity and Incentive Plan, as Amended and Restated,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7"/>
              </w:rPr>
            </w:pPr>
            <w:hyperlink r:id="rId137">
              <w:r>
                <w:rPr>
                  <w:rFonts w:ascii="Arial" w:cs="Arial" w:eastAsia="Arial" w:hAnsi="Arial"/>
                  <w:sz w:val="16"/>
                  <w:szCs w:val="16"/>
                  <w:color w:val="0000FF"/>
                  <w:w w:val="97"/>
                </w:rPr>
                <w:t>December 3, 2019 (incorporated by reference to Exhibit 10.2 to Registrant's Annual Report on Form 10-K for the fiscal year ended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40" w:type="dxa"/>
            <w:vAlign w:val="bottom"/>
            <w:gridSpan w:val="28"/>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October 31, 2019, Commission File No. 1-8649)</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10.3</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w w:val="95"/>
              </w:rPr>
            </w:pPr>
            <w:hyperlink r:id="rId138">
              <w:r>
                <w:rPr>
                  <w:rFonts w:ascii="Arial" w:cs="Arial" w:eastAsia="Arial" w:hAnsi="Arial"/>
                  <w:sz w:val="16"/>
                  <w:szCs w:val="16"/>
                  <w:color w:val="0000FF"/>
                  <w:w w:val="95"/>
                </w:rPr>
                <w:t>The Toro Company Performance Share Plan (As Amended January 15, 2008) (incorporated by reference to Exhibit 10.2 to Registrant's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Current Report on Form 8-K dated January 15, 2008, 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10.4</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80" w:type="dxa"/>
            <w:vAlign w:val="bottom"/>
            <w:gridSpan w:val="7"/>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rPr>
            </w:pPr>
            <w:hyperlink r:id="rId139">
              <w:r>
                <w:rPr>
                  <w:rFonts w:ascii="Arial" w:cs="Arial" w:eastAsia="Arial" w:hAnsi="Arial"/>
                  <w:sz w:val="16"/>
                  <w:szCs w:val="16"/>
                  <w:color w:val="0000FF"/>
                </w:rPr>
                <w:t>The Toro Company Supplemental Benefit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6"/>
              </w:rPr>
            </w:pPr>
            <w:hyperlink r:id="rId139">
              <w:r>
                <w:rPr>
                  <w:rFonts w:ascii="Arial" w:cs="Arial" w:eastAsia="Arial" w:hAnsi="Arial"/>
                  <w:sz w:val="16"/>
                  <w:szCs w:val="16"/>
                  <w:color w:val="0000FF"/>
                  <w:w w:val="96"/>
                </w:rPr>
                <w:t>Exhibit 10.8 to Registrant's Quarterly Report on Form 10-Q for the fiscal quarter ended February 3, 2017, Commission File No. 1-</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gridSpan w:val="2"/>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8649).</w:t>
              </w:r>
              <w:r>
                <w:rPr>
                  <w:rFonts w:ascii="Arial" w:cs="Arial" w:eastAsia="Arial" w:hAnsi="Arial"/>
                  <w:sz w:val="16"/>
                  <w:szCs w:val="16"/>
                  <w:color w:val="000000"/>
                </w:rPr>
                <w:t>*</w:t>
              </w:r>
            </w:hyperlink>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10.5</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w w:val="99"/>
              </w:rPr>
            </w:pPr>
            <w:hyperlink r:id="rId140">
              <w:r>
                <w:rPr>
                  <w:rFonts w:ascii="Arial" w:cs="Arial" w:eastAsia="Arial" w:hAnsi="Arial"/>
                  <w:sz w:val="16"/>
                  <w:szCs w:val="16"/>
                  <w:color w:val="0000FF"/>
                  <w:w w:val="99"/>
                </w:rPr>
                <w:t>The Toro Company Deferred Compensation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tcBorders>
            <w:gridSpan w:val="23"/>
          </w:tcPr>
          <w:p>
            <w:pPr>
              <w:spacing w:after="0" w:line="142" w:lineRule="exact"/>
              <w:rPr>
                <w:rFonts w:ascii="Arial" w:cs="Arial" w:eastAsia="Arial" w:hAnsi="Arial"/>
                <w:sz w:val="16"/>
                <w:szCs w:val="16"/>
                <w:color w:val="0000FF"/>
                <w:w w:val="98"/>
              </w:rPr>
            </w:pPr>
            <w:hyperlink r:id="rId140">
              <w:r>
                <w:rPr>
                  <w:rFonts w:ascii="Arial" w:cs="Arial" w:eastAsia="Arial" w:hAnsi="Arial"/>
                  <w:sz w:val="16"/>
                  <w:szCs w:val="16"/>
                  <w:color w:val="0000FF"/>
                  <w:w w:val="98"/>
                </w:rPr>
                <w:t>Exhibit 10.9 to Registrant's Quarterly Report on Form 10-Q for the fiscal quarter ended February 3, 2017, Commission File No. 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8649).</w:t>
              </w:r>
              <w:r>
                <w:rPr>
                  <w:rFonts w:ascii="Arial" w:cs="Arial" w:eastAsia="Arial" w:hAnsi="Arial"/>
                  <w:sz w:val="16"/>
                  <w:szCs w:val="16"/>
                  <w:color w:val="000000"/>
                </w:rPr>
                <w:t>*</w:t>
              </w:r>
            </w:hyperlink>
          </w:p>
        </w:tc>
        <w:tc>
          <w:tcPr>
            <w:tcW w:w="86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10.6</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rPr>
            </w:pPr>
            <w:hyperlink r:id="rId141">
              <w:r>
                <w:rPr>
                  <w:rFonts w:ascii="Arial" w:cs="Arial" w:eastAsia="Arial" w:hAnsi="Arial"/>
                  <w:sz w:val="16"/>
                  <w:szCs w:val="16"/>
                  <w:color w:val="0000FF"/>
                </w:rPr>
                <w:t>The Toro Company Deferred Compensation Plan for Officers, Amended and Restated Effective January 1, 2017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tcBorders>
              <w:top w:val="single" w:sz="8" w:color="0000FF"/>
            </w:tcBorders>
            <w:gridSpan w:val="26"/>
          </w:tcPr>
          <w:p>
            <w:pPr>
              <w:spacing w:after="0" w:line="142" w:lineRule="exact"/>
              <w:rPr>
                <w:rFonts w:ascii="Arial" w:cs="Arial" w:eastAsia="Arial" w:hAnsi="Arial"/>
                <w:sz w:val="16"/>
                <w:szCs w:val="16"/>
                <w:color w:val="0000FF"/>
                <w:w w:val="97"/>
              </w:rPr>
            </w:pPr>
            <w:hyperlink r:id="rId141">
              <w:r>
                <w:rPr>
                  <w:rFonts w:ascii="Arial" w:cs="Arial" w:eastAsia="Arial" w:hAnsi="Arial"/>
                  <w:sz w:val="16"/>
                  <w:szCs w:val="16"/>
                  <w:color w:val="0000FF"/>
                  <w:w w:val="97"/>
                </w:rPr>
                <w:t>reference to Exhibit 10.10 to Registrant's Quarterly Report on Form 10-Q for the fiscal quarter ended February 3, 2017, Commission</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10.7</w:t>
            </w:r>
          </w:p>
        </w:tc>
        <w:tc>
          <w:tcPr>
            <w:tcW w:w="11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rPr>
            </w:pPr>
            <w:hyperlink r:id="rId142">
              <w:r>
                <w:rPr>
                  <w:rFonts w:ascii="Arial" w:cs="Arial" w:eastAsia="Arial" w:hAnsi="Arial"/>
                  <w:sz w:val="16"/>
                  <w:szCs w:val="16"/>
                  <w:color w:val="0000FF"/>
                </w:rPr>
                <w:t>The Toro Company Deferred Compensation Plan for Non-Employee Directors, Amended and Restated Effective January 1, 2017</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2"/>
              </w:rPr>
            </w:pPr>
            <w:hyperlink r:id="rId142">
              <w:r>
                <w:rPr>
                  <w:rFonts w:ascii="Arial" w:cs="Arial" w:eastAsia="Arial" w:hAnsi="Arial"/>
                  <w:sz w:val="16"/>
                  <w:szCs w:val="16"/>
                  <w:color w:val="0000FF"/>
                  <w:w w:val="92"/>
                </w:rPr>
                <w:t>(incorporated by reference to Exhibit 10.11 to Registrant's Quarterly Report on Form 10-Q for the fiscal quarter ended February 3, 2017,</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gridSpan w:val="19"/>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Commission File No. 1-8649).</w:t>
              </w:r>
              <w:r>
                <w:rPr>
                  <w:rFonts w:ascii="Arial" w:cs="Arial" w:eastAsia="Arial" w:hAnsi="Arial"/>
                  <w:sz w:val="16"/>
                  <w:szCs w:val="16"/>
                  <w:color w:val="000000"/>
                </w:rPr>
                <w:t>*</w:t>
              </w:r>
            </w:hyperlink>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10.8</w:t>
            </w:r>
          </w:p>
        </w:tc>
        <w:tc>
          <w:tcPr>
            <w:tcW w:w="1980" w:type="dxa"/>
            <w:vAlign w:val="bottom"/>
            <w:gridSpan w:val="3"/>
            <w:shd w:val="clear" w:color="auto" w:fill="0000FF"/>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31"/>
          </w:tcPr>
          <w:p>
            <w:pPr>
              <w:spacing w:after="0"/>
              <w:rPr>
                <w:rFonts w:ascii="Arial" w:cs="Arial" w:eastAsia="Arial" w:hAnsi="Arial"/>
                <w:sz w:val="16"/>
                <w:szCs w:val="16"/>
                <w:color w:val="0000FF"/>
                <w:w w:val="96"/>
              </w:rPr>
            </w:pPr>
            <w:hyperlink r:id="rId143">
              <w:r>
                <w:rPr>
                  <w:rFonts w:ascii="Arial" w:cs="Arial" w:eastAsia="Arial" w:hAnsi="Arial"/>
                  <w:sz w:val="16"/>
                  <w:szCs w:val="16"/>
                  <w:color w:val="0000FF"/>
                  <w:w w:val="96"/>
                </w:rPr>
                <w:t>Form of Nonemployee Director Stock Option Agreement between The Toro Company and its Non-Employee Directors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80" w:type="dxa"/>
            <w:vAlign w:val="bottom"/>
            <w:tcBorders>
              <w:top w:val="single" w:sz="8" w:color="0000FF"/>
            </w:tcBorders>
            <w:gridSpan w:val="25"/>
          </w:tcPr>
          <w:p>
            <w:pPr>
              <w:spacing w:after="0" w:line="142" w:lineRule="exact"/>
              <w:rPr>
                <w:rFonts w:ascii="Arial" w:cs="Arial" w:eastAsia="Arial" w:hAnsi="Arial"/>
                <w:sz w:val="16"/>
                <w:szCs w:val="16"/>
                <w:color w:val="0000FF"/>
                <w:w w:val="94"/>
              </w:rPr>
            </w:pPr>
            <w:hyperlink r:id="rId143">
              <w:r>
                <w:rPr>
                  <w:rFonts w:ascii="Arial" w:cs="Arial" w:eastAsia="Arial" w:hAnsi="Arial"/>
                  <w:sz w:val="16"/>
                  <w:szCs w:val="16"/>
                  <w:color w:val="0000FF"/>
                  <w:w w:val="94"/>
                </w:rPr>
                <w:t>Company Amended and Restated 2010 Equity and Incentive Plan, as amended and restated (incorporated by reference to Exhibit 10.11</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to Registrant’s Annual Report on Form 10-K for the fiscal year ended October 31, 2016, Commission File No. 1-8649).</w:t>
              </w:r>
              <w:r>
                <w:rPr>
                  <w:rFonts w:ascii="Arial" w:cs="Arial" w:eastAsia="Arial" w:hAnsi="Arial"/>
                  <w:sz w:val="16"/>
                  <w:szCs w:val="16"/>
                  <w:color w:val="000000"/>
                </w:rPr>
                <w:t>*</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2340" w:hanging="890"/>
        <w:spacing w:after="0" w:line="248" w:lineRule="auto"/>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10.9</w:t>
      </w:r>
      <w:r>
        <w:rPr>
          <w:sz w:val="20"/>
          <w:szCs w:val="20"/>
          <w:color w:val="auto"/>
        </w:rPr>
        <w:tab/>
      </w:r>
      <w:hyperlink r:id="rId145">
        <w:r>
          <w:rPr>
            <w:rFonts w:ascii="Arial" w:cs="Arial" w:eastAsia="Arial" w:hAnsi="Arial"/>
            <w:sz w:val="15"/>
            <w:szCs w:val="15"/>
            <w:u w:val="single" w:color="auto"/>
            <w:color w:val="0000FF"/>
          </w:rPr>
          <w:t>Form of Nonqualified Stock Option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Company Amended and Restated 2010 Equity and Incentive Plan, as amended and restated (incorporated by reference to Exhibit 10.14</w:t>
        </w:r>
      </w:hyperlink>
      <w:r>
        <w:rPr>
          <w:rFonts w:ascii="Arial" w:cs="Arial" w:eastAsia="Arial" w:hAnsi="Arial"/>
          <w:sz w:val="15"/>
          <w:szCs w:val="15"/>
          <w:u w:val="single" w:color="auto"/>
          <w:color w:val="0000FF"/>
        </w:rPr>
        <w:t xml:space="preserve"> </w:t>
      </w:r>
      <w:hyperlink r:id="rId145">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48" w:lineRule="auto"/>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10.10</w:t>
      </w:r>
      <w:r>
        <w:rPr>
          <w:sz w:val="20"/>
          <w:szCs w:val="20"/>
          <w:color w:val="auto"/>
        </w:rPr>
        <w:tab/>
      </w:r>
      <w:hyperlink r:id="rId146">
        <w:r>
          <w:rPr>
            <w:rFonts w:ascii="Arial" w:cs="Arial" w:eastAsia="Arial" w:hAnsi="Arial"/>
            <w:sz w:val="15"/>
            <w:szCs w:val="15"/>
            <w:u w:val="single" w:color="auto"/>
            <w:color w:val="0000FF"/>
          </w:rPr>
          <w:t>Form of Performance Share Award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46">
        <w:r>
          <w:rPr>
            <w:rFonts w:ascii="Arial" w:cs="Arial" w:eastAsia="Arial" w:hAnsi="Arial"/>
            <w:sz w:val="15"/>
            <w:szCs w:val="15"/>
            <w:u w:val="single" w:color="auto"/>
            <w:color w:val="0000FF"/>
          </w:rPr>
          <w:t>Company Amended and Restated 2010 Equity and Incentive Plan, as amended and restated (incorporated by reference to Exhibit 10.17</w:t>
        </w:r>
      </w:hyperlink>
      <w:r>
        <w:rPr>
          <w:rFonts w:ascii="Arial" w:cs="Arial" w:eastAsia="Arial" w:hAnsi="Arial"/>
          <w:sz w:val="15"/>
          <w:szCs w:val="15"/>
          <w:u w:val="single" w:color="auto"/>
          <w:color w:val="0000FF"/>
        </w:rPr>
        <w:t xml:space="preserve"> </w:t>
      </w:r>
      <w:hyperlink r:id="rId146">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48" w:lineRule="auto"/>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10.11</w:t>
      </w:r>
      <w:r>
        <w:rPr>
          <w:sz w:val="20"/>
          <w:szCs w:val="20"/>
          <w:color w:val="auto"/>
        </w:rPr>
        <w:tab/>
      </w:r>
      <w:hyperlink r:id="rId147">
        <w:r>
          <w:rPr>
            <w:rFonts w:ascii="Arial" w:cs="Arial" w:eastAsia="Arial" w:hAnsi="Arial"/>
            <w:sz w:val="15"/>
            <w:szCs w:val="15"/>
            <w:u w:val="single" w:color="auto"/>
            <w:color w:val="0000FF"/>
          </w:rPr>
          <w:t>Form of Annual Performance Award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47">
        <w:r>
          <w:rPr>
            <w:rFonts w:ascii="Arial" w:cs="Arial" w:eastAsia="Arial" w:hAnsi="Arial"/>
            <w:sz w:val="15"/>
            <w:szCs w:val="15"/>
            <w:u w:val="single" w:color="auto"/>
            <w:color w:val="0000FF"/>
          </w:rPr>
          <w:t>Company Amended and Restated 2010 Equity and Incentive Plan, as amended and restated (incorporated by reference to Exhibit 10.18</w:t>
        </w:r>
      </w:hyperlink>
      <w:r>
        <w:rPr>
          <w:rFonts w:ascii="Arial" w:cs="Arial" w:eastAsia="Arial" w:hAnsi="Arial"/>
          <w:sz w:val="15"/>
          <w:szCs w:val="15"/>
          <w:u w:val="single" w:color="auto"/>
          <w:color w:val="0000FF"/>
        </w:rPr>
        <w:t xml:space="preserve"> </w:t>
      </w:r>
      <w:hyperlink r:id="rId147">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48" w:lineRule="auto"/>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10.12</w:t>
      </w:r>
      <w:r>
        <w:rPr>
          <w:sz w:val="20"/>
          <w:szCs w:val="20"/>
          <w:color w:val="auto"/>
        </w:rPr>
        <w:tab/>
      </w:r>
      <w:hyperlink r:id="rId148">
        <w:r>
          <w:rPr>
            <w:rFonts w:ascii="Arial" w:cs="Arial" w:eastAsia="Arial" w:hAnsi="Arial"/>
            <w:sz w:val="15"/>
            <w:szCs w:val="15"/>
            <w:u w:val="single" w:color="auto"/>
            <w:color w:val="0000FF"/>
          </w:rPr>
          <w:t>Form of Restricted Stock Award Agreement between The Toro Company and its officers and other employees under The Toro Company</w:t>
        </w:r>
      </w:hyperlink>
      <w:r>
        <w:rPr>
          <w:rFonts w:ascii="Arial" w:cs="Arial" w:eastAsia="Arial" w:hAnsi="Arial"/>
          <w:sz w:val="15"/>
          <w:szCs w:val="15"/>
          <w:u w:val="single" w:color="auto"/>
          <w:color w:val="0000FF"/>
        </w:rPr>
        <w:t xml:space="preserve"> </w:t>
      </w:r>
      <w:hyperlink r:id="rId148">
        <w:r>
          <w:rPr>
            <w:rFonts w:ascii="Arial" w:cs="Arial" w:eastAsia="Arial" w:hAnsi="Arial"/>
            <w:sz w:val="15"/>
            <w:szCs w:val="15"/>
            <w:u w:val="single" w:color="auto"/>
            <w:color w:val="0000FF"/>
          </w:rPr>
          <w:t>Amended and Restated 2010 Equity and Incentive Plan, as amended and restated (incorporated by reference to Exhibit 10.19 to</w:t>
        </w:r>
      </w:hyperlink>
      <w:r>
        <w:rPr>
          <w:rFonts w:ascii="Arial" w:cs="Arial" w:eastAsia="Arial" w:hAnsi="Arial"/>
          <w:sz w:val="15"/>
          <w:szCs w:val="15"/>
          <w:u w:val="single" w:color="auto"/>
          <w:color w:val="0000FF"/>
        </w:rPr>
        <w:t xml:space="preserve"> </w:t>
      </w:r>
      <w:hyperlink r:id="rId148">
        <w:r>
          <w:rPr>
            <w:rFonts w:ascii="Arial" w:cs="Arial" w:eastAsia="Arial" w:hAnsi="Arial"/>
            <w:sz w:val="15"/>
            <w:szCs w:val="15"/>
            <w:u w:val="single" w:color="auto"/>
            <w:color w:val="0000FF"/>
          </w:rPr>
          <w:t>Registrant’s Annual Report on Form 10-K for the fiscal year ended October 31, 2016, Commission File No. 1-8649).</w:t>
        </w:r>
        <w:r>
          <w:rPr>
            <w:rFonts w:ascii="Arial" w:cs="Arial" w:eastAsia="Arial" w:hAnsi="Arial"/>
            <w:sz w:val="15"/>
            <w:szCs w:val="15"/>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48" w:lineRule="auto"/>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10.13</w:t>
      </w:r>
      <w:r>
        <w:rPr>
          <w:sz w:val="20"/>
          <w:szCs w:val="20"/>
          <w:color w:val="auto"/>
        </w:rPr>
        <w:tab/>
      </w:r>
      <w:hyperlink r:id="rId149">
        <w:r>
          <w:rPr>
            <w:rFonts w:ascii="Arial" w:cs="Arial" w:eastAsia="Arial" w:hAnsi="Arial"/>
            <w:sz w:val="15"/>
            <w:szCs w:val="15"/>
            <w:u w:val="single" w:color="auto"/>
            <w:color w:val="0000FF"/>
          </w:rPr>
          <w:t>Form of Restricted Stock Unit Award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49">
        <w:r>
          <w:rPr>
            <w:rFonts w:ascii="Arial" w:cs="Arial" w:eastAsia="Arial" w:hAnsi="Arial"/>
            <w:sz w:val="15"/>
            <w:szCs w:val="15"/>
            <w:u w:val="single" w:color="auto"/>
            <w:color w:val="0000FF"/>
          </w:rPr>
          <w:t>Company Amended and Restated 2010 Equity and Incentive Plan, as amended and restated (incorporated by reference to Exhibit 10.21</w:t>
        </w:r>
      </w:hyperlink>
      <w:r>
        <w:rPr>
          <w:rFonts w:ascii="Arial" w:cs="Arial" w:eastAsia="Arial" w:hAnsi="Arial"/>
          <w:sz w:val="15"/>
          <w:szCs w:val="15"/>
          <w:u w:val="single" w:color="auto"/>
          <w:color w:val="0000FF"/>
        </w:rPr>
        <w:t xml:space="preserve"> </w:t>
      </w:r>
      <w:hyperlink r:id="rId149">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10.14</w:t>
      </w:r>
      <w:r>
        <w:rPr>
          <w:sz w:val="20"/>
          <w:szCs w:val="20"/>
          <w:color w:val="auto"/>
        </w:rPr>
        <w:tab/>
      </w:r>
      <w:hyperlink r:id="rId150">
        <w:r>
          <w:rPr>
            <w:rFonts w:ascii="Arial" w:cs="Arial" w:eastAsia="Arial" w:hAnsi="Arial"/>
            <w:sz w:val="16"/>
            <w:szCs w:val="16"/>
            <w:u w:val="single" w:color="auto"/>
            <w:color w:val="0000FF"/>
          </w:rPr>
          <w:t>Form of Indemnification Agreement with the members of the Board of Directors (incorporated by reference to Exhibit 10(u) to</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Registrant's Annual Report on Form 10-K for the fiscal year ended October 31, 2006,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10.15</w:t>
      </w:r>
      <w:r>
        <w:rPr>
          <w:sz w:val="20"/>
          <w:szCs w:val="20"/>
          <w:color w:val="auto"/>
        </w:rPr>
        <w:tab/>
      </w:r>
      <w:hyperlink r:id="rId151">
        <w:r>
          <w:rPr>
            <w:rFonts w:ascii="Arial" w:cs="Arial" w:eastAsia="Arial" w:hAnsi="Arial"/>
            <w:sz w:val="16"/>
            <w:szCs w:val="16"/>
            <w:u w:val="single" w:color="auto"/>
            <w:color w:val="0000FF"/>
          </w:rPr>
          <w:t>The Toro Company Change in Control Severance Compensation Policy and attached Form of Release (incorporated by reference to</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Exhibit 10.1 to Registrant's Current Report on Form 8-K dated January 18, 2011,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10.16</w:t>
      </w:r>
      <w:r>
        <w:rPr>
          <w:sz w:val="20"/>
          <w:szCs w:val="20"/>
          <w:color w:val="auto"/>
        </w:rPr>
        <w:tab/>
      </w:r>
      <w:hyperlink r:id="rId152">
        <w:r>
          <w:rPr>
            <w:rFonts w:ascii="Arial" w:cs="Arial" w:eastAsia="Arial" w:hAnsi="Arial"/>
            <w:sz w:val="16"/>
            <w:szCs w:val="16"/>
            <w:u w:val="single" w:color="auto"/>
            <w:color w:val="0000FF"/>
          </w:rPr>
          <w:t>Offer Letter dated July 25, 2011 between The Toro Company and Renee J. Peterson (incorporated by reference to Exhibit 10.1 to</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Registrant's Current Report on Form 8-K dated July 29, 2011,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10.17</w:t>
      </w:r>
      <w:r>
        <w:rPr>
          <w:sz w:val="20"/>
          <w:szCs w:val="20"/>
          <w:color w:val="auto"/>
        </w:rPr>
        <w:tab/>
      </w:r>
      <w:hyperlink r:id="rId153">
        <w:r>
          <w:rPr>
            <w:rFonts w:ascii="Arial" w:cs="Arial" w:eastAsia="Arial" w:hAnsi="Arial"/>
            <w:sz w:val="16"/>
            <w:szCs w:val="16"/>
            <w:u w:val="single" w:color="auto"/>
            <w:color w:val="0000FF"/>
          </w:rPr>
          <w:t>Offer Letter dated August 18, 2015 between The Toro Company and Richard M. Olson (incorporated by reference to Exhibit 10.1 to</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Registrant's Current Report on Form 8-K dated August 19, 2015,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10.18</w:t>
      </w:r>
      <w:r>
        <w:rPr>
          <w:sz w:val="20"/>
          <w:szCs w:val="20"/>
          <w:color w:val="auto"/>
        </w:rPr>
        <w:tab/>
      </w:r>
      <w:hyperlink r:id="rId154">
        <w:r>
          <w:rPr>
            <w:rFonts w:ascii="Arial" w:cs="Arial" w:eastAsia="Arial" w:hAnsi="Arial"/>
            <w:sz w:val="16"/>
            <w:szCs w:val="16"/>
            <w:u w:val="single" w:color="auto"/>
            <w:color w:val="0000FF"/>
          </w:rPr>
          <w:t>Offer Letter dated July 19, 2016 between The Toro Company and Richard M. Olson (incorporated by reference to Exhibit 10.1 to</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Registrant's Current Report on Form 8-K dated July 19, 2016,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line="237"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10.19</w:t>
      </w:r>
      <w:r>
        <w:rPr>
          <w:sz w:val="20"/>
          <w:szCs w:val="20"/>
          <w:color w:val="auto"/>
        </w:rPr>
        <w:tab/>
      </w:r>
      <w:hyperlink r:id="rId155">
        <w:r>
          <w:rPr>
            <w:rFonts w:ascii="Arial" w:cs="Arial" w:eastAsia="Arial" w:hAnsi="Arial"/>
            <w:sz w:val="15"/>
            <w:szCs w:val="15"/>
            <w:u w:val="single" w:color="auto"/>
            <w:color w:val="0000FF"/>
          </w:rPr>
          <w:t>Amended and Restated Credit Agreement dated as of October 5, 2021, by and among The Toro Company and Toro Luxembourg S.à r.l.,</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as Borrowers, the lenders from time to time party thereto, Bank of America, N.A., as Administrative Agent, Swingline Lender and L/C</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Issuer, Wells Fargo Bank, National Association and U.S. Bank National Association, as Co-Syndication Agents, and BMO Harris Bank,</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N.A. and HSBC Bank USA, National Association, as Co-Documentation Agents (incorporated by reference to Exhibit 10.1 to</w:t>
        </w:r>
      </w:hyperlink>
      <w:r>
        <w:rPr>
          <w:rFonts w:ascii="Arial" w:cs="Arial" w:eastAsia="Arial" w:hAnsi="Arial"/>
          <w:sz w:val="15"/>
          <w:szCs w:val="15"/>
          <w:u w:val="single" w:color="auto"/>
          <w:color w:val="0000FF"/>
        </w:rPr>
        <w:t xml:space="preserve"> </w:t>
      </w:r>
      <w:hyperlink r:id="rId155">
        <w:r>
          <w:rPr>
            <w:rFonts w:ascii="Arial" w:cs="Arial" w:eastAsia="Arial" w:hAnsi="Arial"/>
            <w:sz w:val="15"/>
            <w:szCs w:val="15"/>
            <w:u w:val="single" w:color="auto"/>
            <w:color w:val="0000FF"/>
          </w:rPr>
          <w:t>Registrant’s Current Report on Form 8-K dated October 6, 2021, Commission File No. 1-8649).</w:t>
        </w:r>
      </w:hyperlink>
    </w:p>
    <w:p>
      <w:pPr>
        <w:spacing w:after="0" w:line="12" w:lineRule="exact"/>
        <w:rPr>
          <w:rFonts w:ascii="Arial" w:cs="Arial" w:eastAsia="Arial" w:hAnsi="Arial"/>
          <w:sz w:val="15"/>
          <w:szCs w:val="15"/>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10.20 (1)</w:t>
      </w:r>
      <w:r>
        <w:rPr>
          <w:sz w:val="20"/>
          <w:szCs w:val="20"/>
          <w:color w:val="auto"/>
        </w:rPr>
        <w:tab/>
      </w:r>
      <w:hyperlink r:id="rId156">
        <w:r>
          <w:rPr>
            <w:rFonts w:ascii="Arial" w:cs="Arial" w:eastAsia="Arial" w:hAnsi="Arial"/>
            <w:sz w:val="16"/>
            <w:szCs w:val="16"/>
            <w:u w:val="single" w:color="auto"/>
            <w:color w:val="0000FF"/>
          </w:rPr>
          <w:t>Credit and Security Agreement dated August 12, 2009 by and between Red Iron Acceptance, LLC and TCF Inventory Finance, Inc.</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(incorporated by reference to Exhibit 10.1 to Registrant's Current Report on Form 8-K dated August 12, 2009, Commission File No. 1-</w:t>
        </w:r>
      </w:hyperlink>
      <w:hyperlink r:id="rId156">
        <w:r>
          <w:rPr>
            <w:rFonts w:ascii="Arial" w:cs="Arial" w:eastAsia="Arial" w:hAnsi="Arial"/>
            <w:sz w:val="16"/>
            <w:szCs w:val="16"/>
            <w:u w:val="single" w:color="auto"/>
            <w:color w:val="0000FF"/>
          </w:rPr>
          <w:t>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10.21 (2)</w:t>
      </w:r>
      <w:r>
        <w:rPr>
          <w:sz w:val="20"/>
          <w:szCs w:val="20"/>
          <w:color w:val="auto"/>
        </w:rPr>
        <w:tab/>
      </w:r>
      <w:hyperlink r:id="rId157">
        <w:r>
          <w:rPr>
            <w:rFonts w:ascii="Arial" w:cs="Arial" w:eastAsia="Arial" w:hAnsi="Arial"/>
            <w:sz w:val="16"/>
            <w:szCs w:val="16"/>
            <w:u w:val="single" w:color="auto"/>
            <w:color w:val="0000FF"/>
          </w:rPr>
          <w:t>First Amendment to Credit and Security Agreement dated June 6, 2012 by and between Red Iron Acceptance, LLC and TCF Inventory</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Finance, Inc. (incorporated by reference to Exhibit 10.1 to Registrant's Quarterly Report on Form 10-Q for the fiscal quarter ended</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May 4, 2012, Commission File No. 1-8649).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10.22</w:t>
      </w:r>
      <w:r>
        <w:rPr>
          <w:sz w:val="20"/>
          <w:szCs w:val="20"/>
          <w:color w:val="auto"/>
        </w:rPr>
        <w:tab/>
      </w:r>
      <w:hyperlink r:id="rId158">
        <w:r>
          <w:rPr>
            <w:rFonts w:ascii="Arial" w:cs="Arial" w:eastAsia="Arial" w:hAnsi="Arial"/>
            <w:sz w:val="16"/>
            <w:szCs w:val="16"/>
            <w:u w:val="single" w:color="auto"/>
            <w:color w:val="0000FF"/>
          </w:rPr>
          <w:t>Second Amendment to Credit and Security Agreement dated November 29, 2016 by and between Red Iron Acceptance, LLC and TCF</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Inventory Finance, Inc. (incorporated by reference to Exhibit 10.1 to Registrant's Current Report on Form 8-K dated November 29,</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2016, Commission File No. 1-8649).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10.23</w:t>
      </w:r>
      <w:r>
        <w:rPr>
          <w:sz w:val="20"/>
          <w:szCs w:val="20"/>
          <w:color w:val="auto"/>
        </w:rPr>
        <w:tab/>
      </w:r>
      <w:hyperlink r:id="rId159">
        <w:r>
          <w:rPr>
            <w:rFonts w:ascii="Arial" w:cs="Arial" w:eastAsia="Arial" w:hAnsi="Arial"/>
            <w:sz w:val="16"/>
            <w:szCs w:val="16"/>
            <w:u w:val="single" w:color="auto"/>
            <w:color w:val="0000FF"/>
          </w:rPr>
          <w:t>Third Amendment to Credit and Security Agreement effective as of December 20, 2019 by and between Red Iron Acceptance, LLC and</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TCF Inventory Finance, Inc. (incorporated by reference to Exhibit 10.1 to Registrant’s Quarterly Report on Form 10-Q for the fiscal</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quarter ended January 31, 2020, Commission File No. 1-8649).</w:t>
        </w:r>
      </w:hyperlink>
    </w:p>
    <w:p>
      <w:pPr>
        <w:spacing w:after="0" w:line="11" w:lineRule="exact"/>
        <w:rPr>
          <w:rFonts w:ascii="Arial" w:cs="Arial" w:eastAsia="Arial" w:hAnsi="Arial"/>
          <w:sz w:val="16"/>
          <w:szCs w:val="16"/>
          <w:u w:val="single" w:color="auto"/>
          <w:color w:val="0000FF"/>
        </w:rPr>
      </w:pPr>
    </w:p>
    <w:p>
      <w:pPr>
        <w:jc w:val="both"/>
        <w:ind w:left="2340" w:hanging="890"/>
        <w:spacing w:after="0"/>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10.24</w:t>
      </w:r>
      <w:r>
        <w:rPr>
          <w:sz w:val="20"/>
          <w:szCs w:val="20"/>
          <w:color w:val="auto"/>
        </w:rPr>
        <w:tab/>
      </w:r>
      <w:hyperlink w:anchor="page106">
        <w:r>
          <w:rPr>
            <w:rFonts w:ascii="Arial" w:cs="Arial" w:eastAsia="Arial" w:hAnsi="Arial"/>
            <w:sz w:val="16"/>
            <w:szCs w:val="16"/>
            <w:u w:val="single" w:color="auto"/>
            <w:color w:val="0000FF"/>
          </w:rPr>
          <w:t>Fourth Amendment to Credit and Security Agreement effective as of November 1, 2021 by and between Red Iron Acceptance, LLC and</w:t>
        </w:r>
      </w:hyperlink>
      <w:r>
        <w:rPr>
          <w:rFonts w:ascii="Arial" w:cs="Arial" w:eastAsia="Arial" w:hAnsi="Arial"/>
          <w:sz w:val="16"/>
          <w:szCs w:val="16"/>
          <w:u w:val="single" w:color="auto"/>
          <w:color w:val="0000FF"/>
        </w:rPr>
        <w:t xml:space="preserve"> </w:t>
      </w:r>
      <w:hyperlink w:anchor="page106">
        <w:r>
          <w:rPr>
            <w:rFonts w:ascii="Arial" w:cs="Arial" w:eastAsia="Arial" w:hAnsi="Arial"/>
            <w:sz w:val="16"/>
            <w:szCs w:val="16"/>
            <w:u w:val="single" w:color="auto"/>
            <w:color w:val="0000FF"/>
          </w:rPr>
          <w:t>TCF Inventory Finance, Inc. (filed herewith).</w:t>
        </w:r>
      </w:hyperlink>
    </w:p>
    <w:p>
      <w:pPr>
        <w:spacing w:after="0" w:line="10" w:lineRule="exact"/>
        <w:rPr>
          <w:sz w:val="20"/>
          <w:szCs w:val="20"/>
          <w:color w:val="auto"/>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10.25</w:t>
      </w:r>
      <w:r>
        <w:rPr>
          <w:sz w:val="20"/>
          <w:szCs w:val="20"/>
          <w:color w:val="auto"/>
        </w:rPr>
        <w:tab/>
      </w:r>
      <w:hyperlink r:id="rId160">
        <w:r>
          <w:rPr>
            <w:rFonts w:ascii="Arial" w:cs="Arial" w:eastAsia="Arial" w:hAnsi="Arial"/>
            <w:sz w:val="16"/>
            <w:szCs w:val="16"/>
            <w:u w:val="single" w:color="auto"/>
            <w:color w:val="0000FF"/>
          </w:rPr>
          <w:t>Note Purchase Agreement, dated as of April 30, 2019, by and among The Toro Company and the purchasers listed on the Purchaser</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Schedule thereto (incorporated by reference to Exhibit 10.1 to the Registrant’s Current Report on Form 8-K dated April 30, 2019,</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Commission File No. 1-8649).</w:t>
        </w:r>
      </w:hyperlink>
    </w:p>
    <w:p>
      <w:pPr>
        <w:spacing w:after="0" w:line="15" w:lineRule="exact"/>
        <w:rPr>
          <w:rFonts w:ascii="Arial" w:cs="Arial" w:eastAsia="Arial" w:hAnsi="Arial"/>
          <w:sz w:val="16"/>
          <w:szCs w:val="16"/>
          <w:u w:val="single" w:color="auto"/>
          <w:color w:val="0000FF"/>
        </w:rPr>
      </w:pPr>
    </w:p>
    <w:p>
      <w:pPr>
        <w:ind w:left="2340" w:hanging="897"/>
        <w:spacing w:after="0"/>
        <w:tabs>
          <w:tab w:leader="none" w:pos="2340" w:val="left"/>
        </w:tabs>
        <w:numPr>
          <w:ilvl w:val="0"/>
          <w:numId w:val="61"/>
        </w:numPr>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Subsidiaries of Registrant (filed herewith).</w:t>
        </w:r>
      </w:hyperlink>
    </w:p>
    <w:p>
      <w:pPr>
        <w:spacing w:after="0" w:line="20" w:lineRule="exact"/>
        <w:rPr>
          <w:rFonts w:ascii="Arial" w:cs="Arial" w:eastAsia="Arial" w:hAnsi="Arial"/>
          <w:sz w:val="16"/>
          <w:szCs w:val="16"/>
          <w:u w:val="single" w:color="auto"/>
          <w:color w:val="0000FF"/>
        </w:rPr>
      </w:pPr>
    </w:p>
    <w:tbl>
      <w:tblPr>
        <w:tblLayout w:type="fixed"/>
        <w:tblInd w:w="1440" w:type="dxa"/>
        <w:tblCellMar>
          <w:top w:w="0" w:type="dxa"/>
          <w:left w:w="0" w:type="dxa"/>
          <w:bottom w:w="0" w:type="dxa"/>
          <w:right w:w="0" w:type="dxa"/>
        </w:tblCellMar>
      </w:tblPr>
      <w:tr>
        <w:trPr>
          <w:trHeight w:val="184"/>
        </w:trPr>
        <w:tc>
          <w:tcPr>
            <w:tcW w:w="900" w:type="dxa"/>
            <w:vAlign w:val="bottom"/>
          </w:tcPr>
          <w:p>
            <w:pPr>
              <w:jc w:val="right"/>
              <w:ind w:right="539"/>
              <w:spacing w:after="0"/>
              <w:rPr>
                <w:sz w:val="20"/>
                <w:szCs w:val="20"/>
                <w:color w:val="auto"/>
              </w:rPr>
            </w:pPr>
            <w:r>
              <w:rPr>
                <w:rFonts w:ascii="Arial" w:cs="Arial" w:eastAsia="Arial" w:hAnsi="Arial"/>
                <w:sz w:val="16"/>
                <w:szCs w:val="16"/>
                <w:b w:val="1"/>
                <w:bCs w:val="1"/>
                <w:color w:val="auto"/>
                <w:w w:val="83"/>
              </w:rPr>
              <w:t>23.1</w:t>
            </w:r>
          </w:p>
        </w:tc>
        <w:tc>
          <w:tcPr>
            <w:tcW w:w="4980" w:type="dxa"/>
            <w:vAlign w:val="bottom"/>
            <w:tcBorders>
              <w:bottom w:val="single" w:sz="8" w:color="0000FF"/>
            </w:tcBorders>
          </w:tcPr>
          <w:p>
            <w:pPr>
              <w:spacing w:after="0"/>
              <w:rPr>
                <w:rFonts w:ascii="Arial" w:cs="Arial" w:eastAsia="Arial" w:hAnsi="Arial"/>
                <w:sz w:val="16"/>
                <w:szCs w:val="16"/>
                <w:color w:val="0000FF"/>
                <w:w w:val="92"/>
              </w:rPr>
            </w:pPr>
            <w:hyperlink w:anchor="page111">
              <w:r>
                <w:rPr>
                  <w:rFonts w:ascii="Arial" w:cs="Arial" w:eastAsia="Arial" w:hAnsi="Arial"/>
                  <w:sz w:val="16"/>
                  <w:szCs w:val="16"/>
                  <w:color w:val="0000FF"/>
                  <w:w w:val="92"/>
                </w:rPr>
                <w:t>Consent of Independent Registered Public Accounting Firm (filed herewith).</w:t>
              </w:r>
            </w:hyperlink>
          </w:p>
        </w:tc>
        <w:tc>
          <w:tcPr>
            <w:tcW w:w="3700" w:type="dxa"/>
            <w:vAlign w:val="bottom"/>
            <w:gridSpan w:val="2"/>
          </w:tcPr>
          <w:p>
            <w:pPr>
              <w:spacing w:after="0"/>
              <w:rPr>
                <w:sz w:val="16"/>
                <w:szCs w:val="16"/>
                <w:color w:val="auto"/>
              </w:rPr>
            </w:pPr>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b w:val="1"/>
                <w:bCs w:val="1"/>
                <w:color w:val="auto"/>
                <w:w w:val="83"/>
              </w:rPr>
              <w:t>31.1</w:t>
            </w:r>
          </w:p>
        </w:tc>
        <w:tc>
          <w:tcPr>
            <w:tcW w:w="868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112">
              <w:r>
                <w:rPr>
                  <w:rFonts w:ascii="Arial" w:cs="Arial" w:eastAsia="Arial" w:hAnsi="Arial"/>
                  <w:sz w:val="16"/>
                  <w:szCs w:val="16"/>
                  <w:color w:val="0000FF"/>
                  <w:w w:val="93"/>
                </w:rPr>
                <w:t>Certification of Chief Executive Officer Pursuant to Rule 13a-14(a) (Section 302 of the Sarbanes-Oxley Act of 2002) (filed herewith).</w:t>
              </w:r>
            </w:hyperlink>
          </w:p>
        </w:tc>
      </w:tr>
      <w:tr>
        <w:trPr>
          <w:trHeight w:val="196"/>
        </w:trPr>
        <w:tc>
          <w:tcPr>
            <w:tcW w:w="900" w:type="dxa"/>
            <w:vAlign w:val="bottom"/>
          </w:tcPr>
          <w:p>
            <w:pPr>
              <w:jc w:val="right"/>
              <w:ind w:right="539"/>
              <w:spacing w:after="0"/>
              <w:rPr>
                <w:sz w:val="20"/>
                <w:szCs w:val="20"/>
                <w:color w:val="auto"/>
              </w:rPr>
            </w:pPr>
            <w:r>
              <w:rPr>
                <w:rFonts w:ascii="Arial" w:cs="Arial" w:eastAsia="Arial" w:hAnsi="Arial"/>
                <w:sz w:val="16"/>
                <w:szCs w:val="16"/>
                <w:b w:val="1"/>
                <w:bCs w:val="1"/>
                <w:color w:val="auto"/>
                <w:w w:val="83"/>
              </w:rPr>
              <w:t>31.2</w:t>
            </w:r>
          </w:p>
        </w:tc>
        <w:tc>
          <w:tcPr>
            <w:tcW w:w="8680" w:type="dxa"/>
            <w:vAlign w:val="bottom"/>
            <w:gridSpan w:val="3"/>
          </w:tcPr>
          <w:p>
            <w:pPr>
              <w:spacing w:after="0"/>
              <w:rPr>
                <w:rFonts w:ascii="Arial" w:cs="Arial" w:eastAsia="Arial" w:hAnsi="Arial"/>
                <w:sz w:val="16"/>
                <w:szCs w:val="16"/>
                <w:color w:val="0000FF"/>
                <w:w w:val="93"/>
              </w:rPr>
            </w:pPr>
            <w:hyperlink w:anchor="page113">
              <w:r>
                <w:rPr>
                  <w:rFonts w:ascii="Arial" w:cs="Arial" w:eastAsia="Arial" w:hAnsi="Arial"/>
                  <w:sz w:val="16"/>
                  <w:szCs w:val="16"/>
                  <w:color w:val="0000FF"/>
                  <w:w w:val="93"/>
                </w:rPr>
                <w:t>Certification of Chief Financial Officer Pursuant to Rule 13a-14(a) (Section 302 of the Sarbanes-Oxley Act of 2002) (filed herewith).</w:t>
              </w:r>
            </w:hyperlink>
          </w:p>
        </w:tc>
      </w:tr>
      <w:tr>
        <w:trPr>
          <w:trHeight w:val="20"/>
        </w:trPr>
        <w:tc>
          <w:tcPr>
            <w:tcW w:w="90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 w:lineRule="exact"/>
        <w:rPr>
          <w:sz w:val="20"/>
          <w:szCs w:val="20"/>
          <w:color w:val="auto"/>
        </w:rPr>
      </w:pPr>
    </w:p>
    <w:p>
      <w:pPr>
        <w:ind w:left="2340" w:hanging="897"/>
        <w:spacing w:after="0"/>
        <w:tabs>
          <w:tab w:leader="none" w:pos="2340" w:val="left"/>
        </w:tabs>
        <w:numPr>
          <w:ilvl w:val="0"/>
          <w:numId w:val="62"/>
        </w:numPr>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Certification of Chief Executive Officer and Chief Financial Officer Pursuant to 18 U.S.C. Section 1350, as Adopted Pursuant to</w:t>
        </w:r>
      </w:hyperlink>
      <w:r>
        <w:rPr>
          <w:rFonts w:ascii="Arial" w:cs="Arial" w:eastAsia="Arial" w:hAnsi="Arial"/>
          <w:sz w:val="16"/>
          <w:szCs w:val="16"/>
          <w:u w:val="single" w:color="auto"/>
          <w:color w:val="0000FF"/>
        </w:rPr>
        <w:t xml:space="preserve"> </w:t>
      </w:r>
      <w:hyperlink w:anchor="page114">
        <w:r>
          <w:rPr>
            <w:rFonts w:ascii="Arial" w:cs="Arial" w:eastAsia="Arial" w:hAnsi="Arial"/>
            <w:sz w:val="16"/>
            <w:szCs w:val="16"/>
            <w:u w:val="single" w:color="auto"/>
            <w:color w:val="0000FF"/>
          </w:rPr>
          <w:t>Section 906 of the Sarbanes-Oxley Act of 2002 (furnished herewith).</w:t>
        </w:r>
      </w:hyperlink>
    </w:p>
    <w:p>
      <w:pPr>
        <w:spacing w:after="0" w:line="200" w:lineRule="exact"/>
        <w:rPr>
          <w:rFonts w:ascii="Arial" w:cs="Arial" w:eastAsia="Arial" w:hAnsi="Arial"/>
          <w:sz w:val="16"/>
          <w:szCs w:val="16"/>
          <w:b w:val="1"/>
          <w:bCs w:val="1"/>
          <w:color w:val="auto"/>
        </w:rPr>
      </w:pPr>
    </w:p>
    <w:p>
      <w:pPr>
        <w:spacing w:after="0" w:line="332"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340" w:hanging="897"/>
        <w:spacing w:after="0" w:line="234" w:lineRule="auto"/>
        <w:tabs>
          <w:tab w:leader="none" w:pos="2340" w:val="left"/>
        </w:tabs>
        <w:numPr>
          <w:ilvl w:val="0"/>
          <w:numId w:val="63"/>
        </w:numPr>
        <w:rPr>
          <w:rFonts w:ascii="Arial" w:cs="Arial" w:eastAsia="Arial" w:hAnsi="Arial"/>
          <w:sz w:val="15"/>
          <w:szCs w:val="15"/>
          <w:b w:val="1"/>
          <w:bCs w:val="1"/>
          <w:color w:val="auto"/>
        </w:rPr>
      </w:pPr>
      <w:r>
        <w:rPr>
          <w:rFonts w:ascii="Arial" w:cs="Arial" w:eastAsia="Arial" w:hAnsi="Arial"/>
          <w:sz w:val="15"/>
          <w:szCs w:val="15"/>
          <w:color w:val="auto"/>
        </w:rPr>
        <w:t>The following financial information from The Toro Company's Annual Report on Form 10-K for the fiscal year ended October 31, 2021, filed with the SEC on December 17, 2021, formatted in Inline eXtensible Business Reporting Language (Inline XBRL): (i) Consolidated Statements of Earnings for each of the fiscal years in the three-year period ended October 31, 2021, (ii) Consolidated Statements of Comprehensive Income for each of the fiscal years in the three-year period ended October 31, 2021, (iii) Consolidated Balance Sheets as of October 31, 2021 and 2020, (iv) Consolidated Statements of Cash Flows for each of the fiscal years in the three-year period ended October 31, 2021, (v) Consolidated Statements of Stockholders' Equity each of the fiscal years in the three-year period ended October 31, 2021, and (vi) Notes to Consolidated Financial Statements (filed herewith).</w:t>
      </w:r>
    </w:p>
    <w:p>
      <w:pPr>
        <w:spacing w:after="0" w:line="11" w:lineRule="exact"/>
        <w:rPr>
          <w:sz w:val="20"/>
          <w:szCs w:val="20"/>
          <w:color w:val="auto"/>
        </w:rPr>
      </w:pPr>
    </w:p>
    <w:p>
      <w:pPr>
        <w:ind w:left="2340" w:hanging="897"/>
        <w:spacing w:after="0"/>
        <w:tabs>
          <w:tab w:leader="none" w:pos="2340"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4" w:lineRule="exact"/>
        <w:rPr>
          <w:rFonts w:ascii="Arial" w:cs="Arial" w:eastAsia="Arial" w:hAnsi="Arial"/>
          <w:sz w:val="16"/>
          <w:szCs w:val="16"/>
          <w:b w:val="1"/>
          <w:bCs w:val="1"/>
          <w:color w:val="auto"/>
        </w:rPr>
      </w:pPr>
    </w:p>
    <w:p>
      <w:pPr>
        <w:ind w:left="1300" w:right="140" w:hanging="320"/>
        <w:spacing w:after="0" w:line="274" w:lineRule="auto"/>
        <w:tabs>
          <w:tab w:leader="none" w:pos="1286" w:val="left"/>
        </w:tabs>
        <w:numPr>
          <w:ilvl w:val="0"/>
          <w:numId w:val="65"/>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an order granting confidential treatment under the Securities Exchange Act of 1934, as amended (File No. 1-8649, CF # 35552). The redacted material was filed separately with the Securities and Exchange Commission.</w:t>
      </w:r>
    </w:p>
    <w:p>
      <w:pPr>
        <w:spacing w:after="0" w:line="65" w:lineRule="exact"/>
        <w:rPr>
          <w:rFonts w:ascii="Arial" w:cs="Arial" w:eastAsia="Arial" w:hAnsi="Arial"/>
          <w:sz w:val="15"/>
          <w:szCs w:val="15"/>
          <w:color w:val="auto"/>
        </w:rPr>
      </w:pPr>
    </w:p>
    <w:p>
      <w:pPr>
        <w:ind w:left="1300" w:right="140" w:hanging="320"/>
        <w:spacing w:after="0" w:line="274" w:lineRule="auto"/>
        <w:tabs>
          <w:tab w:leader="none" w:pos="1286" w:val="left"/>
        </w:tabs>
        <w:numPr>
          <w:ilvl w:val="0"/>
          <w:numId w:val="65"/>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an order granting confidential treatment under the Securities Exchange Act of 1934, as amended (File No. 1-8649, CF # 35553). The redacted material was filed separately with the Securities and Exchange Commission.</w:t>
      </w:r>
    </w:p>
    <w:p>
      <w:pPr>
        <w:spacing w:after="0" w:line="65" w:lineRule="exact"/>
        <w:rPr>
          <w:rFonts w:ascii="Arial" w:cs="Arial" w:eastAsia="Arial" w:hAnsi="Arial"/>
          <w:sz w:val="15"/>
          <w:szCs w:val="15"/>
          <w:color w:val="auto"/>
        </w:rPr>
      </w:pPr>
    </w:p>
    <w:p>
      <w:pPr>
        <w:ind w:left="1300" w:right="140" w:hanging="320"/>
        <w:spacing w:after="0" w:line="274" w:lineRule="auto"/>
        <w:tabs>
          <w:tab w:leader="none" w:pos="1286" w:val="left"/>
        </w:tabs>
        <w:numPr>
          <w:ilvl w:val="0"/>
          <w:numId w:val="65"/>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an order granting confidential treatment under the Securities Exchange Act of 1934, as amended (File No. 1-8649, CF # 34521). The redacted material was filed separately with the Securities and Exchange Commission.</w:t>
      </w:r>
    </w:p>
    <w:p>
      <w:pPr>
        <w:spacing w:after="0" w:line="65" w:lineRule="exact"/>
        <w:rPr>
          <w:rFonts w:ascii="Arial" w:cs="Arial" w:eastAsia="Arial" w:hAnsi="Arial"/>
          <w:sz w:val="15"/>
          <w:szCs w:val="15"/>
          <w:color w:val="auto"/>
        </w:rPr>
      </w:pPr>
    </w:p>
    <w:p>
      <w:pPr>
        <w:ind w:left="1200" w:hanging="220"/>
        <w:spacing w:after="0"/>
        <w:tabs>
          <w:tab w:leader="none" w:pos="12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Confidential portions of this exhibit have been redacted in compliance with Item 601(b)(10) of Regulation S-K.</w:t>
      </w:r>
    </w:p>
    <w:p>
      <w:pPr>
        <w:spacing w:after="0" w:line="111" w:lineRule="exact"/>
        <w:rPr>
          <w:sz w:val="20"/>
          <w:szCs w:val="20"/>
          <w:color w:val="auto"/>
        </w:rPr>
      </w:pPr>
    </w:p>
    <w:p>
      <w:pPr>
        <w:ind w:left="1320" w:hanging="340"/>
        <w:spacing w:after="0"/>
        <w:tabs>
          <w:tab w:leader="none" w:pos="1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111" w:lineRule="exact"/>
        <w:rPr>
          <w:sz w:val="20"/>
          <w:szCs w:val="20"/>
          <w:color w:val="auto"/>
        </w:rPr>
      </w:pPr>
    </w:p>
    <w:p>
      <w:pPr>
        <w:ind w:left="1300" w:right="140" w:hanging="320"/>
        <w:spacing w:after="0" w:line="274" w:lineRule="auto"/>
        <w:tabs>
          <w:tab w:leader="none" w:pos="1283" w:val="left"/>
        </w:tabs>
        <w:numPr>
          <w:ilvl w:val="0"/>
          <w:numId w:val="67"/>
        </w:numPr>
        <w:rPr>
          <w:rFonts w:ascii="Arial" w:cs="Arial" w:eastAsia="Arial" w:hAnsi="Arial"/>
          <w:sz w:val="15"/>
          <w:szCs w:val="15"/>
          <w:color w:val="auto"/>
        </w:rPr>
      </w:pPr>
      <w:r>
        <w:rPr>
          <w:rFonts w:ascii="Arial" w:cs="Arial" w:eastAsia="Arial" w:hAnsi="Arial"/>
          <w:sz w:val="15"/>
          <w:szCs w:val="15"/>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17" w:lineRule="exact"/>
        <w:rPr>
          <w:sz w:val="20"/>
          <w:szCs w:val="20"/>
          <w:color w:val="auto"/>
        </w:rPr>
      </w:pPr>
    </w:p>
    <w:p>
      <w:pPr>
        <w:ind w:right="8760" w:firstLine="8"/>
        <w:spacing w:after="0" w:line="420" w:lineRule="auto"/>
        <w:tabs>
          <w:tab w:leader="none" w:pos="245"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Statement Schedules See Item 15(a)(2) above.</w:t>
      </w: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6231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20"/>
        <w:spacing w:after="0"/>
        <w:tabs>
          <w:tab w:leader="none" w:pos="64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Renee J. Peterson</w:t>
      </w:r>
      <w:r>
        <w:rPr>
          <w:sz w:val="20"/>
          <w:szCs w:val="20"/>
          <w:color w:val="auto"/>
        </w:rPr>
        <w:tab/>
      </w:r>
      <w:r>
        <w:rPr>
          <w:rFonts w:ascii="Arial" w:cs="Arial" w:eastAsia="Arial" w:hAnsi="Arial"/>
          <w:sz w:val="16"/>
          <w:szCs w:val="16"/>
          <w:color w:val="auto"/>
        </w:rPr>
        <w:t>Dated: 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623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Renee J. Peterson</w:t>
      </w:r>
    </w:p>
    <w:p>
      <w:pPr>
        <w:ind w:left="660"/>
        <w:spacing w:after="0"/>
        <w:rPr>
          <w:sz w:val="20"/>
          <w:szCs w:val="20"/>
          <w:color w:val="auto"/>
        </w:rPr>
      </w:pPr>
      <w:r>
        <w:rPr>
          <w:rFonts w:ascii="Arial" w:cs="Arial" w:eastAsia="Arial" w:hAnsi="Arial"/>
          <w:sz w:val="18"/>
          <w:szCs w:val="18"/>
          <w:color w:val="auto"/>
        </w:rPr>
        <w:t>Vice President, Chief Financial Officer</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062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87" w:lineRule="exact"/>
        <w:rPr>
          <w:sz w:val="20"/>
          <w:szCs w:val="20"/>
          <w:color w:val="auto"/>
        </w:rPr>
      </w:pPr>
    </w:p>
    <w:p>
      <w:pPr>
        <w:ind w:left="20"/>
        <w:spacing w:after="0"/>
        <w:tabs>
          <w:tab w:leader="none" w:pos="3040" w:val="left"/>
          <w:tab w:leader="none" w:pos="89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599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3"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Richard M. Olson</w:t>
      </w:r>
    </w:p>
    <w:p>
      <w:pPr>
        <w:spacing w:after="0" w:line="198"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8599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64" w:lineRule="exact"/>
        <w:rPr>
          <w:sz w:val="20"/>
          <w:szCs w:val="20"/>
          <w:color w:val="auto"/>
        </w:rPr>
      </w:pPr>
    </w:p>
    <w:p>
      <w:pPr>
        <w:jc w:val="right"/>
        <w:ind w:right="840"/>
        <w:spacing w:after="0"/>
        <w:rPr>
          <w:sz w:val="20"/>
          <w:szCs w:val="20"/>
          <w:color w:val="auto"/>
        </w:rPr>
      </w:pPr>
      <w:r>
        <w:rPr>
          <w:rFonts w:ascii="Arial" w:cs="Arial" w:eastAsia="Arial" w:hAnsi="Arial"/>
          <w:sz w:val="17"/>
          <w:szCs w:val="17"/>
          <w:color w:val="auto"/>
        </w:rPr>
        <w:t>Renee J. Peterson</w:t>
      </w:r>
    </w:p>
    <w:p>
      <w:pPr>
        <w:spacing w:after="0" w:line="183" w:lineRule="exact"/>
        <w:rPr>
          <w:sz w:val="20"/>
          <w:szCs w:val="20"/>
          <w:color w:val="auto"/>
        </w:rPr>
      </w:pPr>
    </w:p>
    <w:p>
      <w:pPr>
        <w:jc w:val="right"/>
        <w:ind w:right="940"/>
        <w:spacing w:after="0"/>
        <w:rPr>
          <w:sz w:val="20"/>
          <w:szCs w:val="20"/>
          <w:color w:val="auto"/>
        </w:rPr>
      </w:pPr>
      <w:r>
        <w:rPr>
          <w:rFonts w:ascii="Arial" w:cs="Arial" w:eastAsia="Arial" w:hAnsi="Arial"/>
          <w:sz w:val="16"/>
          <w:szCs w:val="16"/>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599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Janet K. Cooper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Chairman of the Board, President and Chief Executive Officer and Director</w:t>
      </w:r>
      <w:r>
        <w:rPr>
          <w:sz w:val="20"/>
          <w:szCs w:val="20"/>
          <w:color w:val="auto"/>
        </w:rPr>
        <w:tab/>
      </w:r>
      <w:r>
        <w:rPr>
          <w:rFonts w:ascii="Arial" w:cs="Arial" w:eastAsia="Arial" w:hAnsi="Arial"/>
          <w:sz w:val="16"/>
          <w:szCs w:val="16"/>
          <w:color w:val="auto"/>
        </w:rPr>
        <w:t>December 17, 2021</w:t>
      </w:r>
    </w:p>
    <w:p>
      <w:pPr>
        <w:spacing w:after="0"/>
        <w:rPr>
          <w:sz w:val="20"/>
          <w:szCs w:val="20"/>
          <w:color w:val="auto"/>
        </w:rPr>
      </w:pPr>
      <w:r>
        <w:rPr>
          <w:rFonts w:ascii="Arial" w:cs="Arial" w:eastAsia="Arial" w:hAnsi="Arial"/>
          <w:sz w:val="18"/>
          <w:szCs w:val="18"/>
          <w:color w:val="auto"/>
        </w:rPr>
        <w:t>(principal executive officer)</w:t>
      </w:r>
    </w:p>
    <w:p>
      <w:pPr>
        <w:spacing w:after="0" w:line="24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Vice President, Chief Financial Officer</w:t>
      </w:r>
      <w:r>
        <w:rPr>
          <w:sz w:val="20"/>
          <w:szCs w:val="20"/>
          <w:color w:val="auto"/>
        </w:rPr>
        <w:tab/>
      </w:r>
      <w:r>
        <w:rPr>
          <w:rFonts w:ascii="Arial" w:cs="Arial" w:eastAsia="Arial" w:hAnsi="Arial"/>
          <w:sz w:val="16"/>
          <w:szCs w:val="16"/>
          <w:color w:val="auto"/>
        </w:rPr>
        <w:t>December 17, 2021</w:t>
      </w:r>
    </w:p>
    <w:p>
      <w:pPr>
        <w:spacing w:after="0"/>
        <w:rPr>
          <w:sz w:val="20"/>
          <w:szCs w:val="20"/>
          <w:color w:val="auto"/>
        </w:rPr>
      </w:pPr>
      <w:r>
        <w:rPr>
          <w:rFonts w:ascii="Arial" w:cs="Arial" w:eastAsia="Arial" w:hAnsi="Arial"/>
          <w:sz w:val="18"/>
          <w:szCs w:val="18"/>
          <w:color w:val="auto"/>
        </w:rPr>
        <w:t>(principal financial and accounting officer)</w:t>
      </w:r>
    </w:p>
    <w:p>
      <w:pPr>
        <w:spacing w:after="0" w:line="263" w:lineRule="exact"/>
        <w:rPr>
          <w:sz w:val="20"/>
          <w:szCs w:val="20"/>
          <w:color w:val="auto"/>
        </w:rPr>
      </w:pPr>
    </w:p>
    <w:p>
      <w:pPr>
        <w:spacing w:after="0"/>
        <w:tabs>
          <w:tab w:leader="none" w:pos="5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17, 2021</w:t>
      </w:r>
    </w:p>
    <w:p>
      <w:pPr>
        <w:spacing w:after="0" w:line="436" w:lineRule="exact"/>
        <w:rPr>
          <w:sz w:val="20"/>
          <w:szCs w:val="20"/>
          <w:color w:val="auto"/>
        </w:rPr>
      </w:pPr>
    </w:p>
    <w:p>
      <w:pPr>
        <w:sectPr>
          <w:pgSz w:w="11900" w:h="16838" w:orient="portrait"/>
          <w:cols w:equalWidth="0" w:num="2">
            <w:col w:w="2340" w:space="720"/>
            <w:col w:w="8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L. Ellis</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Gary L. Ellis</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M. Ettinger</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Jeffrey M. Ettinger</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Katherine J. Harless</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Katherine J. Harless</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L. Harmening</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Jeffrey L. Harmening</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Christian Koch</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D. Christian Koch</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Joyce A. Mullen</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Joyce A. Mullen</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C. O'Rourke</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James C. O'Rourke</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37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G. Vale</w:t>
            </w:r>
          </w:p>
        </w:tc>
        <w:tc>
          <w:tcPr>
            <w:tcW w:w="16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800" w:type="dxa"/>
            <w:vAlign w:val="bottom"/>
          </w:tcPr>
          <w:p>
            <w:pPr>
              <w:ind w:left="4380"/>
              <w:spacing w:after="0"/>
              <w:rPr>
                <w:sz w:val="20"/>
                <w:szCs w:val="20"/>
                <w:color w:val="auto"/>
              </w:rPr>
            </w:pPr>
            <w:r>
              <w:rPr>
                <w:rFonts w:ascii="Arial" w:cs="Arial" w:eastAsia="Arial" w:hAnsi="Arial"/>
                <w:sz w:val="18"/>
                <w:szCs w:val="18"/>
                <w:color w:val="auto"/>
                <w:w w:val="88"/>
              </w:rPr>
              <w:t>December 17, 2021</w:t>
            </w: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Michael G. Vale</w:t>
            </w:r>
          </w:p>
        </w:tc>
        <w:tc>
          <w:tcPr>
            <w:tcW w:w="1640" w:type="dxa"/>
            <w:vAlign w:val="bottom"/>
          </w:tcPr>
          <w:p>
            <w:pPr>
              <w:spacing w:after="0"/>
              <w:rPr>
                <w:sz w:val="19"/>
                <w:szCs w:val="19"/>
                <w:color w:val="auto"/>
              </w:rPr>
            </w:pPr>
          </w:p>
        </w:tc>
        <w:tc>
          <w:tcPr>
            <w:tcW w:w="5800" w:type="dxa"/>
            <w:vAlign w:val="bottom"/>
          </w:tcPr>
          <w:p>
            <w:pPr>
              <w:spacing w:after="0"/>
              <w:rPr>
                <w:sz w:val="19"/>
                <w:szCs w:val="19"/>
                <w:color w:val="auto"/>
              </w:rPr>
            </w:pPr>
          </w:p>
        </w:tc>
      </w:tr>
      <w:tr>
        <w:trPr>
          <w:trHeight w:val="769"/>
        </w:trPr>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0" w:type="dxa"/>
            <w:vAlign w:val="bottom"/>
          </w:tcPr>
          <w:p>
            <w:pPr>
              <w:ind w:left="900"/>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240"/>
          </w:cols>
          <w:pgMar w:left="320" w:top="125" w:right="339" w:bottom="1440" w:gutter="0" w:footer="0" w:header="0"/>
          <w:type w:val="continuous"/>
        </w:sectPr>
      </w:pPr>
    </w:p>
    <w:bookmarkStart w:id="103" w:name="page104"/>
    <w:bookmarkEnd w:id="103"/>
    <w:p>
      <w:pPr>
        <w:ind w:left="10400"/>
        <w:spacing w:after="0"/>
        <w:rPr>
          <w:sz w:val="20"/>
          <w:szCs w:val="20"/>
          <w:color w:val="auto"/>
        </w:rPr>
      </w:pPr>
      <w:r>
        <w:rPr>
          <w:rFonts w:ascii="Arial" w:cs="Arial" w:eastAsia="Arial" w:hAnsi="Arial"/>
          <w:sz w:val="16"/>
          <w:szCs w:val="16"/>
          <w:b w:val="1"/>
          <w:bCs w:val="1"/>
          <w:color w:val="auto"/>
        </w:rPr>
        <w:t>Exhibit 4.5</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31, 2021, The Toro Company, a Delaware corporation (“TTC,” “we,” “us” and “our”), has one class of securities registered under Section 12 of the Securities Exchange Act of 1934, as amended: common stock, par value $1.00 per share (“common stock”).</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Restated Certificate of Incorporation, as amended (the “Certificate of Incorporation”) and our Amended and Restated Bylaws (the “Bylaws”), each of which is filed as an exhibit to our Annual Report on Form 10-K for the fiscal year ended October 31, 2021 and incorporated by reference herein. We encourage you to read our Certificate of Incorporation, our Bylaws and the applicable provisions of the General Corporation Law of the State of Delaware (the “DGCL”)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authorizes the issuance of up to 176,850,000 shares of capital stock, consisting of:</w:t>
      </w:r>
    </w:p>
    <w:p>
      <w:pPr>
        <w:spacing w:after="0" w:line="11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175,000,000 shares of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1,000,000 shares of voting preferred stock, par value $1.00 per share (“voting preferred stock”);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850,000 shares of non-voting preferred stock, par value $1.00 per share (“non-voting preferred stock”).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Certificate of Incorporation, the rights, preferences and privileges of the voting preferred stock and non-voting preferred stock (collectively, the “preferred stock”) may be designated from time to time by the Board of Directors of TTC (the “Board”).</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may amend from time to time our Certificate of Incorporation to increase the number of authorized shares of common stock, voting preferred stock or non-voting preferred stock. Any such amendment would require the approval of the holders of a majority of the voting power of the shares entitled to vote thereon. As of October 31, 2021, we had no shares of voting preferred stock or non-voting preferred stock outstanding.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matters submitted to a vote of shareholders, each holder of common stock is entitled to one vote for each share registered in the holder’s name on our books. Our common stock does not have cumulative voting rights.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Bylaws provide that, unless a different or minimum vote is required by our Certificate of Incorporation, our Bylaws, the rules or regulations of any stock exchange applicable to us or any law or regulation applicable to us or our securities, all matters, other than the election of directors, as noted below, shall be decided by the affirmative vote of the holders of a majority in voting power of the shares of stock of TTC that are present in person or represented by proxy at the meeting and entitled to vote thereon. Our Certificate of Incorporation provides that the Board is divided into three classes, and, pursuant to our Bylaws, at all meetings of shareholders for the election of directors at which a quorum is present, a plurality of votes cast is sufficient to elect directors.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Board declares a dividend, holders of common stock will receive payments from our funds that are legally available to pay dividends. However, this dividend right is subject to any preferential dividend rights we may grant to the persons who hold preferred stock, if any is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our company is liquidated or dissolves, the holders of our common stock will be entitled to share ratably in the assets of our company remaining after the payment of all of our liabilities, subject to any preferential liquidation rights of any preferred stock that at the time may be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do not have preemptive rights or subscription rights, and they have no right to convert their common stock into any other securities. There are no redemption or sinking fund provisions applicable to our common stock. The rights, preferences, and privileges of our common shareholders are subject to the rights of the shareholders of any series of preferred stock that we may designate in the future. Our Certificate of Incorporation and Bylaws do not restrict the ability of a holder of our common stock to transfer his or her shares of common stock. All shares of our outstanding common stock are fully paid and non-assessable.</w:t>
      </w:r>
    </w:p>
    <w:p>
      <w:pPr>
        <w:sectPr>
          <w:pgSz w:w="11900" w:h="16838" w:orient="portrait"/>
          <w:cols w:equalWidth="0" w:num="1">
            <w:col w:w="11240"/>
          </w:cols>
          <w:pgMar w:left="320" w:top="99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“TTC”.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Our Certificate of Incorporation and Bylaws and the DGCL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Certificate of Incorporation and Bylaws and the DGCL contain provisions that may deter or render more difficult certain proposals, such as proposals to acquire control of TTC, which a holder of our common stock may consider to be in his, her or its best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Certain Provisions of our Certificate of Incorporation and Bylaws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provisions of our Certificate of Incorporation and Bylaws may have the anti-takeover effect of preventing, discouraging or delaying any change in the control of TTC:</w:t>
      </w:r>
    </w:p>
    <w:p>
      <w:pPr>
        <w:spacing w:after="0" w:line="62"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Board is classified into three classes, each of which serves for three years, with one class being elected each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Directors may be removed only for cause and only with the approval of holders of at least 80% of the voting power of our capital stock;</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vacancy on the Board must be filled only by the remaining directors then in office;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Shareholder action must be taken at a meeting of shareholders, and shareholders may not act by written consent;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Special meetings of shareholders may be called only by the Board pursuant to a resolution adopted by a majority of the entire Board;</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“fair price” provision requires the approval by the holders of 80% of the then outstanding common stock as a condition for mergers and certain other business combinations of TTC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w:t>
      </w:r>
    </w:p>
    <w:p>
      <w:pPr>
        <w:spacing w:after="0" w:line="25" w:lineRule="exact"/>
        <w:rPr>
          <w:rFonts w:ascii="Arial" w:cs="Arial" w:eastAsia="Arial" w:hAnsi="Arial"/>
          <w:sz w:val="18"/>
          <w:szCs w:val="18"/>
          <w:color w:val="auto"/>
        </w:rPr>
      </w:pPr>
    </w:p>
    <w:p>
      <w:pPr>
        <w:ind w:left="660" w:right="20" w:hanging="328"/>
        <w:spacing w:after="0" w:line="29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provisions in our Certificate of Incorporation related to the Board, actions by stockholders and certain business combinations require at least 80% of the voting power of the then outstanding shares of TTC, voting together as a single class, to alter, amend, or repeal;</w:t>
      </w:r>
    </w:p>
    <w:p>
      <w:pPr>
        <w:jc w:val="both"/>
        <w:ind w:left="660" w:hanging="328"/>
        <w:spacing w:after="0" w:line="279"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shareholder vote required to alter, amend or repeal the provisions of our Bylaws that are substantially identical to or implement provisions of our Certificate of Incorporation related to cumulative voting and preemptive rights, the Board, actions by stockholders, and certain business combinations, and the shareholder vote required to alter, amend or repeal the provision in our Certificate of Incorporation setting forth these requirements, is 80% of the voting power of the then outstanding shares of TTC, voting together as a single class;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Board may issue shares of preferred stock, with designations, rights and preferences as may be determined from time to time by the Board;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Shareholders do not have the right to cumulative voting in the election of directors;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Shareholders must follow advance notice procedure to submit proposed nominations of persons for election to the Board and other proposals for business to be brought before an annual meeting of our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Delaware corporation and are subject to Section 203 of the DGCL, known as the Delaware Business Combination Statute. In general, Section 203 prohibits a publicly held Delaware corporation from engaging in a “business combination” with an “interested shareholder” within three years of the time the shareholder became an interested shareholder, unless:</w:t>
      </w:r>
    </w:p>
    <w:p>
      <w:pPr>
        <w:spacing w:after="0" w:line="76" w:lineRule="exact"/>
        <w:rPr>
          <w:sz w:val="20"/>
          <w:szCs w:val="20"/>
          <w:color w:val="auto"/>
        </w:rPr>
      </w:pPr>
    </w:p>
    <w:p>
      <w:pPr>
        <w:ind w:left="66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time the shareholder became an interested shareholder, the board of directors of the corporation approved either the business combination or the transaction that resulted in the shareholder becoming an interested shareholder;</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exclusive of shares owned by directors who are also officers and by certain employee stock plans; or</w:t>
      </w:r>
    </w:p>
    <w:p>
      <w:pPr>
        <w:spacing w:after="0" w:line="2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the shareholders by the affirmative vote of at least two-thirds of the outstanding voting stock that is not owned by the interested shareholder.</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for purposes of the Delaware Business Combination Statute, a “business combination” includes a merger, asset or stock sale or other transaction resulting in a financial benefit to the interested shareholder, and an “interested shareholder” is a person who owns, individually or through other persons, 15% or more of the corporation’s outstanding voting stock.</w:t>
      </w:r>
    </w:p>
    <w:p>
      <w:pPr>
        <w:sectPr>
          <w:pgSz w:w="11900" w:h="16838" w:orient="portrait"/>
          <w:cols w:equalWidth="0" w:num="1">
            <w:col w:w="11240"/>
          </w:cols>
          <w:pgMar w:left="320" w:top="99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AND SECURITY AGREEMENT</w:t>
      </w:r>
    </w:p>
    <w:p>
      <w:pPr>
        <w:spacing w:after="0" w:line="200" w:lineRule="exact"/>
        <w:rPr>
          <w:sz w:val="20"/>
          <w:szCs w:val="20"/>
          <w:color w:val="auto"/>
        </w:rPr>
      </w:pPr>
    </w:p>
    <w:p>
      <w:pPr>
        <w:spacing w:after="0" w:line="3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Amendment, entered into as of August 23, 2021, and effective as of November 1, 2021, is by and between RED IRON ACCEPTANCE, LLC, a Delaware limited liability company (“</w:t>
      </w:r>
      <w:r>
        <w:rPr>
          <w:rFonts w:ascii="Arial" w:cs="Arial" w:eastAsia="Arial" w:hAnsi="Arial"/>
          <w:sz w:val="17"/>
          <w:szCs w:val="17"/>
          <w:b w:val="1"/>
          <w:bCs w:val="1"/>
          <w:color w:val="auto"/>
        </w:rPr>
        <w:t>Borrower</w:t>
      </w:r>
      <w:r>
        <w:rPr>
          <w:rFonts w:ascii="Arial" w:cs="Arial" w:eastAsia="Arial" w:hAnsi="Arial"/>
          <w:sz w:val="17"/>
          <w:szCs w:val="17"/>
          <w:color w:val="auto"/>
        </w:rPr>
        <w:t>”), and TCF INVENTORY FINANCE, INC., a Minnesota corporation (“</w:t>
      </w:r>
      <w:r>
        <w:rPr>
          <w:rFonts w:ascii="Arial" w:cs="Arial" w:eastAsia="Arial" w:hAnsi="Arial"/>
          <w:sz w:val="17"/>
          <w:szCs w:val="17"/>
          <w:b w:val="1"/>
          <w:bCs w:val="1"/>
          <w:color w:val="auto"/>
        </w:rPr>
        <w:t>Lender</w:t>
      </w:r>
      <w:r>
        <w:rPr>
          <w:rFonts w:ascii="Arial" w:cs="Arial" w:eastAsia="Arial" w:hAnsi="Arial"/>
          <w:sz w:val="17"/>
          <w:szCs w:val="17"/>
          <w:color w:val="auto"/>
        </w:rPr>
        <w:t>”). Capitalized terms used herein and not otherwise defined shall have the meanings ascribed thereto in the Credit Agreement (as hereinafter defined).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311" w:lineRule="auto"/>
        <w:tabs>
          <w:tab w:leader="none" w:pos="12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Borrower and Lender are parties to a Credit and Security Agreement, dated as of August 12, 2009, as amended by a First Amendment to Credit and Security Agreement dated as of June 6, 2012, a Second Amendment to Credit and Security Agreement dated as of November 29, 2016, and a Third Amendment to Credit and Security Agreement dated as of December 20, 2019 (as so amended, the “</w:t>
      </w:r>
      <w:r>
        <w:rPr>
          <w:rFonts w:ascii="Arial" w:cs="Arial" w:eastAsia="Arial" w:hAnsi="Arial"/>
          <w:sz w:val="16"/>
          <w:szCs w:val="16"/>
          <w:b w:val="1"/>
          <w:bCs w:val="1"/>
          <w:color w:val="auto"/>
        </w:rPr>
        <w:t>Credit Agreement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parties hereto have agreed to amend the Credit Agreement as provided herein.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left="340" w:firstLine="316"/>
        <w:spacing w:after="0" w:line="286" w:lineRule="auto"/>
        <w:tabs>
          <w:tab w:leader="none" w:pos="131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 following definitions (i) with respect to terms not presently defined in Schedule 1.01 of the Credit Agreement, are hereby added in alphabetical order to Schedule 1.01 of the Credit Agreement, and (ii) with respect to terms presently defined in Schedule 1.01 of the Credit Agreement, amend and restate in their entirety the corresponding definitions in the Credit Agreement:</w:t>
      </w:r>
    </w:p>
    <w:p>
      <w:pPr>
        <w:spacing w:after="0" w:line="165"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shall mean the most recent 15 Business Day moving average of one-month interbank offered rates for dollar deposits in the London market, as reported to Lender by </w:t>
      </w:r>
      <w:r>
        <w:rPr>
          <w:rFonts w:ascii="Arial" w:cs="Arial" w:eastAsia="Arial" w:hAnsi="Arial"/>
          <w:sz w:val="16"/>
          <w:szCs w:val="16"/>
          <w:i w:val="1"/>
          <w:iCs w:val="1"/>
          <w:color w:val="auto"/>
        </w:rPr>
        <w:t>The Bloomberg Financial Markets, Commodities and News</w:t>
      </w:r>
      <w:r>
        <w:rPr>
          <w:rFonts w:ascii="Arial" w:cs="Arial" w:eastAsia="Arial" w:hAnsi="Arial"/>
          <w:sz w:val="16"/>
          <w:szCs w:val="16"/>
          <w:color w:val="auto"/>
        </w:rPr>
        <w:t>, a publicly available financial reporting service (“</w:t>
      </w:r>
      <w:r>
        <w:rPr>
          <w:rFonts w:ascii="Arial" w:cs="Arial" w:eastAsia="Arial" w:hAnsi="Arial"/>
          <w:sz w:val="16"/>
          <w:szCs w:val="16"/>
          <w:u w:val="single" w:color="auto"/>
          <w:color w:val="auto"/>
        </w:rPr>
        <w:t>Bloomberg</w:t>
      </w:r>
      <w:r>
        <w:rPr>
          <w:rFonts w:ascii="Arial" w:cs="Arial" w:eastAsia="Arial" w:hAnsi="Arial"/>
          <w:sz w:val="16"/>
          <w:szCs w:val="16"/>
          <w:color w:val="auto"/>
        </w:rPr>
        <w:t>”). If LIBOR is less than zero, LIBOR shall be deemed to be zero. LIBOR for any calendar month will be based on the reported one-month LIBOR rate for the most recent 15 Business Days preceding the 25th day of the immediately preceding calendar month.</w:t>
      </w:r>
    </w:p>
    <w:p>
      <w:pPr>
        <w:spacing w:after="0" w:line="157"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Index</w:t>
      </w:r>
      <w:r>
        <w:rPr>
          <w:rFonts w:ascii="Arial" w:cs="Arial" w:eastAsia="Arial" w:hAnsi="Arial"/>
          <w:sz w:val="16"/>
          <w:szCs w:val="16"/>
          <w:color w:val="auto"/>
        </w:rPr>
        <w:t>” shall mean, for any calendar month, an annual rate equal to 1-Month Term SOFR plus 0.11448%. “</w:t>
      </w:r>
      <w:r>
        <w:rPr>
          <w:rFonts w:ascii="Arial" w:cs="Arial" w:eastAsia="Arial" w:hAnsi="Arial"/>
          <w:sz w:val="16"/>
          <w:szCs w:val="16"/>
          <w:u w:val="single" w:color="auto"/>
          <w:color w:val="auto"/>
        </w:rPr>
        <w:t>1-Month Term SOFR</w:t>
      </w:r>
      <w:r>
        <w:rPr>
          <w:rFonts w:ascii="Arial" w:cs="Arial" w:eastAsia="Arial" w:hAnsi="Arial"/>
          <w:sz w:val="16"/>
          <w:szCs w:val="16"/>
          <w:color w:val="auto"/>
        </w:rPr>
        <w:t>” means, for any calendar month, the 1 Month CME Term SOFR Reference Rate published by CME Group Benchmark Administration Limited (or any successor administrator thereof) on the first day of such month (or, if not published on the first day of such month, the next date published). If 1-Month Term SOFR is less than zero, 1-Month Term SOFR shall be deemed to be zero. If TCFIF determines that 1-Month Term SOFR has ceased or will cease to be available, TCFIF will select a commercially reasonable replacement rate for use in the definition of SOFR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106" w:name="page107"/>
    <w:bookmarkEnd w:id="106"/>
    <w:p>
      <w:pPr>
        <w:spacing w:after="0" w:line="198"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TCFIF Rate</w:t>
      </w:r>
      <w:r>
        <w:rPr>
          <w:rFonts w:ascii="Arial" w:cs="Arial" w:eastAsia="Arial" w:hAnsi="Arial"/>
          <w:sz w:val="17"/>
          <w:szCs w:val="17"/>
          <w:color w:val="auto"/>
        </w:rPr>
        <w:t>” shall mean, for each month, an annual rate equal to the sum of (a) one-half percent (1/2%), plus (b) the weighted average of LIBOR and the SOFR Index, in each case, as such rate may be reduced pursuant to Section 2.01(c). The weighting of such average of LIBOR and the SOFR Index shall be determined by TCFIF each month so as to approximate the ratio of (i) the average outstanding principal balance owed to Borrower by dealers and distributors in such month bearing interest by reference to the London Interbank Offered Rate (or any similar rate), to (ii) the average outstanding principal balance owed to Borrower by dealers and distributors in such month bearing interest by reference to the SOFR Index or bearing interest at a fixed rate, all as determined by TCFIF. The determination of the TCFIF Rate by TCFIF from time to time shall be conclusive absent manifest error.</w:t>
      </w:r>
    </w:p>
    <w:p>
      <w:pPr>
        <w:spacing w:after="0" w:line="177" w:lineRule="exact"/>
        <w:rPr>
          <w:sz w:val="20"/>
          <w:szCs w:val="20"/>
          <w:color w:val="auto"/>
        </w:rPr>
      </w:pPr>
    </w:p>
    <w:p>
      <w:pPr>
        <w:ind w:left="-316" w:firstLine="316"/>
        <w:spacing w:after="0" w:line="277" w:lineRule="auto"/>
        <w:tabs>
          <w:tab w:leader="none" w:pos="65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certifies to Lender that the representations and warranties of Borrower in Section IV of the Credit Agreement are true and correct in all respects as of the date of this Amendment.</w:t>
      </w:r>
    </w:p>
    <w:p>
      <w:pPr>
        <w:spacing w:after="0" w:line="170" w:lineRule="exact"/>
        <w:rPr>
          <w:rFonts w:ascii="Arial" w:cs="Arial" w:eastAsia="Arial" w:hAnsi="Arial"/>
          <w:sz w:val="18"/>
          <w:szCs w:val="18"/>
          <w:color w:val="auto"/>
        </w:rPr>
      </w:pPr>
    </w:p>
    <w:p>
      <w:pPr>
        <w:jc w:val="both"/>
        <w:ind w:left="-316" w:firstLine="316"/>
        <w:spacing w:after="0" w:line="257" w:lineRule="auto"/>
        <w:tabs>
          <w:tab w:leader="none" w:pos="65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Affirmation of Credit Agreement; Further References</w:t>
      </w:r>
      <w:r>
        <w:rPr>
          <w:rFonts w:ascii="Arial" w:cs="Arial" w:eastAsia="Arial" w:hAnsi="Arial"/>
          <w:sz w:val="18"/>
          <w:szCs w:val="18"/>
          <w:color w:val="auto"/>
        </w:rPr>
        <w:t>. The parties hereto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(including references in the Credit Agreement to the terms thereof) are hereby amended to refer to the Credit Agreement as amended through this Amendment.</w:t>
      </w:r>
    </w:p>
    <w:p>
      <w:pPr>
        <w:spacing w:after="0" w:line="187" w:lineRule="exact"/>
        <w:rPr>
          <w:rFonts w:ascii="Arial" w:cs="Arial" w:eastAsia="Arial" w:hAnsi="Arial"/>
          <w:sz w:val="18"/>
          <w:szCs w:val="18"/>
          <w:color w:val="auto"/>
        </w:rPr>
      </w:pPr>
    </w:p>
    <w:p>
      <w:pPr>
        <w:jc w:val="both"/>
        <w:ind w:left="-316" w:firstLine="316"/>
        <w:spacing w:after="0" w:line="259" w:lineRule="auto"/>
        <w:tabs>
          <w:tab w:leader="none" w:pos="65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jc w:val="both"/>
        <w:ind w:left="-316" w:firstLine="316"/>
        <w:spacing w:after="0" w:line="286" w:lineRule="auto"/>
        <w:tabs>
          <w:tab w:leader="none" w:pos="65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the Amendment by facsimile transmission or by electronic mail in portable document format (.pdf) shall be as effective as delivery of a manually executed counterpart hereof.</w:t>
      </w: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1440" w:right="339" w:bottom="1440" w:gutter="0" w:footer="0" w:header="0"/>
        </w:sectPr>
      </w:pPr>
    </w:p>
    <w:bookmarkStart w:id="107" w:name="page108"/>
    <w:bookmarkEnd w:id="107"/>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duly executed this Amendment as of the day and year first above written.</w:t>
      </w:r>
    </w:p>
    <w:p>
      <w:pPr>
        <w:sectPr>
          <w:pgSz w:w="11900" w:h="16838" w:orient="portrait"/>
          <w:cols w:equalWidth="0" w:num="1">
            <w:col w:w="9799"/>
          </w:cols>
          <w:pgMar w:left="660" w:top="1440"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RED IRON ACCEPTANCE, LLC</w:t>
      </w:r>
    </w:p>
    <w:p>
      <w:pPr>
        <w:spacing w:after="0" w:line="26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Zafar</w:t>
      </w:r>
    </w:p>
    <w:p>
      <w:pPr>
        <w:ind w:left="4380"/>
        <w:spacing w:after="0"/>
        <w:rPr>
          <w:sz w:val="20"/>
          <w:szCs w:val="20"/>
          <w:color w:val="auto"/>
        </w:rPr>
      </w:pPr>
      <w:r>
        <w:rPr>
          <w:rFonts w:ascii="Arial" w:cs="Arial" w:eastAsia="Arial" w:hAnsi="Arial"/>
          <w:sz w:val="18"/>
          <w:szCs w:val="18"/>
          <w:color w:val="auto"/>
        </w:rPr>
        <w:t>By: Farooq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4445</wp:posOffset>
            </wp:positionV>
            <wp:extent cx="10115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 Zafar Farooq</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TCF INVENTORY FINANCE, INC.</w:t>
      </w:r>
    </w:p>
    <w:p>
      <w:pPr>
        <w:spacing w:after="0" w:line="26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Zafar</w:t>
      </w:r>
    </w:p>
    <w:p>
      <w:pPr>
        <w:ind w:left="4380"/>
        <w:spacing w:after="0"/>
        <w:rPr>
          <w:sz w:val="20"/>
          <w:szCs w:val="20"/>
          <w:color w:val="auto"/>
        </w:rPr>
      </w:pPr>
      <w:r>
        <w:rPr>
          <w:rFonts w:ascii="Arial" w:cs="Arial" w:eastAsia="Arial" w:hAnsi="Arial"/>
          <w:sz w:val="18"/>
          <w:szCs w:val="18"/>
          <w:color w:val="auto"/>
        </w:rPr>
        <w:t>By: Farooq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4445</wp:posOffset>
            </wp:positionV>
            <wp:extent cx="10115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 Zafar Farooq</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Its: Executive Vice</w:t>
      </w:r>
    </w:p>
    <w:p>
      <w:pPr>
        <w:ind w:left="3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9799"/>
          </w:cols>
          <w:pgMar w:left="66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700"/>
        <w:spacing w:after="0"/>
        <w:rPr>
          <w:sz w:val="20"/>
          <w:szCs w:val="20"/>
          <w:color w:val="auto"/>
        </w:rPr>
      </w:pPr>
      <w:r>
        <w:rPr>
          <w:rFonts w:ascii="Arial" w:cs="Arial" w:eastAsia="Arial" w:hAnsi="Arial"/>
          <w:sz w:val="16"/>
          <w:szCs w:val="16"/>
          <w:i w:val="1"/>
          <w:iCs w:val="1"/>
          <w:color w:val="auto"/>
        </w:rPr>
        <w:t>Signature Page to Fourth Amendment to Credit and Security Agreement</w:t>
      </w:r>
    </w:p>
    <w:p>
      <w:pPr>
        <w:sectPr>
          <w:pgSz w:w="11900" w:h="16838" w:orient="portrait"/>
          <w:cols w:equalWidth="0" w:num="1">
            <w:col w:w="9799"/>
          </w:cols>
          <w:pgMar w:left="660" w:top="1440" w:right="1440"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460" w:type="dxa"/>
            <w:vAlign w:val="bottom"/>
            <w:vMerge w:val="restart"/>
          </w:tcPr>
          <w:p>
            <w:pPr>
              <w:jc w:val="center"/>
              <w:ind w:right="657"/>
              <w:spacing w:after="0"/>
              <w:rPr>
                <w:sz w:val="20"/>
                <w:szCs w:val="20"/>
                <w:color w:val="auto"/>
              </w:rPr>
            </w:pPr>
            <w:r>
              <w:rPr>
                <w:rFonts w:ascii="Arial" w:cs="Arial" w:eastAsia="Arial" w:hAnsi="Arial"/>
                <w:sz w:val="20"/>
                <w:szCs w:val="20"/>
                <w:b w:val="1"/>
                <w:bCs w:val="1"/>
                <w:color w:val="auto"/>
              </w:rPr>
              <w:t>THE TORO COMPANY</w:t>
            </w:r>
          </w:p>
        </w:tc>
        <w:tc>
          <w:tcPr>
            <w:tcW w:w="2540" w:type="dxa"/>
            <w:vAlign w:val="bottom"/>
            <w:gridSpan w:val="2"/>
          </w:tcPr>
          <w:p>
            <w:pPr>
              <w:ind w:left="172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5460" w:type="dxa"/>
            <w:vAlign w:val="bottom"/>
          </w:tcPr>
          <w:p>
            <w:pPr>
              <w:jc w:val="center"/>
              <w:ind w:right="657"/>
              <w:spacing w:after="0"/>
              <w:rPr>
                <w:sz w:val="20"/>
                <w:szCs w:val="20"/>
                <w:color w:val="auto"/>
              </w:rPr>
            </w:pPr>
            <w:r>
              <w:rPr>
                <w:rFonts w:ascii="Arial" w:cs="Arial" w:eastAsia="Arial" w:hAnsi="Arial"/>
                <w:sz w:val="18"/>
                <w:szCs w:val="18"/>
                <w:b w:val="1"/>
                <w:bCs w:val="1"/>
                <w:color w:val="auto"/>
                <w:w w:val="89"/>
              </w:rPr>
              <w:t>Subsidiaries of Registrant</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The following are significant subsidiaries of The Toro Company as of October 31, 2021:</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5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6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Name</w:t>
            </w:r>
          </w:p>
        </w:tc>
        <w:tc>
          <w:tcPr>
            <w:tcW w:w="5460" w:type="dxa"/>
            <w:vAlign w:val="bottom"/>
            <w:tcBorders>
              <w:top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252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Percentage of Voting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60" w:type="dxa"/>
            <w:vAlign w:val="bottom"/>
            <w:vMerge w:val="continue"/>
          </w:tcPr>
          <w:p>
            <w:pPr>
              <w:spacing w:after="0"/>
              <w:rPr>
                <w:sz w:val="16"/>
                <w:szCs w:val="16"/>
                <w:color w:val="auto"/>
              </w:rPr>
            </w:pPr>
          </w:p>
        </w:tc>
        <w:tc>
          <w:tcPr>
            <w:tcW w:w="5460" w:type="dxa"/>
            <w:vAlign w:val="bottom"/>
            <w:vMerge w:val="continue"/>
          </w:tcPr>
          <w:p>
            <w:pPr>
              <w:spacing w:after="0"/>
              <w:rPr>
                <w:sz w:val="16"/>
                <w:szCs w:val="16"/>
                <w:color w:val="auto"/>
              </w:rPr>
            </w:pPr>
          </w:p>
        </w:tc>
        <w:tc>
          <w:tcPr>
            <w:tcW w:w="2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Securities Owned</w:t>
            </w:r>
          </w:p>
        </w:tc>
        <w:tc>
          <w:tcPr>
            <w:tcW w:w="0" w:type="dxa"/>
            <w:vAlign w:val="bottom"/>
          </w:tcPr>
          <w:p>
            <w:pPr>
              <w:spacing w:after="0"/>
              <w:rPr>
                <w:sz w:val="1"/>
                <w:szCs w:val="1"/>
                <w:color w:val="auto"/>
              </w:rPr>
            </w:pPr>
          </w:p>
        </w:tc>
      </w:tr>
      <w:tr>
        <w:trPr>
          <w:trHeight w:val="266"/>
        </w:trPr>
        <w:tc>
          <w:tcPr>
            <w:tcW w:w="32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Anvil Land and Properties, Inc.</w:t>
            </w:r>
          </w:p>
        </w:tc>
        <w:tc>
          <w:tcPr>
            <w:tcW w:w="5460" w:type="dxa"/>
            <w:vAlign w:val="bottom"/>
            <w:tcBorders>
              <w:top w:val="single" w:sz="8" w:color="auto"/>
            </w:tcBorders>
            <w:shd w:val="clear" w:color="auto" w:fill="CCEEFF"/>
          </w:tcPr>
          <w:p>
            <w:pPr>
              <w:ind w:left="1620"/>
              <w:spacing w:after="0"/>
              <w:rPr>
                <w:sz w:val="20"/>
                <w:szCs w:val="20"/>
                <w:color w:val="auto"/>
              </w:rPr>
            </w:pPr>
            <w:r>
              <w:rPr>
                <w:rFonts w:ascii="Arial" w:cs="Arial" w:eastAsia="Arial" w:hAnsi="Arial"/>
                <w:sz w:val="14"/>
                <w:szCs w:val="14"/>
                <w:color w:val="auto"/>
              </w:rPr>
              <w:t>Oklahoma</w:t>
            </w:r>
          </w:p>
        </w:tc>
        <w:tc>
          <w:tcPr>
            <w:tcW w:w="2520" w:type="dxa"/>
            <w:vAlign w:val="bottom"/>
            <w:tcBorders>
              <w:top w:val="single" w:sz="8" w:color="auto"/>
            </w:tcBorders>
            <w:vMerge w:val="restart"/>
            <w:shd w:val="clear" w:color="auto" w:fill="CCEEFF"/>
          </w:tcPr>
          <w:p>
            <w:pPr>
              <w:jc w:val="right"/>
              <w:ind w:right="64"/>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260" w:type="dxa"/>
            <w:vAlign w:val="bottom"/>
            <w:shd w:val="clear" w:color="auto" w:fill="CCEEFF"/>
          </w:tcPr>
          <w:p>
            <w:pPr>
              <w:spacing w:after="0"/>
              <w:rPr>
                <w:sz w:val="6"/>
                <w:szCs w:val="6"/>
                <w:color w:val="auto"/>
              </w:rPr>
            </w:pPr>
          </w:p>
        </w:tc>
        <w:tc>
          <w:tcPr>
            <w:tcW w:w="546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240"/>
          </w:cols>
          <w:pgMar w:left="320" w:top="769" w:right="339" w:bottom="0" w:gutter="0" w:footer="0" w:header="0"/>
        </w:sectPr>
      </w:pPr>
    </w:p>
    <w:p>
      <w:pPr>
        <w:ind w:left="140"/>
        <w:spacing w:after="0"/>
        <w:tabs>
          <w:tab w:leader="none" w:pos="4860" w:val="left"/>
        </w:tabs>
        <w:rPr>
          <w:sz w:val="20"/>
          <w:szCs w:val="20"/>
          <w:color w:val="auto"/>
        </w:rPr>
      </w:pPr>
      <w:r>
        <w:rPr>
          <w:rFonts w:ascii="Arial" w:cs="Arial" w:eastAsia="Arial" w:hAnsi="Arial"/>
          <w:sz w:val="14"/>
          <w:szCs w:val="14"/>
          <w:color w:val="auto"/>
        </w:rPr>
        <w:t>Bureau Commercial Marketing SAS</w:t>
      </w:r>
      <w:r>
        <w:rPr>
          <w:sz w:val="20"/>
          <w:szCs w:val="20"/>
          <w:color w:val="auto"/>
        </w:rPr>
        <w:tab/>
      </w:r>
      <w:r>
        <w:rPr>
          <w:rFonts w:ascii="Arial" w:cs="Arial" w:eastAsia="Arial" w:hAnsi="Arial"/>
          <w:sz w:val="12"/>
          <w:szCs w:val="12"/>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DW/TXS Construction Equipment (Beijing) Co., Ltd.</w:t>
      </w:r>
      <w:r>
        <w:rPr>
          <w:sz w:val="20"/>
          <w:szCs w:val="20"/>
          <w:color w:val="auto"/>
        </w:rPr>
        <w:tab/>
      </w:r>
      <w:r>
        <w:rPr>
          <w:rFonts w:ascii="Arial" w:cs="Arial" w:eastAsia="Arial" w:hAnsi="Arial"/>
          <w:sz w:val="13"/>
          <w:szCs w:val="13"/>
          <w:color w:val="auto"/>
        </w:rPr>
        <w:t>China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Exmark Manufacturing Company Incorporated</w:t>
      </w:r>
      <w:r>
        <w:rPr>
          <w:sz w:val="20"/>
          <w:szCs w:val="20"/>
          <w:color w:val="auto"/>
        </w:rPr>
        <w:tab/>
      </w:r>
      <w:r>
        <w:rPr>
          <w:rFonts w:ascii="Arial" w:cs="Arial" w:eastAsia="Arial" w:hAnsi="Arial"/>
          <w:sz w:val="12"/>
          <w:szCs w:val="12"/>
          <w:color w:val="auto"/>
        </w:rPr>
        <w:t>Nebraska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Georgia Equipment Specialists, LLC</w:t>
      </w:r>
      <w:r>
        <w:rPr>
          <w:sz w:val="20"/>
          <w:szCs w:val="20"/>
          <w:color w:val="auto"/>
        </w:rPr>
        <w:tab/>
      </w:r>
      <w:r>
        <w:rPr>
          <w:rFonts w:ascii="Arial" w:cs="Arial" w:eastAsia="Arial" w:hAnsi="Arial"/>
          <w:sz w:val="12"/>
          <w:szCs w:val="12"/>
          <w:color w:val="auto"/>
        </w:rPr>
        <w:t>Georgia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Hahn Equipment Co.</w:t>
      </w:r>
      <w:r>
        <w:rPr>
          <w:sz w:val="20"/>
          <w:szCs w:val="20"/>
          <w:color w:val="auto"/>
        </w:rPr>
        <w:tab/>
      </w:r>
      <w:r>
        <w:rPr>
          <w:rFonts w:ascii="Arial" w:cs="Arial" w:eastAsia="Arial" w:hAnsi="Arial"/>
          <w:sz w:val="13"/>
          <w:szCs w:val="13"/>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Hayter Holdings Limited</w:t>
      </w:r>
      <w:r>
        <w:rPr>
          <w:sz w:val="20"/>
          <w:szCs w:val="20"/>
          <w:color w:val="auto"/>
        </w:rPr>
        <w:tab/>
      </w:r>
      <w:r>
        <w:rPr>
          <w:rFonts w:ascii="Arial" w:cs="Arial" w:eastAsia="Arial" w:hAnsi="Arial"/>
          <w:sz w:val="13"/>
          <w:szCs w:val="13"/>
          <w:color w:val="auto"/>
        </w:rPr>
        <w:t>United Kingdom</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International Underground Systems, SL</w:t>
      </w:r>
      <w:r>
        <w:rPr>
          <w:sz w:val="20"/>
          <w:szCs w:val="20"/>
          <w:color w:val="auto"/>
        </w:rPr>
        <w:tab/>
      </w:r>
      <w:r>
        <w:rPr>
          <w:rFonts w:ascii="Arial" w:cs="Arial" w:eastAsia="Arial" w:hAnsi="Arial"/>
          <w:sz w:val="13"/>
          <w:szCs w:val="13"/>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Irritrol Systems Europe Productions S.r.l.</w:t>
      </w:r>
      <w:r>
        <w:rPr>
          <w:sz w:val="20"/>
          <w:szCs w:val="20"/>
          <w:color w:val="auto"/>
        </w:rPr>
        <w:tab/>
      </w:r>
      <w:r>
        <w:rPr>
          <w:rFonts w:ascii="Arial" w:cs="Arial" w:eastAsia="Arial" w:hAnsi="Arial"/>
          <w:sz w:val="14"/>
          <w:szCs w:val="14"/>
          <w:color w:val="auto"/>
        </w:rPr>
        <w:t>Italy</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Irritrol Systems Europe S.r.l.</w:t>
      </w:r>
      <w:r>
        <w:rPr>
          <w:sz w:val="20"/>
          <w:szCs w:val="20"/>
          <w:color w:val="auto"/>
        </w:rPr>
        <w:tab/>
      </w:r>
      <w:r>
        <w:rPr>
          <w:rFonts w:ascii="Arial" w:cs="Arial" w:eastAsia="Arial" w:hAnsi="Arial"/>
          <w:sz w:val="14"/>
          <w:szCs w:val="14"/>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Lawn-Boy, Inc.</w:t>
      </w:r>
      <w:r>
        <w:rPr>
          <w:sz w:val="20"/>
          <w:szCs w:val="20"/>
          <w:color w:val="auto"/>
        </w:rPr>
        <w:tab/>
      </w:r>
      <w:r>
        <w:rPr>
          <w:rFonts w:ascii="Arial" w:cs="Arial" w:eastAsia="Arial" w:hAnsi="Arial"/>
          <w:sz w:val="13"/>
          <w:szCs w:val="13"/>
          <w:color w:val="auto"/>
        </w:rPr>
        <w:t>Delaware</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Michigan Underground Specialists, LLC</w:t>
      </w:r>
      <w:r>
        <w:rPr>
          <w:sz w:val="20"/>
          <w:szCs w:val="20"/>
          <w:color w:val="auto"/>
        </w:rPr>
        <w:tab/>
      </w:r>
      <w:r>
        <w:rPr>
          <w:rFonts w:ascii="Arial" w:cs="Arial" w:eastAsia="Arial" w:hAnsi="Arial"/>
          <w:sz w:val="13"/>
          <w:szCs w:val="13"/>
          <w:color w:val="auto"/>
        </w:rPr>
        <w:t>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MTI Distributing, Inc.</w:t>
      </w:r>
      <w:r>
        <w:rPr>
          <w:sz w:val="20"/>
          <w:szCs w:val="20"/>
          <w:color w:val="auto"/>
        </w:rPr>
        <w:tab/>
      </w:r>
      <w:r>
        <w:rPr>
          <w:rFonts w:ascii="Arial" w:cs="Arial" w:eastAsia="Arial" w:hAnsi="Arial"/>
          <w:sz w:val="13"/>
          <w:szCs w:val="13"/>
          <w:color w:val="auto"/>
        </w:rPr>
        <w:t>Minnesota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Perrot-Polska s.p. zoo</w:t>
      </w:r>
      <w:r>
        <w:rPr>
          <w:sz w:val="20"/>
          <w:szCs w:val="20"/>
          <w:color w:val="auto"/>
        </w:rPr>
        <w:tab/>
      </w:r>
      <w:r>
        <w:rPr>
          <w:rFonts w:ascii="Arial" w:cs="Arial" w:eastAsia="Arial" w:hAnsi="Arial"/>
          <w:sz w:val="12"/>
          <w:szCs w:val="12"/>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Radius HDD Direct LLC</w:t>
      </w:r>
      <w:r>
        <w:rPr>
          <w:sz w:val="20"/>
          <w:szCs w:val="20"/>
          <w:color w:val="auto"/>
        </w:rPr>
        <w:tab/>
      </w:r>
      <w:r>
        <w:rPr>
          <w:rFonts w:ascii="Arial" w:cs="Arial" w:eastAsia="Arial" w:hAnsi="Arial"/>
          <w:sz w:val="13"/>
          <w:szCs w:val="13"/>
          <w:color w:val="auto"/>
        </w:rPr>
        <w:t>Oklahoma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Rain Master Irrigation Systems, Inc.</w:t>
      </w:r>
      <w:r>
        <w:rPr>
          <w:sz w:val="20"/>
          <w:szCs w:val="20"/>
          <w:color w:val="auto"/>
        </w:rPr>
        <w:tab/>
      </w:r>
      <w:r>
        <w:rPr>
          <w:rFonts w:ascii="Arial" w:cs="Arial" w:eastAsia="Arial" w:hAnsi="Arial"/>
          <w:sz w:val="13"/>
          <w:szCs w:val="13"/>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Red Iron Acceptance, LLC</w:t>
      </w:r>
      <w:r>
        <w:rPr>
          <w:sz w:val="20"/>
          <w:szCs w:val="20"/>
          <w:color w:val="auto"/>
        </w:rPr>
        <w:tab/>
      </w:r>
      <w:r>
        <w:rPr>
          <w:rFonts w:ascii="Arial" w:cs="Arial" w:eastAsia="Arial" w:hAnsi="Arial"/>
          <w:sz w:val="13"/>
          <w:szCs w:val="13"/>
          <w:color w:val="auto"/>
        </w:rPr>
        <w:t>Delaware</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Red Iron Holding Corporation</w:t>
      </w:r>
      <w:r>
        <w:rPr>
          <w:sz w:val="20"/>
          <w:szCs w:val="20"/>
          <w:color w:val="auto"/>
        </w:rPr>
        <w:tab/>
      </w:r>
      <w:r>
        <w:rPr>
          <w:rFonts w:ascii="Arial" w:cs="Arial" w:eastAsia="Arial" w:hAnsi="Arial"/>
          <w:sz w:val="13"/>
          <w:szCs w:val="13"/>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Regnerbau Calw GmbH</w:t>
      </w:r>
      <w:r>
        <w:rPr>
          <w:sz w:val="20"/>
          <w:szCs w:val="20"/>
          <w:color w:val="auto"/>
        </w:rPr>
        <w:tab/>
      </w:r>
      <w:r>
        <w:rPr>
          <w:rFonts w:ascii="Arial" w:cs="Arial" w:eastAsia="Arial" w:hAnsi="Arial"/>
          <w:sz w:val="13"/>
          <w:szCs w:val="13"/>
          <w:color w:val="auto"/>
        </w:rPr>
        <w:t>Germany</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Texas Underground Xperts, Inc.</w:t>
      </w:r>
      <w:r>
        <w:rPr>
          <w:sz w:val="20"/>
          <w:szCs w:val="20"/>
          <w:color w:val="auto"/>
        </w:rPr>
        <w:tab/>
      </w:r>
      <w:r>
        <w:rPr>
          <w:rFonts w:ascii="Arial" w:cs="Arial" w:eastAsia="Arial" w:hAnsi="Arial"/>
          <w:sz w:val="12"/>
          <w:szCs w:val="12"/>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The Charles Machine Works, Inc.</w:t>
      </w:r>
      <w:r>
        <w:rPr>
          <w:sz w:val="20"/>
          <w:szCs w:val="20"/>
          <w:color w:val="auto"/>
        </w:rPr>
        <w:tab/>
      </w:r>
      <w:r>
        <w:rPr>
          <w:rFonts w:ascii="Arial" w:cs="Arial" w:eastAsia="Arial" w:hAnsi="Arial"/>
          <w:sz w:val="13"/>
          <w:szCs w:val="13"/>
          <w:color w:val="auto"/>
        </w:rPr>
        <w:t>Oklahoma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The Holiman Co. Inc.</w:t>
      </w:r>
      <w:r>
        <w:rPr>
          <w:sz w:val="20"/>
          <w:szCs w:val="20"/>
          <w:color w:val="auto"/>
        </w:rPr>
        <w:tab/>
      </w:r>
      <w:r>
        <w:rPr>
          <w:rFonts w:ascii="Arial" w:cs="Arial" w:eastAsia="Arial" w:hAnsi="Arial"/>
          <w:sz w:val="13"/>
          <w:szCs w:val="13"/>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The ShopToro Company</w:t>
      </w:r>
      <w:r>
        <w:rPr>
          <w:sz w:val="20"/>
          <w:szCs w:val="20"/>
          <w:color w:val="auto"/>
        </w:rPr>
        <w:tab/>
      </w:r>
      <w:r>
        <w:rPr>
          <w:rFonts w:ascii="Arial" w:cs="Arial" w:eastAsia="Arial" w:hAnsi="Arial"/>
          <w:sz w:val="13"/>
          <w:szCs w:val="13"/>
          <w:color w:val="auto"/>
        </w:rPr>
        <w:t>Minnesota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The Toro Company (Asia) Pte. Limited</w:t>
      </w:r>
      <w:r>
        <w:rPr>
          <w:sz w:val="20"/>
          <w:szCs w:val="20"/>
          <w:color w:val="auto"/>
        </w:rPr>
        <w:tab/>
      </w:r>
      <w:r>
        <w:rPr>
          <w:rFonts w:ascii="Arial" w:cs="Arial" w:eastAsia="Arial" w:hAnsi="Arial"/>
          <w:sz w:val="12"/>
          <w:szCs w:val="12"/>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The Toro Company (Canada), Inc.</w:t>
      </w:r>
      <w:r>
        <w:rPr>
          <w:sz w:val="20"/>
          <w:szCs w:val="20"/>
          <w:color w:val="auto"/>
        </w:rPr>
        <w:tab/>
      </w:r>
      <w:r>
        <w:rPr>
          <w:rFonts w:ascii="Arial" w:cs="Arial" w:eastAsia="Arial" w:hAnsi="Arial"/>
          <w:sz w:val="13"/>
          <w:szCs w:val="13"/>
          <w:color w:val="auto"/>
        </w:rPr>
        <w:t>New Brunswick, Canada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(China) Irrigation Equipment Co., Ltd.</w:t>
      </w:r>
      <w:r>
        <w:rPr>
          <w:sz w:val="20"/>
          <w:szCs w:val="20"/>
          <w:color w:val="auto"/>
        </w:rPr>
        <w:tab/>
      </w:r>
      <w:r>
        <w:rPr>
          <w:rFonts w:ascii="Arial" w:cs="Arial" w:eastAsia="Arial" w:hAnsi="Arial"/>
          <w:sz w:val="13"/>
          <w:szCs w:val="13"/>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Australia Group Sales Pty. Ltd.</w:t>
      </w:r>
      <w:r>
        <w:rPr>
          <w:sz w:val="20"/>
          <w:szCs w:val="20"/>
          <w:color w:val="auto"/>
        </w:rPr>
        <w:tab/>
      </w:r>
      <w:r>
        <w:rPr>
          <w:rFonts w:ascii="Arial" w:cs="Arial" w:eastAsia="Arial" w:hAnsi="Arial"/>
          <w:sz w:val="13"/>
          <w:szCs w:val="13"/>
          <w:color w:val="auto"/>
        </w:rPr>
        <w:t>Australia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Australia Pty. Limited</w:t>
      </w:r>
      <w:r>
        <w:rPr>
          <w:sz w:val="20"/>
          <w:szCs w:val="20"/>
          <w:color w:val="auto"/>
        </w:rPr>
        <w:tab/>
      </w:r>
      <w:r>
        <w:rPr>
          <w:rFonts w:ascii="Arial" w:cs="Arial" w:eastAsia="Arial" w:hAnsi="Arial"/>
          <w:sz w:val="13"/>
          <w:szCs w:val="13"/>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Company de Mexico, S. de R.L. de C.V.</w:t>
      </w:r>
      <w:r>
        <w:rPr>
          <w:sz w:val="20"/>
          <w:szCs w:val="20"/>
          <w:color w:val="auto"/>
        </w:rPr>
        <w:tab/>
      </w:r>
      <w:r>
        <w:rPr>
          <w:rFonts w:ascii="Arial" w:cs="Arial" w:eastAsia="Arial" w:hAnsi="Arial"/>
          <w:sz w:val="13"/>
          <w:szCs w:val="13"/>
          <w:color w:val="auto"/>
        </w:rPr>
        <w:t>Mexico</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Credit Company</w:t>
      </w:r>
      <w:r>
        <w:rPr>
          <w:sz w:val="20"/>
          <w:szCs w:val="20"/>
          <w:color w:val="auto"/>
        </w:rPr>
        <w:tab/>
      </w:r>
      <w:r>
        <w:rPr>
          <w:rFonts w:ascii="Arial" w:cs="Arial" w:eastAsia="Arial" w:hAnsi="Arial"/>
          <w:sz w:val="13"/>
          <w:szCs w:val="13"/>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Europe N.V.</w:t>
      </w:r>
      <w:r>
        <w:rPr>
          <w:sz w:val="20"/>
          <w:szCs w:val="20"/>
          <w:color w:val="auto"/>
        </w:rPr>
        <w:tab/>
      </w:r>
      <w:r>
        <w:rPr>
          <w:rFonts w:ascii="Arial" w:cs="Arial" w:eastAsia="Arial" w:hAnsi="Arial"/>
          <w:sz w:val="13"/>
          <w:szCs w:val="13"/>
          <w:color w:val="auto"/>
        </w:rPr>
        <w:t>Belgium</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Finance Company</w:t>
      </w:r>
      <w:r>
        <w:rPr>
          <w:sz w:val="20"/>
          <w:szCs w:val="20"/>
          <w:color w:val="auto"/>
        </w:rPr>
        <w:tab/>
      </w:r>
      <w:r>
        <w:rPr>
          <w:rFonts w:ascii="Arial" w:cs="Arial" w:eastAsia="Arial" w:hAnsi="Arial"/>
          <w:sz w:val="13"/>
          <w:szCs w:val="13"/>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Finance Ltd.</w:t>
      </w:r>
      <w:r>
        <w:rPr>
          <w:sz w:val="20"/>
          <w:szCs w:val="20"/>
          <w:color w:val="auto"/>
        </w:rPr>
        <w:tab/>
      </w:r>
      <w:r>
        <w:rPr>
          <w:rFonts w:ascii="Arial" w:cs="Arial" w:eastAsia="Arial" w:hAnsi="Arial"/>
          <w:sz w:val="12"/>
          <w:szCs w:val="12"/>
          <w:color w:val="auto"/>
        </w:rPr>
        <w:t>Cayman Islands</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Germany I GmbH</w:t>
      </w:r>
      <w:r>
        <w:rPr>
          <w:sz w:val="20"/>
          <w:szCs w:val="20"/>
          <w:color w:val="auto"/>
        </w:rPr>
        <w:tab/>
      </w:r>
      <w:r>
        <w:rPr>
          <w:rFonts w:ascii="Arial" w:cs="Arial" w:eastAsia="Arial" w:hAnsi="Arial"/>
          <w:sz w:val="13"/>
          <w:szCs w:val="13"/>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Global Services Company</w:t>
      </w:r>
      <w:r>
        <w:rPr>
          <w:sz w:val="20"/>
          <w:szCs w:val="20"/>
          <w:color w:val="auto"/>
        </w:rPr>
        <w:tab/>
      </w:r>
      <w:r>
        <w:rPr>
          <w:rFonts w:ascii="Arial" w:cs="Arial" w:eastAsia="Arial" w:hAnsi="Arial"/>
          <w:sz w:val="13"/>
          <w:szCs w:val="13"/>
          <w:color w:val="auto"/>
        </w:rPr>
        <w:t>Minnesota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International Company</w:t>
      </w:r>
      <w:r>
        <w:rPr>
          <w:sz w:val="20"/>
          <w:szCs w:val="20"/>
          <w:color w:val="auto"/>
        </w:rPr>
        <w:tab/>
      </w:r>
      <w:r>
        <w:rPr>
          <w:rFonts w:ascii="Arial" w:cs="Arial" w:eastAsia="Arial" w:hAnsi="Arial"/>
          <w:sz w:val="13"/>
          <w:szCs w:val="13"/>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LLC</w:t>
      </w:r>
      <w:r>
        <w:rPr>
          <w:sz w:val="20"/>
          <w:szCs w:val="20"/>
          <w:color w:val="auto"/>
        </w:rPr>
        <w:tab/>
      </w:r>
      <w:r>
        <w:rPr>
          <w:rFonts w:ascii="Arial" w:cs="Arial" w:eastAsia="Arial" w:hAnsi="Arial"/>
          <w:sz w:val="13"/>
          <w:szCs w:val="13"/>
          <w:color w:val="auto"/>
        </w:rPr>
        <w:t>Delaware</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Luxembourg S.à.r.l.</w:t>
      </w:r>
      <w:r>
        <w:rPr>
          <w:sz w:val="20"/>
          <w:szCs w:val="20"/>
          <w:color w:val="auto"/>
        </w:rPr>
        <w:tab/>
      </w:r>
      <w:r>
        <w:rPr>
          <w:rFonts w:ascii="Arial" w:cs="Arial" w:eastAsia="Arial" w:hAnsi="Arial"/>
          <w:sz w:val="13"/>
          <w:szCs w:val="13"/>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Manufacturing and Sales, S.R.L.</w:t>
      </w:r>
      <w:r>
        <w:rPr>
          <w:sz w:val="20"/>
          <w:szCs w:val="20"/>
          <w:color w:val="auto"/>
        </w:rPr>
        <w:tab/>
      </w:r>
      <w:r>
        <w:rPr>
          <w:rFonts w:ascii="Arial" w:cs="Arial" w:eastAsia="Arial" w:hAnsi="Arial"/>
          <w:sz w:val="12"/>
          <w:szCs w:val="12"/>
          <w:color w:val="auto"/>
        </w:rPr>
        <w:t>Romania</w:t>
      </w:r>
    </w:p>
    <w:p>
      <w:pPr>
        <w:spacing w:after="0" w:line="19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Manufacturing LLC</w:t>
      </w:r>
      <w:r>
        <w:rPr>
          <w:sz w:val="20"/>
          <w:szCs w:val="20"/>
          <w:color w:val="auto"/>
        </w:rPr>
        <w:tab/>
      </w:r>
      <w:r>
        <w:rPr>
          <w:rFonts w:ascii="Arial" w:cs="Arial" w:eastAsia="Arial" w:hAnsi="Arial"/>
          <w:sz w:val="13"/>
          <w:szCs w:val="13"/>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22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4"/>
          <w:szCs w:val="14"/>
          <w:color w:val="auto"/>
        </w:rPr>
        <w:t>Toro Mexico Holdings LLC</w:t>
      </w:r>
      <w:r>
        <w:rPr>
          <w:sz w:val="20"/>
          <w:szCs w:val="20"/>
          <w:color w:val="auto"/>
        </w:rPr>
        <w:tab/>
      </w:r>
      <w:r>
        <w:rPr>
          <w:rFonts w:ascii="Arial" w:cs="Arial" w:eastAsia="Arial" w:hAnsi="Arial"/>
          <w:sz w:val="13"/>
          <w:szCs w:val="13"/>
          <w:color w:val="auto"/>
        </w:rPr>
        <w:t>Minnesota</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90%</w:t>
      </w:r>
    </w:p>
    <w:p>
      <w:pPr>
        <w:spacing w:after="0" w:line="190"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60%</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jc w:val="right"/>
        <w:ind w:right="140"/>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45%</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ectPr>
          <w:pgSz w:w="11900" w:h="16838" w:orient="portrait"/>
          <w:cols w:equalWidth="0" w:num="2">
            <w:col w:w="10040" w:space="720"/>
            <w:col w:w="480"/>
          </w:cols>
          <w:pgMar w:left="320" w:top="769" w:right="339" w:bottom="0" w:gutter="0" w:footer="0" w:header="0"/>
          <w:type w:val="continuous"/>
        </w:sectPr>
      </w:pPr>
    </w:p>
    <w:bookmarkStart w:id="109" w:name="page110"/>
    <w:bookmarkEnd w:id="109"/>
    <w:p>
      <w:pPr>
        <w:spacing w:after="0"/>
        <w:tabs>
          <w:tab w:leader="none" w:pos="4720" w:val="left"/>
        </w:tabs>
        <w:rPr>
          <w:sz w:val="20"/>
          <w:szCs w:val="20"/>
          <w:color w:val="auto"/>
        </w:rPr>
      </w:pPr>
      <w:r>
        <w:rPr>
          <w:rFonts w:ascii="Arial" w:cs="Arial" w:eastAsia="Arial" w:hAnsi="Arial"/>
          <w:sz w:val="14"/>
          <w:szCs w:val="14"/>
          <w:color w:val="auto"/>
        </w:rPr>
        <w:t>Toro Principal Manufacturing (Singapore) Pte. Limited</w:t>
      </w:r>
      <w:r>
        <w:rPr>
          <w:sz w:val="20"/>
          <w:szCs w:val="20"/>
          <w:color w:val="auto"/>
        </w:rPr>
        <w:tab/>
      </w:r>
      <w:r>
        <w:rPr>
          <w:rFonts w:ascii="Arial" w:cs="Arial" w:eastAsia="Arial" w:hAnsi="Arial"/>
          <w:sz w:val="12"/>
          <w:szCs w:val="12"/>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29845</wp:posOffset>
            </wp:positionV>
            <wp:extent cx="7132320"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17"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Purchasing Company</w:t>
      </w:r>
      <w:r>
        <w:rPr>
          <w:sz w:val="20"/>
          <w:szCs w:val="20"/>
          <w:color w:val="auto"/>
        </w:rPr>
        <w:tab/>
      </w:r>
      <w:r>
        <w:rPr>
          <w:rFonts w:ascii="Arial" w:cs="Arial" w:eastAsia="Arial" w:hAnsi="Arial"/>
          <w:sz w:val="13"/>
          <w:szCs w:val="13"/>
          <w:color w:val="auto"/>
        </w:rPr>
        <w:t>Minnesota</w:t>
      </w:r>
    </w:p>
    <w:p>
      <w:pPr>
        <w:spacing w:after="0" w:line="19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R&amp;D Company</w:t>
      </w:r>
      <w:r>
        <w:rPr>
          <w:sz w:val="20"/>
          <w:szCs w:val="20"/>
          <w:color w:val="auto"/>
        </w:rPr>
        <w:tab/>
      </w:r>
      <w:r>
        <w:rPr>
          <w:rFonts w:ascii="Arial" w:cs="Arial" w:eastAsia="Arial" w:hAnsi="Arial"/>
          <w:sz w:val="13"/>
          <w:szCs w:val="13"/>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32320"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Receivables Company</w:t>
      </w:r>
      <w:r>
        <w:rPr>
          <w:sz w:val="20"/>
          <w:szCs w:val="20"/>
          <w:color w:val="auto"/>
        </w:rPr>
        <w:tab/>
      </w:r>
      <w:r>
        <w:rPr>
          <w:rFonts w:ascii="Arial" w:cs="Arial" w:eastAsia="Arial" w:hAnsi="Arial"/>
          <w:sz w:val="13"/>
          <w:szCs w:val="13"/>
          <w:color w:val="auto"/>
        </w:rPr>
        <w:t>Delaware</w:t>
      </w:r>
    </w:p>
    <w:p>
      <w:pPr>
        <w:spacing w:after="0" w:line="19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Sales Company</w:t>
      </w:r>
      <w:r>
        <w:rPr>
          <w:sz w:val="20"/>
          <w:szCs w:val="20"/>
          <w:color w:val="auto"/>
        </w:rPr>
        <w:tab/>
      </w:r>
      <w:r>
        <w:rPr>
          <w:rFonts w:ascii="Arial" w:cs="Arial" w:eastAsia="Arial" w:hAnsi="Arial"/>
          <w:sz w:val="13"/>
          <w:szCs w:val="13"/>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32320"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Technology Center India LLP</w:t>
      </w:r>
      <w:r>
        <w:rPr>
          <w:sz w:val="20"/>
          <w:szCs w:val="20"/>
          <w:color w:val="auto"/>
        </w:rPr>
        <w:tab/>
      </w:r>
      <w:r>
        <w:rPr>
          <w:rFonts w:ascii="Arial" w:cs="Arial" w:eastAsia="Arial" w:hAnsi="Arial"/>
          <w:sz w:val="13"/>
          <w:szCs w:val="13"/>
          <w:color w:val="auto"/>
        </w:rPr>
        <w:t>India</w:t>
      </w:r>
    </w:p>
    <w:p>
      <w:pPr>
        <w:spacing w:after="0" w:line="19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U.K. Limited</w:t>
      </w:r>
      <w:r>
        <w:rPr>
          <w:sz w:val="20"/>
          <w:szCs w:val="20"/>
          <w:color w:val="auto"/>
        </w:rPr>
        <w:tab/>
      </w:r>
      <w:r>
        <w:rPr>
          <w:rFonts w:ascii="Arial" w:cs="Arial" w:eastAsia="Arial" w:hAnsi="Arial"/>
          <w:sz w:val="13"/>
          <w:szCs w:val="13"/>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3232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Toro Warranty Company</w:t>
      </w:r>
      <w:r>
        <w:rPr>
          <w:sz w:val="20"/>
          <w:szCs w:val="20"/>
          <w:color w:val="auto"/>
        </w:rPr>
        <w:tab/>
      </w:r>
      <w:r>
        <w:rPr>
          <w:rFonts w:ascii="Arial" w:cs="Arial" w:eastAsia="Arial" w:hAnsi="Arial"/>
          <w:sz w:val="13"/>
          <w:szCs w:val="13"/>
          <w:color w:val="auto"/>
        </w:rPr>
        <w:t>Minnesota</w:t>
      </w:r>
    </w:p>
    <w:p>
      <w:pPr>
        <w:spacing w:after="0" w:line="19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Tover Overseas B.V.</w:t>
      </w:r>
      <w:r>
        <w:rPr>
          <w:sz w:val="20"/>
          <w:szCs w:val="20"/>
          <w:color w:val="auto"/>
        </w:rPr>
        <w:tab/>
      </w:r>
      <w:r>
        <w:rPr>
          <w:rFonts w:ascii="Arial" w:cs="Arial" w:eastAsia="Arial" w:hAnsi="Arial"/>
          <w:sz w:val="12"/>
          <w:szCs w:val="12"/>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3232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0"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Tover Overseas I C.V.</w:t>
      </w:r>
      <w:r>
        <w:rPr>
          <w:sz w:val="20"/>
          <w:szCs w:val="20"/>
          <w:color w:val="auto"/>
        </w:rPr>
        <w:tab/>
      </w:r>
      <w:r>
        <w:rPr>
          <w:rFonts w:ascii="Arial" w:cs="Arial" w:eastAsia="Arial" w:hAnsi="Arial"/>
          <w:sz w:val="12"/>
          <w:szCs w:val="12"/>
          <w:color w:val="auto"/>
        </w:rPr>
        <w:t>Netherlands</w:t>
      </w:r>
    </w:p>
    <w:p>
      <w:pPr>
        <w:spacing w:after="0" w:line="109"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Turflynx, Unipessoal Lda</w:t>
      </w:r>
      <w:r>
        <w:rPr>
          <w:sz w:val="20"/>
          <w:szCs w:val="20"/>
          <w:color w:val="auto"/>
        </w:rPr>
        <w:tab/>
      </w:r>
      <w:r>
        <w:rPr>
          <w:rFonts w:ascii="Arial" w:cs="Arial" w:eastAsia="Arial" w:hAnsi="Arial"/>
          <w:sz w:val="13"/>
          <w:szCs w:val="13"/>
          <w:color w:val="auto"/>
        </w:rPr>
        <w:t>Portugal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29845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tabs>
          <w:tab w:leader="none" w:pos="4720" w:val="left"/>
        </w:tabs>
        <w:rPr>
          <w:sz w:val="20"/>
          <w:szCs w:val="20"/>
          <w:color w:val="auto"/>
        </w:rPr>
      </w:pPr>
      <w:r>
        <w:rPr>
          <w:rFonts w:ascii="Arial" w:cs="Arial" w:eastAsia="Arial" w:hAnsi="Arial"/>
          <w:sz w:val="14"/>
          <w:szCs w:val="14"/>
          <w:color w:val="auto"/>
        </w:rPr>
        <w:t>Venture Products, Inc.</w:t>
      </w:r>
      <w:r>
        <w:rPr>
          <w:sz w:val="20"/>
          <w:szCs w:val="20"/>
          <w:color w:val="auto"/>
        </w:rPr>
        <w:tab/>
      </w:r>
      <w:r>
        <w:rPr>
          <w:rFonts w:ascii="Arial" w:cs="Arial" w:eastAsia="Arial" w:hAnsi="Arial"/>
          <w:sz w:val="14"/>
          <w:szCs w:val="14"/>
          <w:color w:val="auto"/>
        </w:rPr>
        <w:t>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29845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100%</w:t>
      </w:r>
    </w:p>
    <w:p>
      <w:pPr>
        <w:sectPr>
          <w:pgSz w:w="11900" w:h="16838" w:orient="portrait"/>
          <w:cols w:equalWidth="0" w:num="2">
            <w:col w:w="9900" w:space="720"/>
            <w:col w:w="340"/>
          </w:cols>
          <w:pgMar w:left="460" w:top="80" w:right="4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333-47260, 333-89260, 333-119504, 033-59563, 333-11860, 333-100004, 333-87461, 333-165582, 333-204336, and 333-215251) on Form S-8 of our report dated December 17, 2021, with respect to the consolidated financial statements of The Toro Company and the effectiveness of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17, 2021</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55" w:lineRule="auto"/>
        <w:tabs>
          <w:tab w:leader="none" w:pos="129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2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1"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2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hanging="320"/>
        <w:spacing w:after="0" w:line="274" w:lineRule="auto"/>
        <w:tabs>
          <w:tab w:leader="none" w:pos="1291"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2021</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55" w:lineRule="auto"/>
        <w:tabs>
          <w:tab w:leader="none" w:pos="129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37"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1"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2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hanging="320"/>
        <w:spacing w:after="0" w:line="274" w:lineRule="auto"/>
        <w:tabs>
          <w:tab w:leader="none" w:pos="1348"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2021</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Annual Report on Form 10-K of The Toro Company (the “Company”) for the fiscal year ended October 31, 2021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17, 2021</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Renee J. Peterson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17, 2021</w:t>
      </w:r>
    </w:p>
    <w:p>
      <w:pPr>
        <w:spacing w:after="0" w:line="30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lvl w:ilvl="1">
      <w:lvlJc w:val="left"/>
      <w:lvlText w:val="(%2)"/>
      <w:numFmt w:val="lowerRoman"/>
      <w:start w:val="7"/>
    </w:lvl>
  </w:abstractNum>
  <w:abstractNum w:abstractNumId="8">
    <w:nsid w:val="2A487CB0"/>
    <w:multiLevelType w:val="hybridMultilevel"/>
    <w:lvl w:ilvl="0">
      <w:lvlJc w:val="left"/>
      <w:lvlText w:val="•"/>
      <w:numFmt w:val="bullet"/>
      <w:start w:val="1"/>
    </w:lvl>
    <w:lvl w:ilvl="1">
      <w:lvlJc w:val="left"/>
      <w:lvlText w:val="(%2)"/>
      <w:numFmt w:val="lowerRoman"/>
      <w:start w:val="1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bullet"/>
      <w:start w:val="1"/>
    </w:lvl>
  </w:abstractNum>
  <w:abstractNum w:abstractNumId="18">
    <w:nsid w:val="7644A45C"/>
    <w:multiLevelType w:val="hybridMultilevel"/>
    <w:lvl w:ilvl="0">
      <w:lvlJc w:val="left"/>
      <w:lvlText w:val="2"/>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upperLetter"/>
      <w:start w:val="54"/>
    </w:lvl>
  </w:abstractNum>
  <w:abstractNum w:abstractNumId="38">
    <w:nsid w:val="235BA861"/>
    <w:multiLevelType w:val="hybridMultilevel"/>
    <w:lvl w:ilvl="0">
      <w:lvlJc w:val="left"/>
      <w:lvlText w:val="1"/>
      <w:numFmt w:val="bullet"/>
      <w:start w:val="1"/>
    </w:lvl>
  </w:abstractNum>
  <w:abstractNum w:abstractNumId="39">
    <w:nsid w:val="47398C89"/>
    <w:multiLevelType w:val="hybridMultilevel"/>
    <w:lvl w:ilvl="0">
      <w:lvlJc w:val="left"/>
      <w:lvlText w:val="(%1)"/>
      <w:numFmt w:val="lowerRoman"/>
      <w:start w:val="1"/>
    </w:lvl>
  </w:abstractNum>
  <w:abstractNum w:abstractNumId="40">
    <w:nsid w:val="354FE9F9"/>
    <w:multiLevelType w:val="hybridMultilevel"/>
    <w:lvl w:ilvl="0">
      <w:lvlJc w:val="left"/>
      <w:lvlText w:val="2"/>
      <w:numFmt w:val="bullet"/>
      <w:start w:val="1"/>
    </w:lvl>
  </w:abstractNum>
  <w:abstractNum w:abstractNumId="41">
    <w:nsid w:val="15B5AF5C"/>
    <w:multiLevelType w:val="hybridMultilevel"/>
    <w:lvl w:ilvl="0">
      <w:lvlJc w:val="left"/>
      <w:lvlText w:val="3"/>
      <w:numFmt w:val="bullet"/>
      <w:start w:val="1"/>
    </w:lvl>
  </w:abstractNum>
  <w:abstractNum w:abstractNumId="42">
    <w:nsid w:val="741226BB"/>
    <w:multiLevelType w:val="hybridMultilevel"/>
    <w:lvl w:ilvl="0">
      <w:lvlJc w:val="left"/>
      <w:lvlText w:val="4"/>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2"/>
      <w:numFmt w:val="bullet"/>
      <w:start w:val="1"/>
    </w:lvl>
  </w:abstractNum>
  <w:abstractNum w:abstractNumId="49">
    <w:nsid w:val="579BE4F1"/>
    <w:multiLevelType w:val="hybridMultilevel"/>
    <w:lvl w:ilvl="0">
      <w:lvlJc w:val="left"/>
      <w:lvlText w:val="1"/>
      <w:numFmt w:val="bullet"/>
      <w:start w:val="1"/>
    </w:lvl>
  </w:abstractNum>
  <w:abstractNum w:abstractNumId="50">
    <w:nsid w:val="310C50B3"/>
    <w:multiLevelType w:val="hybridMultilevel"/>
    <w:lvl w:ilvl="0">
      <w:lvlJc w:val="left"/>
      <w:lvlText w:val="3"/>
      <w:numFmt w:val="bullet"/>
      <w:start w:val="1"/>
    </w:lvl>
  </w:abstractNum>
  <w:abstractNum w:abstractNumId="51">
    <w:nsid w:val="5FF87E05"/>
    <w:multiLevelType w:val="hybridMultilevel"/>
    <w:lvl w:ilvl="0">
      <w:lvlJc w:val="left"/>
      <w:lvlText w:val="4"/>
      <w:numFmt w:val="bullet"/>
      <w:start w:val="1"/>
    </w:lvl>
  </w:abstractNum>
  <w:abstractNum w:abstractNumId="52">
    <w:nsid w:val="2F305DEF"/>
    <w:multiLevelType w:val="hybridMultilevel"/>
    <w:lvl w:ilvl="0">
      <w:lvlJc w:val="left"/>
      <w:lvlText w:val="5"/>
      <w:numFmt w:val="bullet"/>
      <w:start w:val="1"/>
    </w:lvl>
  </w:abstractNum>
  <w:abstractNum w:abstractNumId="53">
    <w:nsid w:val="25A70BF7"/>
    <w:multiLevelType w:val="hybridMultilevel"/>
    <w:lvl w:ilvl="0">
      <w:lvlJc w:val="left"/>
      <w:lvlText w:val="6"/>
      <w:numFmt w:val="bullet"/>
      <w:start w:val="1"/>
    </w:lvl>
  </w:abstractNum>
  <w:abstractNum w:abstractNumId="54">
    <w:nsid w:val="1DBABF00"/>
    <w:multiLevelType w:val="hybridMultilevel"/>
    <w:lvl w:ilvl="0">
      <w:lvlJc w:val="left"/>
      <w:lvlText w:val="7"/>
      <w:numFmt w:val="bullet"/>
      <w:start w:val="1"/>
    </w:lvl>
  </w:abstractNum>
  <w:abstractNum w:abstractNumId="55">
    <w:nsid w:val="4AD084E9"/>
    <w:multiLevelType w:val="hybridMultilevel"/>
    <w:lvl w:ilvl="0">
      <w:lvlJc w:val="left"/>
      <w:lvlText w:val="8"/>
      <w:numFmt w:val="bullet"/>
      <w:start w:val="1"/>
    </w:lvl>
  </w:abstractNum>
  <w:abstractNum w:abstractNumId="56">
    <w:nsid w:val="1F48EAA1"/>
    <w:multiLevelType w:val="hybridMultilevel"/>
    <w:lvl w:ilvl="0">
      <w:lvlJc w:val="left"/>
      <w:lvlText w:val="9"/>
      <w:numFmt w:val="bullet"/>
      <w:start w:val="1"/>
    </w:lvl>
  </w:abstractNum>
  <w:abstractNum w:abstractNumId="57">
    <w:nsid w:val="1381823A"/>
    <w:multiLevelType w:val="hybridMultilevel"/>
    <w:lvl w:ilvl="0">
      <w:lvlJc w:val="left"/>
      <w:lvlText w:val="1"/>
      <w:numFmt w:val="bullet"/>
      <w:start w:val="1"/>
    </w:lvl>
  </w:abstractNum>
  <w:abstractNum w:abstractNumId="58">
    <w:nsid w:val="5DB70AE5"/>
    <w:multiLevelType w:val="hybridMultilevel"/>
    <w:lvl w:ilvl="0">
      <w:lvlJc w:val="left"/>
      <w:lvlText w:val="(%1)"/>
      <w:numFmt w:val="lowerLetter"/>
      <w:start w:val="1"/>
    </w:lvl>
    <w:lvl w:ilvl="1">
      <w:lvlJc w:val="left"/>
      <w:lvlText w:val="%2."/>
      <w:numFmt w:val="decimal"/>
      <w:start w:val="1"/>
    </w:lvl>
  </w:abstractNum>
  <w:abstractNum w:abstractNumId="59">
    <w:nsid w:val="100F8FCA"/>
    <w:multiLevelType w:val="hybridMultilevel"/>
    <w:lvl w:ilvl="0">
      <w:lvlJc w:val="left"/>
      <w:lvlText w:val="%1."/>
      <w:numFmt w:val="decimal"/>
      <w:start w:val="2"/>
    </w:lvl>
  </w:abstractNum>
  <w:abstractNum w:abstractNumId="60">
    <w:nsid w:val="6590700B"/>
    <w:multiLevelType w:val="hybridMultilevel"/>
    <w:lvl w:ilvl="0">
      <w:lvlJc w:val="left"/>
      <w:lvlText w:val="%1"/>
      <w:numFmt w:val="decimal"/>
      <w:start w:val="21"/>
    </w:lvl>
  </w:abstractNum>
  <w:abstractNum w:abstractNumId="61">
    <w:nsid w:val="15014ACB"/>
    <w:multiLevelType w:val="hybridMultilevel"/>
    <w:lvl w:ilvl="0">
      <w:lvlJc w:val="left"/>
      <w:lvlText w:val="%1"/>
      <w:numFmt w:val="decimal"/>
      <w:start w:val="32"/>
    </w:lvl>
  </w:abstractNum>
  <w:abstractNum w:abstractNumId="62">
    <w:nsid w:val="5F5E7FD0"/>
    <w:multiLevelType w:val="hybridMultilevel"/>
    <w:lvl w:ilvl="0">
      <w:lvlJc w:val="left"/>
      <w:lvlText w:val="%1"/>
      <w:numFmt w:val="decimal"/>
      <w:start w:val="101"/>
    </w:lvl>
  </w:abstractNum>
  <w:abstractNum w:abstractNumId="63">
    <w:nsid w:val="98A3148"/>
    <w:multiLevelType w:val="hybridMultilevel"/>
    <w:lvl w:ilvl="0">
      <w:lvlJc w:val="left"/>
      <w:lvlText w:val="%1"/>
      <w:numFmt w:val="decimal"/>
      <w:start w:val="1"/>
    </w:lvl>
    <w:lvl w:ilvl="1">
      <w:lvlJc w:val="left"/>
      <w:lvlText w:val="%2"/>
      <w:numFmt w:val="decimal"/>
      <w:start w:val="104"/>
    </w:lvl>
  </w:abstractNum>
  <w:abstractNum w:abstractNumId="64">
    <w:nsid w:val="799D0247"/>
    <w:multiLevelType w:val="hybridMultilevel"/>
    <w:lvl w:ilvl="0">
      <w:lvlJc w:val="left"/>
      <w:lvlText w:val="(%1)"/>
      <w:numFmt w:val="decimal"/>
      <w:start w:val="1"/>
    </w:lvl>
    <w:lvl w:ilvl="1">
      <w:lvlJc w:val="left"/>
      <w:lvlText w:val="%2"/>
      <w:numFmt w:val="decimal"/>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lowerLetter"/>
      <w:start w:val="3"/>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upperLetter"/>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2"/>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2" Type="http://schemas.openxmlformats.org/officeDocument/2006/relationships/image" Target="media/image106.png"/><Relationship Id="rId144"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113" Type="http://schemas.openxmlformats.org/officeDocument/2006/relationships/hyperlink" Target="http://www.sec.gov/Archives/edgar/data/737758/000110465909049400/a09-22980_1ex2d1.htm" TargetMode="External"/><Relationship Id="rId114" Type="http://schemas.openxmlformats.org/officeDocument/2006/relationships/hyperlink" Target="http://www.sec.gov/Archives/edgar/data/737758/000110465912042503/a12-8999_1ex2d1.htm" TargetMode="External"/><Relationship Id="rId115" Type="http://schemas.openxmlformats.org/officeDocument/2006/relationships/hyperlink" Target="http://www.sec.gov/Archives/edgar/data/737758/000110465916160429/a16-22419_1ex2d1.htm" TargetMode="External"/><Relationship Id="rId116" Type="http://schemas.openxmlformats.org/officeDocument/2006/relationships/hyperlink" Target="http://www.sec.gov/Archives/edgar/data/737758/000073775820000007/ttc1312020exhibit22.htm" TargetMode="External"/><Relationship Id="rId117" Type="http://schemas.openxmlformats.org/officeDocument/2006/relationships/hyperlink" Target="http://www.sec.gov/Archives/edgar/data/0000737758/000073775821000012/ttc04302021exhibit22.htm" TargetMode="External"/><Relationship Id="rId118" Type="http://schemas.openxmlformats.org/officeDocument/2006/relationships/hyperlink" Target="http://www.sec.gov/Archives/edgar/data/737758/000110465909049400/a09-22980_1ex2d2.htm" TargetMode="External"/><Relationship Id="rId119" Type="http://schemas.openxmlformats.org/officeDocument/2006/relationships/hyperlink" Target="http://www.sec.gov/Archives/edgar/data/737758/000104746912011370/a2212200zex-2_4.htm" TargetMode="External"/><Relationship Id="rId120" Type="http://schemas.openxmlformats.org/officeDocument/2006/relationships/hyperlink" Target="http://www.sec.gov/Archives/edgar/data/737758/000110465912042503/a12-8999_1ex2d2.htm" TargetMode="External"/><Relationship Id="rId121" Type="http://schemas.openxmlformats.org/officeDocument/2006/relationships/hyperlink" Target="http://www.sec.gov/Archives/edgar/data/737758/000110465916160429/a16-22419_1ex2d2.htm" TargetMode="External"/><Relationship Id="rId123" Type="http://schemas.openxmlformats.org/officeDocument/2006/relationships/hyperlink" Target="http://www.sec.gov/Archives/edgar/data/737758/000073775820000029/ttc-10312020xex29.htm" TargetMode="External"/><Relationship Id="rId124" Type="http://schemas.openxmlformats.org/officeDocument/2006/relationships/hyperlink" Target="http://www.sec.gov/Archives/edgar/data/737758/000073775820000007/ttc1312020exhibit23.htm" TargetMode="External"/><Relationship Id="rId125" Type="http://schemas.openxmlformats.org/officeDocument/2006/relationships/hyperlink" Target="http://www.sec.gov/Archives/edgar/data/737758/000110465909057708/a09-29565_1ex2d1.htm" TargetMode="External"/><Relationship Id="rId126" Type="http://schemas.openxmlformats.org/officeDocument/2006/relationships/hyperlink" Target="http://www.sec.gov/Archives/edgar/data/737758/000110465916160429/a16-22419_1ex2d3.htm" TargetMode="External"/><Relationship Id="rId127" Type="http://schemas.openxmlformats.org/officeDocument/2006/relationships/hyperlink" Target="http://www.sec.gov/Archives/edgar/data/737758/000073775820000007/ttc1312020exhibit24.htm" TargetMode="External"/><Relationship Id="rId128" Type="http://schemas.openxmlformats.org/officeDocument/2006/relationships/hyperlink" Target="http://www.sec.gov/Archives/edgar/data/737758/000156459019003064/ttc-ex21_6.htm" TargetMode="External"/><Relationship Id="rId129" Type="http://schemas.openxmlformats.org/officeDocument/2006/relationships/hyperlink" Target="http://www.sec.gov/Archives/edgar/data/737758/000073775808000033/form8-k06172008exhibitcert.htm" TargetMode="External"/><Relationship Id="rId130" Type="http://schemas.openxmlformats.org/officeDocument/2006/relationships/hyperlink" Target="http://www.sec.gov/Archives/edgar/data/737758/000119312513105223/d501846dex31.htm" TargetMode="External"/><Relationship Id="rId131" Type="http://schemas.openxmlformats.org/officeDocument/2006/relationships/hyperlink" Target="http://www.sec.gov/Archives/edgar/data/737758/000110465916133324/a16-15127_1ex3d1.htm" TargetMode="External"/><Relationship Id="rId132" Type="http://schemas.openxmlformats.org/officeDocument/2006/relationships/hyperlink" Target="http://www.sec.gov/Archives/edgar/data/737758/000073775808000041/stock_certificate1.htm" TargetMode="External"/><Relationship Id="rId133" Type="http://schemas.openxmlformats.org/officeDocument/2006/relationships/hyperlink" Target="http://www.sec.gov/Archives/edgar/data/737758/000110465907030051/a07-10570_1ex4d3.htm" TargetMode="External"/><Relationship Id="rId134" Type="http://schemas.openxmlformats.org/officeDocument/2006/relationships/hyperlink" Target="http://www.sec.gov/Archives/edgar/data/737758/000110465907031757/a07-10570_5ex4d1.htm" TargetMode="External"/><Relationship Id="rId135" Type="http://schemas.openxmlformats.org/officeDocument/2006/relationships/hyperlink" Target="http://www.sec.gov/Archives/edgar/data/737758/000110465907031757/a07-10570_5ex4d2.htm" TargetMode="External"/><Relationship Id="rId136" Type="http://schemas.openxmlformats.org/officeDocument/2006/relationships/hyperlink" Target="http://www.sec.gov/Archives/edgar/data/737758/000104746916017295/a2230524zex-10_1.htm" TargetMode="External"/><Relationship Id="rId137" Type="http://schemas.openxmlformats.org/officeDocument/2006/relationships/hyperlink" Target="http://www.sec.gov/Archives/edgar/data/737758/000073775819000028/ttc-10312019xex102.htm" TargetMode="External"/><Relationship Id="rId138" Type="http://schemas.openxmlformats.org/officeDocument/2006/relationships/hyperlink" Target="http://www.sec.gov/Archives/edgar/data/737758/000073775808000002/ex10_2.htm" TargetMode="External"/><Relationship Id="rId139" Type="http://schemas.openxmlformats.org/officeDocument/2006/relationships/hyperlink" Target="http://www.sec.gov/Archives/edgar/data/737758/000073775817000012/ttc-2017q1xexhibit108.htm" TargetMode="External"/><Relationship Id="rId140" Type="http://schemas.openxmlformats.org/officeDocument/2006/relationships/hyperlink" Target="http://www.sec.gov/Archives/edgar/data/737758/000073775817000012/ttc-2017q1xexhibit109.htm" TargetMode="External"/><Relationship Id="rId141" Type="http://schemas.openxmlformats.org/officeDocument/2006/relationships/hyperlink" Target="http://www.sec.gov/Archives/edgar/data/737758/000073775817000012/ttc-2017q1xexhibit1010.htm" TargetMode="External"/><Relationship Id="rId142" Type="http://schemas.openxmlformats.org/officeDocument/2006/relationships/hyperlink" Target="http://www.sec.gov/Archives/edgar/data/737758/000073775817000012/ttc-2017q1xexhibit1011.htm" TargetMode="External"/><Relationship Id="rId143" Type="http://schemas.openxmlformats.org/officeDocument/2006/relationships/hyperlink" Target="http://www.sec.gov/Archives/edgar/data/737758/000104746916017295/a2230524zex-10_11.htm" TargetMode="External"/><Relationship Id="rId145" Type="http://schemas.openxmlformats.org/officeDocument/2006/relationships/hyperlink" Target="http://www.sec.gov/Archives/edgar/data/737758/000104746916017295/a2230524zex-10_14.htm" TargetMode="External"/><Relationship Id="rId146" Type="http://schemas.openxmlformats.org/officeDocument/2006/relationships/hyperlink" Target="http://www.sec.gov/Archives/edgar/data/737758/000104746916017295/a2230524zex-10_17.htm" TargetMode="External"/><Relationship Id="rId147" Type="http://schemas.openxmlformats.org/officeDocument/2006/relationships/hyperlink" Target="http://www.sec.gov/Archives/edgar/data/737758/000104746916017295/a2230524zex-10_18.htm" TargetMode="External"/><Relationship Id="rId148" Type="http://schemas.openxmlformats.org/officeDocument/2006/relationships/hyperlink" Target="http://www.sec.gov/Archives/edgar/data/737758/000104746916017295/a2230524zex-10_19.htm" TargetMode="External"/><Relationship Id="rId149" Type="http://schemas.openxmlformats.org/officeDocument/2006/relationships/hyperlink" Target="http://www.sec.gov/Archives/edgar/data/737758/000104746916017295/a2230524zex-10_21.htm" TargetMode="External"/><Relationship Id="rId150" Type="http://schemas.openxmlformats.org/officeDocument/2006/relationships/hyperlink" Target="http://www.sec.gov/Archives/edgar/data/737758/000110465906083580/a06-25975_3ex10du.htm" TargetMode="External"/><Relationship Id="rId151" Type="http://schemas.openxmlformats.org/officeDocument/2006/relationships/hyperlink" Target="http://www.sec.gov/Archives/edgar/data/737758/000095012311004529/c62420exv10w1.htm" TargetMode="External"/><Relationship Id="rId152" Type="http://schemas.openxmlformats.org/officeDocument/2006/relationships/hyperlink" Target="http://www.sec.gov/Archives/edgar/data/737758/000119312511201885/dex101.htm" TargetMode="External"/><Relationship Id="rId153" Type="http://schemas.openxmlformats.org/officeDocument/2006/relationships/hyperlink" Target="http://www.sec.gov/Archives/edgar/data/737758/000119312515295667/d37887dex101.htm" TargetMode="External"/><Relationship Id="rId154" Type="http://schemas.openxmlformats.org/officeDocument/2006/relationships/hyperlink" Target="http://www.sec.gov/Archives/edgar/data/737758/000110465916133324/a16-15127_1ex10d1.htm" TargetMode="External"/><Relationship Id="rId155" Type="http://schemas.openxmlformats.org/officeDocument/2006/relationships/hyperlink" Target="http://www.sec.gov/Archives/edgar/data/0000737758/000156459021050239/ttc-ex101_6.htm" TargetMode="External"/><Relationship Id="rId156" Type="http://schemas.openxmlformats.org/officeDocument/2006/relationships/hyperlink" Target="http://www.sec.gov/Archives/edgar/data/737758/000110465909049400/a09-22980_1ex10d1.htm" TargetMode="External"/><Relationship Id="rId157" Type="http://schemas.openxmlformats.org/officeDocument/2006/relationships/hyperlink" Target="http://www.sec.gov/Archives/edgar/data/737758/000110465912042503/a12-8999_1ex10d1.htm" TargetMode="External"/><Relationship Id="rId158" Type="http://schemas.openxmlformats.org/officeDocument/2006/relationships/hyperlink" Target="http://www.sec.gov/Archives/edgar/data/737758/000110465916160429/a16-22419_1ex10d1.htm" TargetMode="External"/><Relationship Id="rId159" Type="http://schemas.openxmlformats.org/officeDocument/2006/relationships/hyperlink" Target="http://www.sec.gov/Archives/edgar/data/737758/000073775820000007/ttc1312020exhibit101.htm" TargetMode="External"/><Relationship Id="rId160" Type="http://schemas.openxmlformats.org/officeDocument/2006/relationships/hyperlink" Target="http://www.sec.gov/Archives/edgar/data/737758/000156459019014346/ttc-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2021-12-17T11:20:12Z</dcterms:created>
  <dcterms:modified xsi:type="dcterms:W3CDTF">2021-12-17T11:20:12Z</dcterms:modified>
</cp:coreProperties>
</file>