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NASSAU ROBERT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12/10/2010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12/10/2010</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369</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63.215</w:t>
            </w:r>
            <w:r>
              <w:rPr>
                <w:rFonts w:ascii="Arial" w:cs="Arial" w:eastAsia="Arial" w:hAnsi="Arial"/>
                <w:sz w:val="22"/>
                <w:szCs w:val="22"/>
                <w:color w:val="008000"/>
                <w:w w:val="91"/>
                <w:vertAlign w:val="superscript"/>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right"/>
              <w:ind w:right="537"/>
              <w:spacing w:after="0"/>
              <w:rPr>
                <w:sz w:val="20"/>
                <w:szCs w:val="20"/>
                <w:color w:val="auto"/>
              </w:rPr>
            </w:pPr>
            <w:r>
              <w:rPr>
                <w:rFonts w:ascii="Arial" w:cs="Arial" w:eastAsia="Arial" w:hAnsi="Arial"/>
                <w:sz w:val="18"/>
                <w:szCs w:val="18"/>
                <w:color w:val="0000FF"/>
              </w:rPr>
              <w:t>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0000FF"/>
                <w:w w:val="91"/>
              </w:rPr>
              <w:t>Common Stock Units</w:t>
            </w:r>
          </w:p>
        </w:tc>
        <w:tc>
          <w:tcPr>
            <w:tcW w:w="10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gridSpan w:val="2"/>
          </w:tcPr>
          <w:p>
            <w:pPr>
              <w:jc w:val="right"/>
              <w:ind w:right="177"/>
              <w:spacing w:after="0"/>
              <w:rPr>
                <w:sz w:val="20"/>
                <w:szCs w:val="20"/>
                <w:color w:val="auto"/>
              </w:rPr>
            </w:pPr>
            <w:r>
              <w:rPr>
                <w:rFonts w:ascii="Arial" w:cs="Arial" w:eastAsia="Arial" w:hAnsi="Arial"/>
                <w:sz w:val="18"/>
                <w:szCs w:val="18"/>
                <w:color w:val="0000FF"/>
              </w:rPr>
              <w:t>15,203.776</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7280" w:type="dxa"/>
            <w:vAlign w:val="bottom"/>
            <w:tcBorders>
              <w:bottom w:val="single" w:sz="8" w:color="2C2C2C"/>
            </w:tcBorders>
            <w:gridSpan w:val="11"/>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ind w:left="9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$63.21 to $63.22, inclusive. The reporting person undertakes to provide to The Toro Company, any security holder of The Toro Company, or the staff of the Securities and Exchange Commission, upon request, full information regarding the number of shares sold at each separate price within the range set forth in this footnote.</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12/13/2010</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3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2019-12-17T00:40:37Z</dcterms:created>
  <dcterms:modified xsi:type="dcterms:W3CDTF">2019-12-17T00:40:37Z</dcterms:modified>
</cp:coreProperties>
</file>