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Use these links to rapidly review the document</w:t>
      </w:r>
    </w:p>
    <w:p>
      <w:pPr>
        <w:spacing w:after="0" w:line="18" w:lineRule="exact"/>
        <w:rPr>
          <w:sz w:val="24"/>
          <w:szCs w:val="24"/>
          <w:color w:val="auto"/>
        </w:rPr>
      </w:pPr>
    </w:p>
    <w:p>
      <w:pPr>
        <w:spacing w:after="0"/>
        <w:rPr>
          <w:rFonts w:ascii="Times New Roman" w:cs="Times New Roman" w:eastAsia="Times New Roman" w:hAnsi="Times New Roman"/>
          <w:sz w:val="20"/>
          <w:szCs w:val="20"/>
          <w:u w:val="single" w:color="auto"/>
          <w:color w:val="0000EE"/>
        </w:rPr>
      </w:pPr>
      <w:hyperlink w:anchor="page2">
        <w:r>
          <w:rPr>
            <w:rFonts w:ascii="Times New Roman" w:cs="Times New Roman" w:eastAsia="Times New Roman" w:hAnsi="Times New Roman"/>
            <w:sz w:val="20"/>
            <w:szCs w:val="20"/>
            <w:u w:val="single" w:color="auto"/>
            <w:color w:val="0000EE"/>
          </w:rPr>
          <w:t>TABLE OF CONTENTS</w:t>
        </w:r>
      </w:hyperlink>
    </w:p>
    <w:p>
      <w:pPr>
        <w:spacing w:after="0" w:line="18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11" w:lineRule="exact"/>
        <w:rPr>
          <w:sz w:val="24"/>
          <w:szCs w:val="24"/>
          <w:color w:val="auto"/>
        </w:rPr>
      </w:pPr>
    </w:p>
    <w:p>
      <w:pPr>
        <w:ind w:left="4040" w:right="2240" w:hanging="1801"/>
        <w:spacing w:after="0" w:line="321" w:lineRule="auto"/>
        <w:tabs>
          <w:tab w:leader="none" w:pos="256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October 31, 2013</w:t>
      </w:r>
    </w:p>
    <w:p>
      <w:pPr>
        <w:spacing w:after="0" w:line="97" w:lineRule="exact"/>
        <w:rPr>
          <w:sz w:val="24"/>
          <w:szCs w:val="24"/>
          <w:color w:val="auto"/>
        </w:rPr>
      </w:pPr>
    </w:p>
    <w:p>
      <w:pPr>
        <w:ind w:left="2560" w:hanging="267"/>
        <w:spacing w:after="0"/>
        <w:tabs>
          <w:tab w:leader="none" w:pos="2560" w:val="left"/>
        </w:tabs>
        <w:numPr>
          <w:ilvl w:val="0"/>
          <w:numId w:val="2"/>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8" w:lineRule="exact"/>
        <w:rPr>
          <w:sz w:val="24"/>
          <w:szCs w:val="24"/>
          <w:color w:val="auto"/>
        </w:rPr>
      </w:pPr>
    </w:p>
    <w:p>
      <w:pPr>
        <w:ind w:left="4060"/>
        <w:spacing w:after="0"/>
        <w:tabs>
          <w:tab w:leader="none" w:pos="6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641" w:right="239" w:bottom="978" w:gutter="0" w:footer="0" w:header="0"/>
        </w:sectPr>
      </w:pPr>
    </w:p>
    <w:p>
      <w:pPr>
        <w:spacing w:after="0" w:line="188" w:lineRule="exact"/>
        <w:rPr>
          <w:sz w:val="24"/>
          <w:szCs w:val="24"/>
          <w:color w:val="auto"/>
        </w:rPr>
      </w:pPr>
    </w:p>
    <w:p>
      <w:pPr>
        <w:ind w:left="32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020"/>
        <w:spacing w:after="0"/>
        <w:rPr>
          <w:sz w:val="20"/>
          <w:szCs w:val="20"/>
          <w:color w:val="auto"/>
        </w:rPr>
      </w:pPr>
      <w:r>
        <w:rPr>
          <w:rFonts w:ascii="Arial" w:cs="Arial" w:eastAsia="Arial" w:hAnsi="Arial"/>
          <w:sz w:val="13"/>
          <w:szCs w:val="13"/>
          <w:b w:val="1"/>
          <w:bCs w:val="1"/>
          <w:color w:val="auto"/>
        </w:rPr>
        <w:t>1-8649</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41-0580470</w:t>
      </w:r>
    </w:p>
    <w:p>
      <w:pPr>
        <w:spacing w:after="0" w:line="33" w:lineRule="exact"/>
        <w:rPr>
          <w:sz w:val="24"/>
          <w:szCs w:val="24"/>
          <w:color w:val="auto"/>
        </w:rPr>
      </w:pPr>
    </w:p>
    <w:p>
      <w:pPr>
        <w:sectPr>
          <w:pgSz w:w="11900" w:h="16838" w:orient="portrait"/>
          <w:cols w:equalWidth="0" w:num="3">
            <w:col w:w="5920" w:space="720"/>
            <w:col w:w="2440" w:space="720"/>
            <w:col w:w="1620"/>
          </w:cols>
          <w:pgMar w:left="240" w:top="641" w:right="239" w:bottom="978" w:gutter="0" w:footer="0" w:header="0"/>
          <w:type w:val="continuous"/>
        </w:sectPr>
      </w:pPr>
    </w:p>
    <w:p>
      <w:pPr>
        <w:ind w:left="28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165" w:lineRule="exact"/>
        <w:rPr>
          <w:sz w:val="24"/>
          <w:szCs w:val="24"/>
          <w:color w:val="auto"/>
        </w:rPr>
      </w:pPr>
    </w:p>
    <w:p>
      <w:pPr>
        <w:sectPr>
          <w:pgSz w:w="11900" w:h="16838" w:orient="portrait"/>
          <w:cols w:equalWidth="0" w:num="3">
            <w:col w:w="5340" w:space="720"/>
            <w:col w:w="2200" w:space="720"/>
            <w:col w:w="2440"/>
          </w:cols>
          <w:pgMar w:left="240" w:top="641" w:right="239" w:bottom="978"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8111 Lyndale Avenue South</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Bloomington, Minnesota 55420-1196</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Telephone number: (952) 888-8801</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2820035</wp:posOffset>
            </wp:positionH>
            <wp:positionV relativeFrom="paragraph">
              <wp:posOffset>140970</wp:posOffset>
            </wp:positionV>
            <wp:extent cx="1616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67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4340" w:type="dxa"/>
            <w:vAlign w:val="bottom"/>
            <w:gridSpan w:val="3"/>
          </w:tcPr>
          <w:p>
            <w:pPr>
              <w:ind w:left="7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2"/>
        </w:trPr>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w:t>
            </w:r>
          </w:p>
        </w:tc>
        <w:tc>
          <w:tcPr>
            <w:tcW w:w="2660" w:type="dxa"/>
            <w:vAlign w:val="bottom"/>
          </w:tcPr>
          <w:p>
            <w:pPr>
              <w:spacing w:after="0"/>
              <w:rPr>
                <w:sz w:val="20"/>
                <w:szCs w:val="20"/>
                <w:color w:val="auto"/>
              </w:rPr>
            </w:pPr>
            <w:r>
              <w:rPr>
                <w:rFonts w:ascii="Arial" w:cs="Arial" w:eastAsia="Arial" w:hAnsi="Arial"/>
                <w:sz w:val="16"/>
                <w:szCs w:val="16"/>
                <w:color w:val="auto"/>
              </w:rPr>
              <w:t>par value $1.00 per share</w:t>
            </w:r>
          </w:p>
        </w:tc>
        <w:tc>
          <w:tcPr>
            <w:tcW w:w="780" w:type="dxa"/>
            <w:vAlign w:val="bottom"/>
          </w:tcPr>
          <w:p>
            <w:pPr>
              <w:spacing w:after="0"/>
              <w:rPr>
                <w:sz w:val="18"/>
                <w:szCs w:val="18"/>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New York Stock Exchange</w:t>
            </w:r>
          </w:p>
        </w:tc>
        <w:tc>
          <w:tcPr>
            <w:tcW w:w="560" w:type="dxa"/>
            <w:vAlign w:val="bottom"/>
          </w:tcPr>
          <w:p>
            <w:pPr>
              <w:spacing w:after="0"/>
              <w:rPr>
                <w:sz w:val="18"/>
                <w:szCs w:val="18"/>
                <w:color w:val="auto"/>
              </w:rPr>
            </w:pPr>
          </w:p>
        </w:tc>
      </w:tr>
    </w:tbl>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163" w:lineRule="exact"/>
        <w:rPr>
          <w:sz w:val="24"/>
          <w:szCs w:val="24"/>
          <w:color w:val="auto"/>
        </w:rPr>
      </w:pPr>
    </w:p>
    <w:p>
      <w:pPr>
        <w:spacing w:after="0" w:line="18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17" w:lineRule="exact"/>
        <w:rPr>
          <w:sz w:val="24"/>
          <w:szCs w:val="24"/>
          <w:color w:val="auto"/>
        </w:rPr>
      </w:pPr>
    </w:p>
    <w:p>
      <w:pPr>
        <w:spacing w:after="0" w:line="185"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jc w:val="both"/>
        <w:ind w:right="80"/>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170"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170" w:lineRule="exact"/>
        <w:rPr>
          <w:sz w:val="24"/>
          <w:szCs w:val="24"/>
          <w:color w:val="auto"/>
        </w:rPr>
      </w:pPr>
    </w:p>
    <w:p>
      <w:pPr>
        <w:jc w:val="both"/>
        <w:ind w:right="120"/>
        <w:spacing w:after="0" w:line="268"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6"/>
          <w:szCs w:val="16"/>
          <w:color w:val="auto"/>
        </w:rPr>
        <w:t>o</w:t>
      </w:r>
    </w:p>
    <w:p>
      <w:pPr>
        <w:spacing w:after="0" w:line="161" w:lineRule="exact"/>
        <w:rPr>
          <w:sz w:val="24"/>
          <w:szCs w:val="24"/>
          <w:color w:val="auto"/>
        </w:rPr>
      </w:pPr>
    </w:p>
    <w:p>
      <w:pPr>
        <w:jc w:val="both"/>
        <w:ind w:right="10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41" w:right="239" w:bottom="978" w:gutter="0" w:footer="0" w:header="0"/>
          <w:type w:val="continuous"/>
        </w:sectPr>
      </w:pPr>
    </w:p>
    <w:p>
      <w:pPr>
        <w:spacing w:after="0" w:line="131" w:lineRule="exact"/>
        <w:rPr>
          <w:sz w:val="24"/>
          <w:szCs w:val="24"/>
          <w:color w:val="auto"/>
        </w:rPr>
      </w:pPr>
    </w:p>
    <w:p>
      <w:pPr>
        <w:ind w:left="1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Smaller reporting company</w:t>
      </w:r>
    </w:p>
    <w:p>
      <w:pPr>
        <w:spacing w:after="0" w:line="36" w:lineRule="exact"/>
        <w:rPr>
          <w:sz w:val="24"/>
          <w:szCs w:val="24"/>
          <w:color w:val="auto"/>
        </w:rPr>
      </w:pPr>
    </w:p>
    <w:p>
      <w:pPr>
        <w:sectPr>
          <w:pgSz w:w="11900" w:h="16838" w:orient="portrait"/>
          <w:cols w:equalWidth="0" w:num="4">
            <w:col w:w="3080" w:space="720"/>
            <w:col w:w="1420" w:space="720"/>
            <w:col w:w="1760" w:space="720"/>
            <w:col w:w="3000"/>
          </w:cols>
          <w:pgMar w:left="240" w:top="641" w:right="239" w:bottom="978" w:gutter="0" w:footer="0" w:header="0"/>
          <w:type w:val="continuous"/>
        </w:sectPr>
      </w:pPr>
    </w:p>
    <w:p>
      <w:pPr>
        <w:ind w:left="1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164" w:lineRule="exact"/>
        <w:rPr>
          <w:sz w:val="24"/>
          <w:szCs w:val="24"/>
          <w:color w:val="auto"/>
        </w:rPr>
      </w:pPr>
    </w:p>
    <w:p>
      <w:pPr>
        <w:sectPr>
          <w:pgSz w:w="11900" w:h="16838" w:orient="portrait"/>
          <w:cols w:equalWidth="0" w:num="4">
            <w:col w:w="3640" w:space="720"/>
            <w:col w:w="1580" w:space="720"/>
            <w:col w:w="1960" w:space="720"/>
            <w:col w:w="2080"/>
          </w:cols>
          <w:pgMar w:left="240" w:top="641" w:right="239" w:bottom="978" w:gutter="0" w:footer="0" w:header="0"/>
          <w:type w:val="continuous"/>
        </w:sectPr>
      </w:pPr>
    </w:p>
    <w:p>
      <w:pPr>
        <w:spacing w:after="0" w:line="18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ind w:right="340"/>
        <w:spacing w:after="0" w:line="268"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common stock on May 3, 2013, the last business day of the registrant's most recently completed second fiscal quarter, as reported by the New York Stock Exchange, was approximately $2.6 billion.</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December 12, 2013 was 56,808,317.</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7" w:lineRule="exact"/>
        <w:rPr>
          <w:sz w:val="24"/>
          <w:szCs w:val="24"/>
          <w:color w:val="auto"/>
        </w:rPr>
      </w:pPr>
    </w:p>
    <w:p>
      <w:pPr>
        <w:ind w:right="160"/>
        <w:spacing w:after="0" w:line="291" w:lineRule="auto"/>
        <w:rPr>
          <w:sz w:val="20"/>
          <w:szCs w:val="20"/>
          <w:color w:val="auto"/>
        </w:rPr>
      </w:pPr>
      <w:r>
        <w:rPr>
          <w:rFonts w:ascii="Arial" w:cs="Arial" w:eastAsia="Arial" w:hAnsi="Arial"/>
          <w:sz w:val="16"/>
          <w:szCs w:val="16"/>
          <w:color w:val="auto"/>
        </w:rPr>
        <w:t>Portions of the registrant's Proxy Statement for the 2014 Annual Meeting of Shareholders expected to be held March 18, 2014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26122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641" w:right="239" w:bottom="978"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83" w:lineRule="exact"/>
        <w:rPr>
          <w:sz w:val="20"/>
          <w:szCs w:val="20"/>
          <w:color w:val="auto"/>
        </w:rPr>
      </w:pPr>
    </w:p>
    <w:p>
      <w:pPr>
        <w:jc w:val="both"/>
        <w:ind w:left="2200"/>
        <w:spacing w:after="0"/>
        <w:tabs>
          <w:tab w:leader="none" w:pos="92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30480</wp:posOffset>
            </wp:positionV>
            <wp:extent cx="579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882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26" w:lineRule="exact"/>
        <w:rPr>
          <w:sz w:val="20"/>
          <w:szCs w:val="20"/>
          <w:color w:val="auto"/>
        </w:rPr>
      </w:pPr>
    </w:p>
    <w:p>
      <w:pPr>
        <w:ind w:left="1140"/>
        <w:spacing w:after="0"/>
        <w:rPr>
          <w:rFonts w:ascii="Arial" w:cs="Arial" w:eastAsia="Arial" w:hAnsi="Arial"/>
          <w:sz w:val="23"/>
          <w:szCs w:val="23"/>
          <w:b w:val="1"/>
          <w:bCs w:val="1"/>
          <w:u w:val="single" w:color="auto"/>
          <w:color w:val="0000EE"/>
        </w:rPr>
      </w:pPr>
      <w:hyperlink w:anchor="page3">
        <w:r>
          <w:rPr>
            <w:rFonts w:ascii="Arial" w:cs="Arial" w:eastAsia="Arial" w:hAnsi="Arial"/>
            <w:sz w:val="23"/>
            <w:szCs w:val="23"/>
            <w:b w:val="1"/>
            <w:bCs w:val="1"/>
            <w:u w:val="single" w:color="auto"/>
            <w:color w:val="0000EE"/>
          </w:rPr>
          <w:t>PART I</w:t>
        </w:r>
      </w:hyperlink>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1060" w:type="dxa"/>
            <w:vAlign w:val="bottom"/>
            <w:gridSpan w:val="4"/>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ITEM 1.</w:t>
              </w:r>
            </w:hyperlink>
          </w:p>
        </w:tc>
        <w:tc>
          <w:tcPr>
            <w:tcW w:w="660" w:type="dxa"/>
            <w:vAlign w:val="bottom"/>
            <w:tcBorders>
              <w:bottom w:val="single" w:sz="8" w:color="0000EE"/>
            </w:tcBorders>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Business</w:t>
              </w:r>
            </w:hyperlink>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60" w:type="dxa"/>
            <w:vAlign w:val="bottom"/>
            <w:gridSpan w:val="4"/>
          </w:tcPr>
          <w:p>
            <w:pPr>
              <w:spacing w:after="0" w:line="166" w:lineRule="exact"/>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ITEM 1A.</w:t>
              </w:r>
            </w:hyperlink>
          </w:p>
        </w:tc>
        <w:tc>
          <w:tcPr>
            <w:tcW w:w="900" w:type="dxa"/>
            <w:vAlign w:val="bottom"/>
            <w:tcBorders>
              <w:bottom w:val="single" w:sz="8" w:color="0000EE"/>
            </w:tcBorders>
            <w:gridSpan w:val="3"/>
          </w:tcPr>
          <w:p>
            <w:pPr>
              <w:spacing w:after="0" w:line="166" w:lineRule="exact"/>
              <w:rPr>
                <w:rFonts w:ascii="Arial" w:cs="Arial" w:eastAsia="Arial" w:hAnsi="Arial"/>
                <w:sz w:val="16"/>
                <w:szCs w:val="16"/>
                <w:color w:val="0000EE"/>
                <w:w w:val="98"/>
              </w:rPr>
            </w:pPr>
            <w:hyperlink w:anchor="page11">
              <w:r>
                <w:rPr>
                  <w:rFonts w:ascii="Arial" w:cs="Arial" w:eastAsia="Arial" w:hAnsi="Arial"/>
                  <w:sz w:val="16"/>
                  <w:szCs w:val="16"/>
                  <w:color w:val="0000EE"/>
                  <w:w w:val="98"/>
                </w:rPr>
                <w:t>Risk Factors</w:t>
              </w:r>
            </w:hyperlink>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4"/>
          </w:tcPr>
          <w:p>
            <w:pPr>
              <w:spacing w:after="0"/>
              <w:rPr>
                <w:sz w:val="20"/>
                <w:szCs w:val="20"/>
                <w:color w:val="auto"/>
              </w:rPr>
            </w:pPr>
            <w:r>
              <w:rPr>
                <w:rFonts w:ascii="Arial" w:cs="Arial" w:eastAsia="Arial" w:hAnsi="Arial"/>
                <w:sz w:val="20"/>
                <w:szCs w:val="20"/>
                <w:b w:val="1"/>
                <w:bCs w:val="1"/>
                <w:color w:val="0000EE"/>
              </w:rPr>
              <w:t>ITEM 1B.</w:t>
            </w:r>
          </w:p>
        </w:tc>
        <w:tc>
          <w:tcPr>
            <w:tcW w:w="2040" w:type="dxa"/>
            <w:vAlign w:val="bottom"/>
            <w:tcBorders>
              <w:bottom w:val="single" w:sz="8" w:color="0000EE"/>
            </w:tcBorders>
            <w:gridSpan w:val="6"/>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Unresolved Staff Comments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tcBorders>
              <w:top w:val="single" w:sz="8" w:color="0000EE"/>
              <w:bottom w:val="single" w:sz="8" w:color="0000EE"/>
            </w:tcBorders>
            <w:gridSpan w:val="2"/>
          </w:tcPr>
          <w:p>
            <w:pPr>
              <w:spacing w:after="0" w:line="166" w:lineRule="exact"/>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ITEM 2.</w:t>
              </w:r>
            </w:hyperlink>
          </w:p>
        </w:tc>
        <w:tc>
          <w:tcPr>
            <w:tcW w:w="200" w:type="dxa"/>
            <w:vAlign w:val="bottom"/>
            <w:gridSpan w:val="2"/>
          </w:tcPr>
          <w:p>
            <w:pPr>
              <w:spacing w:after="0"/>
              <w:rPr>
                <w:sz w:val="14"/>
                <w:szCs w:val="14"/>
                <w:color w:val="auto"/>
              </w:rPr>
            </w:pPr>
          </w:p>
        </w:tc>
        <w:tc>
          <w:tcPr>
            <w:tcW w:w="740" w:type="dxa"/>
            <w:vAlign w:val="bottom"/>
            <w:tcBorders>
              <w:bottom w:val="single" w:sz="8" w:color="0000EE"/>
            </w:tcBorders>
            <w:gridSpan w:val="2"/>
          </w:tcPr>
          <w:p>
            <w:pPr>
              <w:spacing w:after="0" w:line="166" w:lineRule="exact"/>
              <w:rPr>
                <w:rFonts w:ascii="Arial" w:cs="Arial" w:eastAsia="Arial" w:hAnsi="Arial"/>
                <w:sz w:val="16"/>
                <w:szCs w:val="16"/>
                <w:color w:val="0000EE"/>
                <w:w w:val="98"/>
              </w:rPr>
            </w:pPr>
            <w:hyperlink w:anchor="page22">
              <w:r>
                <w:rPr>
                  <w:rFonts w:ascii="Arial" w:cs="Arial" w:eastAsia="Arial" w:hAnsi="Arial"/>
                  <w:sz w:val="16"/>
                  <w:szCs w:val="16"/>
                  <w:color w:val="0000EE"/>
                  <w:w w:val="98"/>
                </w:rPr>
                <w:t>Properties</w:t>
              </w:r>
            </w:hyperlink>
          </w:p>
        </w:tc>
        <w:tc>
          <w:tcPr>
            <w:tcW w:w="6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Pr>
          <w:p>
            <w:pPr>
              <w:spacing w:after="0" w:line="166" w:lineRule="exact"/>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ITEM 3.</w:t>
              </w:r>
            </w:hyperlink>
          </w:p>
        </w:tc>
        <w:tc>
          <w:tcPr>
            <w:tcW w:w="340" w:type="dxa"/>
            <w:vAlign w:val="bottom"/>
            <w:gridSpan w:val="3"/>
          </w:tcPr>
          <w:p>
            <w:pPr>
              <w:spacing w:after="0"/>
              <w:rPr>
                <w:sz w:val="14"/>
                <w:szCs w:val="14"/>
                <w:color w:val="auto"/>
              </w:rPr>
            </w:pPr>
          </w:p>
        </w:tc>
        <w:tc>
          <w:tcPr>
            <w:tcW w:w="1360" w:type="dxa"/>
            <w:vAlign w:val="bottom"/>
            <w:tcBorders>
              <w:bottom w:val="single" w:sz="8" w:color="0000EE"/>
            </w:tcBorders>
            <w:gridSpan w:val="4"/>
          </w:tcPr>
          <w:p>
            <w:pPr>
              <w:spacing w:after="0" w:line="166" w:lineRule="exact"/>
              <w:rPr>
                <w:rFonts w:ascii="Arial" w:cs="Arial" w:eastAsia="Arial" w:hAnsi="Arial"/>
                <w:sz w:val="16"/>
                <w:szCs w:val="16"/>
                <w:color w:val="0000EE"/>
              </w:rPr>
            </w:pPr>
            <w:hyperlink w:anchor="page22">
              <w:r>
                <w:rPr>
                  <w:rFonts w:ascii="Arial" w:cs="Arial" w:eastAsia="Arial" w:hAnsi="Arial"/>
                  <w:sz w:val="16"/>
                  <w:szCs w:val="16"/>
                  <w:color w:val="0000EE"/>
                </w:rPr>
                <w:t>Legal Proceedings</w:t>
              </w:r>
            </w:hyperlink>
          </w:p>
        </w:tc>
        <w:tc>
          <w:tcPr>
            <w:tcW w:w="40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Pr>
          <w:p>
            <w:pPr>
              <w:spacing w:after="0" w:line="166" w:lineRule="exact"/>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ITEM 4.</w:t>
              </w:r>
            </w:hyperlink>
          </w:p>
        </w:tc>
        <w:tc>
          <w:tcPr>
            <w:tcW w:w="340" w:type="dxa"/>
            <w:vAlign w:val="bottom"/>
            <w:gridSpan w:val="3"/>
          </w:tcPr>
          <w:p>
            <w:pPr>
              <w:spacing w:after="0"/>
              <w:rPr>
                <w:sz w:val="14"/>
                <w:szCs w:val="14"/>
                <w:color w:val="auto"/>
              </w:rPr>
            </w:pPr>
          </w:p>
        </w:tc>
        <w:tc>
          <w:tcPr>
            <w:tcW w:w="1760" w:type="dxa"/>
            <w:vAlign w:val="bottom"/>
            <w:tcBorders>
              <w:bottom w:val="single" w:sz="8" w:color="0000EE"/>
            </w:tcBorders>
            <w:gridSpan w:val="5"/>
          </w:tcPr>
          <w:p>
            <w:pPr>
              <w:spacing w:after="0" w:line="166" w:lineRule="exact"/>
              <w:rPr>
                <w:rFonts w:ascii="Arial" w:cs="Arial" w:eastAsia="Arial" w:hAnsi="Arial"/>
                <w:sz w:val="16"/>
                <w:szCs w:val="16"/>
                <w:color w:val="0000EE"/>
              </w:rPr>
            </w:pPr>
            <w:hyperlink w:anchor="page22">
              <w:r>
                <w:rPr>
                  <w:rFonts w:ascii="Arial" w:cs="Arial" w:eastAsia="Arial" w:hAnsi="Arial"/>
                  <w:sz w:val="16"/>
                  <w:szCs w:val="16"/>
                  <w:color w:val="0000EE"/>
                </w:rPr>
                <w:t>Mine Safety Disclosures</w:t>
              </w:r>
            </w:hyperlink>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7"/>
            <w:vMerge w:val="restart"/>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Executive Officers of the Registrant</w:t>
              </w:r>
            </w:hyperlink>
          </w:p>
        </w:tc>
        <w:tc>
          <w:tcPr>
            <w:tcW w:w="0" w:type="dxa"/>
            <w:vAlign w:val="bottom"/>
          </w:tcPr>
          <w:p>
            <w:pPr>
              <w:spacing w:after="0" w:line="20" w:lineRule="exact"/>
              <w:rPr>
                <w:sz w:val="1"/>
                <w:szCs w:val="1"/>
                <w:color w:val="auto"/>
              </w:rPr>
            </w:pPr>
          </w:p>
        </w:tc>
      </w:tr>
      <w:tr>
        <w:trPr>
          <w:trHeight w:val="17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Borders>
              <w:bottom w:val="single" w:sz="8" w:color="0000EE"/>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40"/>
        <w:spacing w:after="0"/>
        <w:rPr>
          <w:rFonts w:ascii="Arial" w:cs="Arial" w:eastAsia="Arial" w:hAnsi="Arial"/>
          <w:sz w:val="23"/>
          <w:szCs w:val="23"/>
          <w:b w:val="1"/>
          <w:bCs w:val="1"/>
          <w:u w:val="single" w:color="auto"/>
          <w:color w:val="0000EE"/>
        </w:rPr>
      </w:pPr>
      <w:hyperlink w:anchor="page24">
        <w:r>
          <w:rPr>
            <w:rFonts w:ascii="Arial" w:cs="Arial" w:eastAsia="Arial" w:hAnsi="Arial"/>
            <w:sz w:val="23"/>
            <w:szCs w:val="23"/>
            <w:b w:val="1"/>
            <w:bCs w:val="1"/>
            <w:u w:val="single" w:color="auto"/>
            <w:color w:val="0000EE"/>
          </w:rPr>
          <w:t>PART II</w:t>
        </w:r>
      </w:hyperlink>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1060" w:type="dxa"/>
            <w:vAlign w:val="bottom"/>
            <w:gridSpan w:val="3"/>
          </w:tcPr>
          <w:p>
            <w:pPr>
              <w:spacing w:after="0"/>
              <w:rPr>
                <w:rFonts w:ascii="Arial" w:cs="Arial" w:eastAsia="Arial" w:hAnsi="Arial"/>
                <w:sz w:val="20"/>
                <w:szCs w:val="20"/>
                <w:b w:val="1"/>
                <w:bCs w:val="1"/>
                <w:color w:val="0000EE"/>
              </w:rPr>
            </w:pPr>
            <w:hyperlink w:anchor="page24">
              <w:r>
                <w:rPr>
                  <w:rFonts w:ascii="Arial" w:cs="Arial" w:eastAsia="Arial" w:hAnsi="Arial"/>
                  <w:sz w:val="20"/>
                  <w:szCs w:val="20"/>
                  <w:b w:val="1"/>
                  <w:bCs w:val="1"/>
                  <w:color w:val="0000EE"/>
                </w:rPr>
                <w:t>ITEM 5.</w:t>
              </w:r>
            </w:hyperlink>
          </w:p>
        </w:tc>
        <w:tc>
          <w:tcPr>
            <w:tcW w:w="7320" w:type="dxa"/>
            <w:vAlign w:val="bottom"/>
            <w:tcBorders>
              <w:bottom w:val="single" w:sz="8" w:color="0000EE"/>
            </w:tcBorders>
            <w:gridSpan w:val="20"/>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Market for Registrant's Common Equity, Related Stockholder Matters, and Issuer Purchases of Equity</w:t>
              </w:r>
            </w:hyperlink>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80" w:type="dxa"/>
            <w:vAlign w:val="bottom"/>
            <w:gridSpan w:val="21"/>
            <w:vMerge w:val="restart"/>
          </w:tcPr>
          <w:p>
            <w:pPr>
              <w:spacing w:after="0" w:line="168" w:lineRule="exact"/>
              <w:rPr>
                <w:rFonts w:ascii="Arial" w:cs="Arial" w:eastAsia="Arial" w:hAnsi="Arial"/>
                <w:sz w:val="16"/>
                <w:szCs w:val="16"/>
                <w:color w:val="0000EE"/>
              </w:rPr>
            </w:pPr>
            <w:hyperlink w:anchor="page24">
              <w:r>
                <w:rPr>
                  <w:rFonts w:ascii="Arial" w:cs="Arial" w:eastAsia="Arial" w:hAnsi="Arial"/>
                  <w:sz w:val="16"/>
                  <w:szCs w:val="16"/>
                  <w:color w:val="0000EE"/>
                </w:rPr>
                <w:t>Securities</w:t>
              </w:r>
            </w:hyperlink>
          </w:p>
        </w:tc>
        <w:tc>
          <w:tcPr>
            <w:tcW w:w="0" w:type="dxa"/>
            <w:vAlign w:val="bottom"/>
          </w:tcPr>
          <w:p>
            <w:pPr>
              <w:spacing w:after="0" w:line="20" w:lineRule="exact"/>
              <w:rPr>
                <w:sz w:val="1"/>
                <w:szCs w:val="1"/>
                <w:color w:val="auto"/>
              </w:rPr>
            </w:pPr>
          </w:p>
        </w:tc>
      </w:tr>
      <w:tr>
        <w:trPr>
          <w:trHeight w:val="128"/>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7280" w:type="dxa"/>
            <w:vAlign w:val="bottom"/>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60" w:type="dxa"/>
            <w:vAlign w:val="bottom"/>
            <w:gridSpan w:val="3"/>
            <w:vMerge w:val="restart"/>
          </w:tcPr>
          <w:p>
            <w:pPr>
              <w:spacing w:after="0"/>
              <w:rPr>
                <w:sz w:val="20"/>
                <w:szCs w:val="20"/>
                <w:color w:val="auto"/>
              </w:rPr>
            </w:pPr>
            <w:r>
              <w:rPr>
                <w:rFonts w:ascii="Arial" w:cs="Arial" w:eastAsia="Arial" w:hAnsi="Arial"/>
                <w:sz w:val="20"/>
                <w:szCs w:val="20"/>
                <w:b w:val="1"/>
                <w:bCs w:val="1"/>
                <w:color w:val="0000EE"/>
              </w:rPr>
              <w:t>ITEM 6.</w:t>
            </w:r>
          </w:p>
        </w:tc>
        <w:tc>
          <w:tcPr>
            <w:tcW w:w="5000" w:type="dxa"/>
            <w:vAlign w:val="bottom"/>
            <w:tcBorders>
              <w:bottom w:val="single" w:sz="8" w:color="0000EE"/>
            </w:tcBorders>
            <w:gridSpan w:val="15"/>
          </w:tcPr>
          <w:p>
            <w:pPr>
              <w:spacing w:after="0" w:line="168" w:lineRule="exact"/>
              <w:rPr>
                <w:rFonts w:ascii="Arial" w:cs="Arial" w:eastAsia="Arial" w:hAnsi="Arial"/>
                <w:sz w:val="16"/>
                <w:szCs w:val="16"/>
                <w:color w:val="0000EE"/>
              </w:rPr>
            </w:pPr>
            <w:hyperlink w:anchor="page25">
              <w:r>
                <w:rPr>
                  <w:rFonts w:ascii="Arial" w:cs="Arial" w:eastAsia="Arial" w:hAnsi="Arial"/>
                  <w:sz w:val="16"/>
                  <w:szCs w:val="16"/>
                  <w:color w:val="0000EE"/>
                </w:rPr>
                <w:t>The Toro Company Common Stock Comparative Performance Graph</w:t>
              </w:r>
            </w:hyperlink>
          </w:p>
        </w:tc>
        <w:tc>
          <w:tcPr>
            <w:tcW w:w="24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gridSpan w:val="3"/>
            <w:vMerge w:val="continue"/>
          </w:tcPr>
          <w:p>
            <w:pPr>
              <w:spacing w:after="0"/>
              <w:rPr>
                <w:sz w:val="17"/>
                <w:szCs w:val="17"/>
                <w:color w:val="auto"/>
              </w:rPr>
            </w:pPr>
          </w:p>
        </w:tc>
        <w:tc>
          <w:tcPr>
            <w:tcW w:w="1720" w:type="dxa"/>
            <w:vAlign w:val="bottom"/>
            <w:tcBorders>
              <w:bottom w:val="single" w:sz="8" w:color="0000EE"/>
            </w:tcBorders>
            <w:gridSpan w:val="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Selected Financial Data</w:t>
              </w:r>
            </w:hyperlink>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Borders>
              <w:top w:val="single" w:sz="8" w:color="0000EE"/>
              <w:bottom w:val="single" w:sz="8" w:color="0000EE"/>
            </w:tcBorders>
          </w:tcPr>
          <w:p>
            <w:pPr>
              <w:spacing w:after="0" w:line="166" w:lineRule="exact"/>
              <w:rPr>
                <w:rFonts w:ascii="Arial" w:cs="Arial" w:eastAsia="Arial" w:hAnsi="Arial"/>
                <w:sz w:val="19"/>
                <w:szCs w:val="19"/>
                <w:b w:val="1"/>
                <w:bCs w:val="1"/>
                <w:color w:val="0000EE"/>
              </w:rPr>
            </w:pPr>
            <w:hyperlink w:anchor="page26">
              <w:r>
                <w:rPr>
                  <w:rFonts w:ascii="Arial" w:cs="Arial" w:eastAsia="Arial" w:hAnsi="Arial"/>
                  <w:sz w:val="19"/>
                  <w:szCs w:val="19"/>
                  <w:b w:val="1"/>
                  <w:bCs w:val="1"/>
                  <w:color w:val="0000EE"/>
                </w:rPr>
                <w:t>ITEM 7.</w:t>
              </w:r>
            </w:hyperlink>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20" w:type="dxa"/>
            <w:vAlign w:val="bottom"/>
            <w:tcBorders>
              <w:bottom w:val="single" w:sz="8" w:color="0000EE"/>
            </w:tcBorders>
            <w:gridSpan w:val="16"/>
          </w:tcPr>
          <w:p>
            <w:pPr>
              <w:spacing w:after="0" w:line="166" w:lineRule="exact"/>
              <w:rPr>
                <w:rFonts w:ascii="Arial" w:cs="Arial" w:eastAsia="Arial" w:hAnsi="Arial"/>
                <w:sz w:val="16"/>
                <w:szCs w:val="16"/>
                <w:color w:val="0000EE"/>
              </w:rPr>
            </w:pPr>
            <w:hyperlink w:anchor="page26">
              <w:r>
                <w:rPr>
                  <w:rFonts w:ascii="Arial" w:cs="Arial" w:eastAsia="Arial" w:hAnsi="Arial"/>
                  <w:sz w:val="16"/>
                  <w:szCs w:val="16"/>
                  <w:color w:val="0000EE"/>
                </w:rPr>
                <w:t>Management's Discussion and Analysis of Financial Condition and Results of Operations</w:t>
              </w:r>
            </w:hyperlink>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3"/>
          </w:tcPr>
          <w:p>
            <w:pPr>
              <w:spacing w:after="0"/>
              <w:rPr>
                <w:sz w:val="20"/>
                <w:szCs w:val="20"/>
                <w:color w:val="auto"/>
              </w:rPr>
            </w:pPr>
            <w:r>
              <w:rPr>
                <w:rFonts w:ascii="Arial" w:cs="Arial" w:eastAsia="Arial" w:hAnsi="Arial"/>
                <w:sz w:val="20"/>
                <w:szCs w:val="20"/>
                <w:b w:val="1"/>
                <w:bCs w:val="1"/>
                <w:color w:val="0000EE"/>
              </w:rPr>
              <w:t>ITEM 7A.</w:t>
            </w:r>
          </w:p>
        </w:tc>
        <w:tc>
          <w:tcPr>
            <w:tcW w:w="4260" w:type="dxa"/>
            <w:vAlign w:val="bottom"/>
            <w:tcBorders>
              <w:bottom w:val="single" w:sz="8" w:color="0000EE"/>
            </w:tcBorders>
            <w:gridSpan w:val="11"/>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Quantitative and Qualitative Disclosures about Market Risk</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3"/>
          </w:tcPr>
          <w:p>
            <w:pPr>
              <w:spacing w:after="0"/>
              <w:rPr>
                <w:sz w:val="20"/>
                <w:szCs w:val="20"/>
                <w:color w:val="auto"/>
              </w:rPr>
            </w:pPr>
            <w:r>
              <w:rPr>
                <w:rFonts w:ascii="Arial" w:cs="Arial" w:eastAsia="Arial" w:hAnsi="Arial"/>
                <w:sz w:val="20"/>
                <w:szCs w:val="20"/>
                <w:b w:val="1"/>
                <w:bCs w:val="1"/>
                <w:color w:val="0000EE"/>
              </w:rPr>
              <w:t>ITEM 8.</w:t>
            </w:r>
          </w:p>
        </w:tc>
        <w:tc>
          <w:tcPr>
            <w:tcW w:w="3380" w:type="dxa"/>
            <w:vAlign w:val="bottom"/>
            <w:tcBorders>
              <w:bottom w:val="single" w:sz="8" w:color="0000EE"/>
            </w:tcBorders>
            <w:gridSpan w:val="10"/>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Financial Statements and Supplementary Data</w:t>
              </w:r>
            </w:hyperlink>
          </w:p>
        </w:tc>
        <w:tc>
          <w:tcPr>
            <w:tcW w:w="9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gridSpan w:val="13"/>
            <w:vMerge w:val="restart"/>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Management's Report on Internal Control over Financial Reporting</w:t>
              </w:r>
            </w:hyperlink>
          </w:p>
        </w:tc>
        <w:tc>
          <w:tcPr>
            <w:tcW w:w="2480" w:type="dxa"/>
            <w:vAlign w:val="bottom"/>
            <w:gridSpan w:val="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tcBorders>
              <w:bottom w:val="single" w:sz="8" w:color="0000EE"/>
            </w:tcBorders>
            <w:gridSpan w:val="13"/>
            <w:vMerge w:val="continue"/>
          </w:tcPr>
          <w:p>
            <w:pPr>
              <w:spacing w:after="0"/>
              <w:rPr>
                <w:sz w:val="14"/>
                <w:szCs w:val="14"/>
                <w:color w:val="auto"/>
              </w:rPr>
            </w:pPr>
          </w:p>
        </w:tc>
        <w:tc>
          <w:tcPr>
            <w:tcW w:w="24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gridSpan w:val="21"/>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Report of Independent Registered Public Accounting Firm</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gridSpan w:val="21"/>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Statements of Earnings for the fiscal years ended October 31, 2013, 2012, and 2011</w:t>
              </w:r>
            </w:hyperlink>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1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Statements of Comprehensive Income for the fiscal years ended October 31, 2013,</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820" w:type="dxa"/>
            <w:vAlign w:val="bottom"/>
            <w:tcBorders>
              <w:top w:val="single" w:sz="8" w:color="0000EE"/>
            </w:tcBorders>
            <w:gridSpan w:val="16"/>
          </w:tcPr>
          <w:p>
            <w:pPr>
              <w:spacing w:after="0" w:line="168" w:lineRule="exact"/>
              <w:rPr>
                <w:rFonts w:ascii="Arial" w:cs="Arial" w:eastAsia="Arial" w:hAnsi="Arial"/>
                <w:sz w:val="16"/>
                <w:szCs w:val="16"/>
                <w:color w:val="0000EE"/>
              </w:rPr>
            </w:pPr>
            <w:hyperlink w:anchor="page43">
              <w:r>
                <w:rPr>
                  <w:rFonts w:ascii="Arial" w:cs="Arial" w:eastAsia="Arial" w:hAnsi="Arial"/>
                  <w:sz w:val="16"/>
                  <w:szCs w:val="16"/>
                  <w:color w:val="0000EE"/>
                </w:rPr>
                <w:t>2012, and 2011</w:t>
              </w:r>
            </w:hyperlink>
          </w:p>
        </w:tc>
        <w:tc>
          <w:tcPr>
            <w:tcW w:w="2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120" w:type="dxa"/>
            <w:vAlign w:val="bottom"/>
            <w:gridSpan w:val="20"/>
          </w:tcPr>
          <w:p>
            <w:pPr>
              <w:spacing w:after="0" w:line="168" w:lineRule="exact"/>
              <w:rPr>
                <w:rFonts w:ascii="Arial" w:cs="Arial" w:eastAsia="Arial" w:hAnsi="Arial"/>
                <w:sz w:val="16"/>
                <w:szCs w:val="16"/>
                <w:color w:val="0000EE"/>
              </w:rPr>
            </w:pPr>
            <w:hyperlink w:anchor="page44">
              <w:r>
                <w:rPr>
                  <w:rFonts w:ascii="Arial" w:cs="Arial" w:eastAsia="Arial" w:hAnsi="Arial"/>
                  <w:sz w:val="16"/>
                  <w:szCs w:val="16"/>
                  <w:color w:val="0000EE"/>
                </w:rPr>
                <w:t>Consolidated Balance Sheets as of October 31, 2013 and 2012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bottom w:val="single" w:sz="8" w:color="0000EE"/>
            </w:tcBorders>
            <w:gridSpan w:val="2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Consolidated Statements of Cash Flows for the fiscal years ended October 31, 2013, 2012, and 2011</w:t>
              </w:r>
            </w:hyperlink>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gridSpan w:val="21"/>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Statements of Stockholders' Equity for the fiscal years ended October 31, 2013, 2012,</w:t>
              </w:r>
            </w:hyperlink>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7020" w:type="dxa"/>
            <w:vAlign w:val="bottom"/>
            <w:tcBorders>
              <w:top w:val="single" w:sz="8" w:color="0000EE"/>
            </w:tcBorders>
            <w:gridSpan w:val="19"/>
          </w:tcPr>
          <w:p>
            <w:pPr>
              <w:spacing w:after="0" w:line="168" w:lineRule="exact"/>
              <w:rPr>
                <w:rFonts w:ascii="Arial" w:cs="Arial" w:eastAsia="Arial" w:hAnsi="Arial"/>
                <w:sz w:val="16"/>
                <w:szCs w:val="16"/>
                <w:color w:val="0000EE"/>
              </w:rPr>
            </w:pPr>
            <w:hyperlink w:anchor="page46">
              <w:r>
                <w:rPr>
                  <w:rFonts w:ascii="Arial" w:cs="Arial" w:eastAsia="Arial" w:hAnsi="Arial"/>
                  <w:sz w:val="16"/>
                  <w:szCs w:val="16"/>
                  <w:color w:val="0000EE"/>
                </w:rPr>
                <w:t>and 2011</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60" w:type="dxa"/>
            <w:vAlign w:val="bottom"/>
            <w:gridSpan w:val="18"/>
            <w:vMerge w:val="restart"/>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Consolidated Financial Statements</w:t>
              </w:r>
            </w:hyperlink>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spacing w:after="0" w:line="168" w:lineRule="exact"/>
              <w:rPr>
                <w:rFonts w:ascii="Arial" w:cs="Arial" w:eastAsia="Arial" w:hAnsi="Arial"/>
                <w:sz w:val="16"/>
                <w:szCs w:val="16"/>
                <w:color w:val="0000EE"/>
              </w:rPr>
            </w:pPr>
            <w:hyperlink w:anchor="page47">
              <w:r>
                <w:rPr>
                  <w:rFonts w:ascii="Arial" w:cs="Arial" w:eastAsia="Arial" w:hAnsi="Arial"/>
                  <w:sz w:val="16"/>
                  <w:szCs w:val="16"/>
                  <w:color w:val="0000EE"/>
                </w:rPr>
                <w:t>Notes to</w:t>
              </w:r>
            </w:hyperlink>
          </w:p>
        </w:tc>
        <w:tc>
          <w:tcPr>
            <w:tcW w:w="64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sz w:val="20"/>
                <w:szCs w:val="20"/>
                <w:color w:val="auto"/>
              </w:rPr>
            </w:pPr>
            <w:r>
              <w:rPr>
                <w:rFonts w:ascii="Arial" w:cs="Arial" w:eastAsia="Arial" w:hAnsi="Arial"/>
                <w:sz w:val="20"/>
                <w:szCs w:val="20"/>
                <w:b w:val="1"/>
                <w:bCs w:val="1"/>
                <w:color w:val="0000EE"/>
              </w:rPr>
              <w:t>ITEM 9.</w:t>
            </w: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060" w:type="dxa"/>
            <w:vAlign w:val="bottom"/>
            <w:gridSpan w:val="3"/>
            <w:vMerge w:val="continue"/>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Changes in and Disagreements with Accountants on Accounting and Financial Disclosure</w:t>
              </w:r>
            </w:hyperlink>
          </w:p>
        </w:tc>
        <w:tc>
          <w:tcPr>
            <w:tcW w:w="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60" w:type="dxa"/>
            <w:vAlign w:val="bottom"/>
            <w:gridSpan w:val="3"/>
          </w:tcPr>
          <w:p>
            <w:pPr>
              <w:spacing w:after="0" w:line="166" w:lineRule="exact"/>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ITEM 9A.</w:t>
              </w:r>
            </w:hyperlink>
          </w:p>
        </w:tc>
        <w:tc>
          <w:tcPr>
            <w:tcW w:w="1800" w:type="dxa"/>
            <w:vAlign w:val="bottom"/>
            <w:tcBorders>
              <w:bottom w:val="single" w:sz="8" w:color="0000EE"/>
            </w:tcBorders>
            <w:gridSpan w:val="8"/>
          </w:tcPr>
          <w:p>
            <w:pPr>
              <w:spacing w:after="0" w:line="166" w:lineRule="exact"/>
              <w:rPr>
                <w:rFonts w:ascii="Arial" w:cs="Arial" w:eastAsia="Arial" w:hAnsi="Arial"/>
                <w:sz w:val="16"/>
                <w:szCs w:val="16"/>
                <w:color w:val="0000EE"/>
              </w:rPr>
            </w:pPr>
            <w:hyperlink w:anchor="page66">
              <w:r>
                <w:rPr>
                  <w:rFonts w:ascii="Arial" w:cs="Arial" w:eastAsia="Arial" w:hAnsi="Arial"/>
                  <w:sz w:val="16"/>
                  <w:szCs w:val="16"/>
                  <w:color w:val="0000EE"/>
                </w:rPr>
                <w:t>Controls and Procedures</w:t>
              </w:r>
            </w:hyperlink>
          </w:p>
        </w:tc>
        <w:tc>
          <w:tcPr>
            <w:tcW w:w="56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 w:type="dxa"/>
            <w:vAlign w:val="bottom"/>
            <w:tcBorders>
              <w:top w:val="single" w:sz="8" w:color="0000EE"/>
              <w:bottom w:val="single" w:sz="8" w:color="0000EE"/>
            </w:tcBorders>
            <w:gridSpan w:val="2"/>
          </w:tcPr>
          <w:p>
            <w:pPr>
              <w:spacing w:after="0" w:line="166" w:lineRule="exact"/>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ITEM 9B.</w:t>
              </w:r>
            </w:hyperlink>
          </w:p>
        </w:tc>
        <w:tc>
          <w:tcPr>
            <w:tcW w:w="200" w:type="dxa"/>
            <w:vAlign w:val="bottom"/>
          </w:tcPr>
          <w:p>
            <w:pPr>
              <w:spacing w:after="0"/>
              <w:rPr>
                <w:sz w:val="14"/>
                <w:szCs w:val="14"/>
                <w:color w:val="auto"/>
              </w:rPr>
            </w:pPr>
          </w:p>
        </w:tc>
        <w:tc>
          <w:tcPr>
            <w:tcW w:w="1280" w:type="dxa"/>
            <w:vAlign w:val="bottom"/>
            <w:tcBorders>
              <w:bottom w:val="single" w:sz="8" w:color="0000EE"/>
            </w:tcBorders>
            <w:gridSpan w:val="5"/>
          </w:tcPr>
          <w:p>
            <w:pPr>
              <w:spacing w:after="0" w:line="166" w:lineRule="exact"/>
              <w:rPr>
                <w:rFonts w:ascii="Arial" w:cs="Arial" w:eastAsia="Arial" w:hAnsi="Arial"/>
                <w:sz w:val="16"/>
                <w:szCs w:val="16"/>
                <w:color w:val="0000EE"/>
              </w:rPr>
            </w:pPr>
            <w:hyperlink w:anchor="page66">
              <w:r>
                <w:rPr>
                  <w:rFonts w:ascii="Arial" w:cs="Arial" w:eastAsia="Arial" w:hAnsi="Arial"/>
                  <w:sz w:val="16"/>
                  <w:szCs w:val="16"/>
                  <w:color w:val="0000EE"/>
                </w:rPr>
                <w:t>Other Information</w:t>
              </w:r>
            </w:hyperlink>
          </w:p>
        </w:tc>
        <w:tc>
          <w:tcPr>
            <w:tcW w:w="61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11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3-11</w:t>
        </w:r>
      </w:hyperlink>
    </w:p>
    <w:p>
      <w:pPr>
        <w:spacing w:after="0" w:line="36"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11-</w:t>
        </w:r>
      </w:hyperlink>
    </w:p>
    <w:p>
      <w:pPr>
        <w:spacing w:after="0" w:line="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21</w:t>
        </w:r>
      </w:hyperlink>
    </w:p>
    <w:p>
      <w:pPr>
        <w:spacing w:after="0" w:line="2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21</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22</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22</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22</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24</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25</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26</w:t>
        </w:r>
      </w:hyperlink>
    </w:p>
    <w:p>
      <w:pPr>
        <w:spacing w:after="0" w:line="2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26-</w:t>
        </w:r>
      </w:hyperlink>
    </w:p>
    <w:p>
      <w:pPr>
        <w:spacing w:after="0" w:line="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39</w:t>
        </w:r>
      </w:hyperlink>
    </w:p>
    <w:p>
      <w:pPr>
        <w:spacing w:after="0" w:line="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39-</w:t>
        </w:r>
      </w:hyperlink>
    </w:p>
    <w:p>
      <w:pPr>
        <w:spacing w:after="0" w:line="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40</w:t>
        </w:r>
      </w:hyperlink>
    </w:p>
    <w:p>
      <w:pPr>
        <w:spacing w:after="0" w:line="248"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41</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42</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43</w:t>
        </w:r>
      </w:hyperlink>
    </w:p>
    <w:p>
      <w:pPr>
        <w:spacing w:after="0" w:line="19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43</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44</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45</w:t>
        </w:r>
      </w:hyperlink>
    </w:p>
    <w:p>
      <w:pPr>
        <w:spacing w:after="0" w:line="19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46</w:t>
        </w:r>
      </w:hyperlink>
    </w:p>
    <w:p>
      <w:pPr>
        <w:spacing w:after="0" w:line="2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47-</w:t>
        </w:r>
      </w:hyperlink>
    </w:p>
    <w:p>
      <w:pPr>
        <w:spacing w:after="0" w:line="4"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65</w:t>
        </w:r>
      </w:hyperlink>
    </w:p>
    <w:p>
      <w:pPr>
        <w:spacing w:after="0" w:line="2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66</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66</w:t>
        </w:r>
      </w:hyperlink>
    </w:p>
    <w:p>
      <w:pPr>
        <w:spacing w:after="0" w:line="42" w:lineRule="exact"/>
        <w:rPr>
          <w:sz w:val="20"/>
          <w:szCs w:val="20"/>
          <w:color w:val="auto"/>
        </w:rPr>
      </w:pPr>
    </w:p>
    <w:p>
      <w:pPr>
        <w:jc w:val="right"/>
        <w:ind w:right="114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66</w:t>
        </w:r>
      </w:hyperlink>
    </w:p>
    <w:p>
      <w:pPr>
        <w:spacing w:after="0" w:line="174" w:lineRule="exact"/>
        <w:rPr>
          <w:sz w:val="20"/>
          <w:szCs w:val="20"/>
          <w:color w:val="auto"/>
        </w:rPr>
      </w:pPr>
    </w:p>
    <w:p>
      <w:pPr>
        <w:sectPr>
          <w:pgSz w:w="11900" w:h="16838" w:orient="portrait"/>
          <w:cols w:equalWidth="0" w:num="2">
            <w:col w:w="9640" w:space="320"/>
            <w:col w:w="1460"/>
          </w:cols>
          <w:pgMar w:left="240" w:top="122" w:right="239" w:bottom="1440" w:gutter="0" w:footer="0" w:header="0"/>
          <w:type w:val="continuous"/>
        </w:sectPr>
      </w:pPr>
    </w:p>
    <w:p>
      <w:pPr>
        <w:ind w:left="1140"/>
        <w:spacing w:after="0"/>
        <w:rPr>
          <w:rFonts w:ascii="Arial" w:cs="Arial" w:eastAsia="Arial" w:hAnsi="Arial"/>
          <w:sz w:val="23"/>
          <w:szCs w:val="23"/>
          <w:b w:val="1"/>
          <w:bCs w:val="1"/>
          <w:u w:val="single" w:color="auto"/>
          <w:color w:val="0000EE"/>
        </w:rPr>
      </w:pPr>
      <w:hyperlink w:anchor="page66">
        <w:r>
          <w:rPr>
            <w:rFonts w:ascii="Arial" w:cs="Arial" w:eastAsia="Arial" w:hAnsi="Arial"/>
            <w:sz w:val="23"/>
            <w:szCs w:val="23"/>
            <w:b w:val="1"/>
            <w:bCs w:val="1"/>
            <w:u w:val="single" w:color="auto"/>
            <w:color w:val="0000EE"/>
          </w:rPr>
          <w:t>PART III</w:t>
        </w:r>
      </w:hyperlink>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tcPr>
          <w:p>
            <w:pPr>
              <w:spacing w:after="0"/>
              <w:rPr>
                <w:sz w:val="19"/>
                <w:szCs w:val="19"/>
                <w:color w:val="auto"/>
              </w:rPr>
            </w:pPr>
          </w:p>
        </w:tc>
        <w:tc>
          <w:tcPr>
            <w:tcW w:w="840" w:type="dxa"/>
            <w:vAlign w:val="bottom"/>
            <w:gridSpan w:val="2"/>
            <w:vMerge w:val="restart"/>
          </w:tcPr>
          <w:p>
            <w:pPr>
              <w:spacing w:after="0"/>
              <w:rPr>
                <w:rFonts w:ascii="Arial" w:cs="Arial" w:eastAsia="Arial" w:hAnsi="Arial"/>
                <w:sz w:val="20"/>
                <w:szCs w:val="20"/>
                <w:b w:val="1"/>
                <w:bCs w:val="1"/>
                <w:color w:val="0000EE"/>
              </w:rPr>
            </w:pPr>
            <w:hyperlink w:anchor="page66">
              <w:r>
                <w:rPr>
                  <w:rFonts w:ascii="Arial" w:cs="Arial" w:eastAsia="Arial" w:hAnsi="Arial"/>
                  <w:sz w:val="20"/>
                  <w:szCs w:val="20"/>
                  <w:b w:val="1"/>
                  <w:bCs w:val="1"/>
                  <w:color w:val="0000EE"/>
                </w:rPr>
                <w:t>ITEM 10.</w:t>
              </w:r>
            </w:hyperlink>
          </w:p>
        </w:tc>
        <w:tc>
          <w:tcPr>
            <w:tcW w:w="220" w:type="dxa"/>
            <w:vAlign w:val="bottom"/>
            <w:gridSpan w:val="2"/>
            <w:vMerge w:val="restart"/>
          </w:tcPr>
          <w:p>
            <w:pPr>
              <w:spacing w:after="0"/>
              <w:rPr>
                <w:sz w:val="19"/>
                <w:szCs w:val="19"/>
                <w:color w:val="auto"/>
              </w:rPr>
            </w:pPr>
          </w:p>
        </w:tc>
        <w:tc>
          <w:tcPr>
            <w:tcW w:w="4080" w:type="dxa"/>
            <w:vAlign w:val="bottom"/>
            <w:tcBorders>
              <w:bottom w:val="single" w:sz="8" w:color="0000EE"/>
            </w:tcBorders>
            <w:gridSpan w:val="5"/>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Directors, Executive Officers and Corporate Governance</w:t>
              </w:r>
            </w:hyperlink>
          </w:p>
        </w:tc>
        <w:tc>
          <w:tcPr>
            <w:tcW w:w="1420" w:type="dxa"/>
            <w:vAlign w:val="bottom"/>
            <w:vMerge w:val="restart"/>
          </w:tcPr>
          <w:p>
            <w:pPr>
              <w:spacing w:after="0"/>
              <w:rPr>
                <w:sz w:val="19"/>
                <w:szCs w:val="19"/>
                <w:color w:val="auto"/>
              </w:rPr>
            </w:pPr>
          </w:p>
        </w:tc>
        <w:tc>
          <w:tcPr>
            <w:tcW w:w="1760" w:type="dxa"/>
            <w:vAlign w:val="bottom"/>
            <w:vMerge w:val="restart"/>
          </w:tcPr>
          <w:p>
            <w:pPr>
              <w:spacing w:after="0"/>
              <w:rPr>
                <w:sz w:val="19"/>
                <w:szCs w:val="19"/>
                <w:color w:val="auto"/>
              </w:rPr>
            </w:pPr>
          </w:p>
        </w:tc>
        <w:tc>
          <w:tcPr>
            <w:tcW w:w="1960" w:type="dxa"/>
            <w:vAlign w:val="bottom"/>
            <w:gridSpan w:val="4"/>
            <w:vMerge w:val="restart"/>
          </w:tcPr>
          <w:p>
            <w:pPr>
              <w:jc w:val="right"/>
              <w:ind w:right="1140"/>
              <w:spacing w:after="0"/>
              <w:rPr>
                <w:rFonts w:ascii="Arial" w:cs="Arial" w:eastAsia="Arial" w:hAnsi="Arial"/>
                <w:sz w:val="16"/>
                <w:szCs w:val="16"/>
                <w:color w:val="0000EE"/>
              </w:rPr>
            </w:pPr>
            <w:hyperlink w:anchor="page66">
              <w:r>
                <w:rPr>
                  <w:rFonts w:ascii="Arial" w:cs="Arial" w:eastAsia="Arial" w:hAnsi="Arial"/>
                  <w:sz w:val="16"/>
                  <w:szCs w:val="16"/>
                  <w:color w:val="0000EE"/>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9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Borders>
              <w:top w:val="single" w:sz="8" w:color="0000EE"/>
            </w:tcBorders>
            <w:vMerge w:val="restart"/>
          </w:tcPr>
          <w:p>
            <w:pPr>
              <w:spacing w:after="0" w:line="193" w:lineRule="exact"/>
              <w:rPr>
                <w:rFonts w:ascii="Arial" w:cs="Arial" w:eastAsia="Arial" w:hAnsi="Arial"/>
                <w:sz w:val="20"/>
                <w:szCs w:val="20"/>
                <w:b w:val="1"/>
                <w:bCs w:val="1"/>
                <w:color w:val="0000EE"/>
                <w:w w:val="98"/>
              </w:rPr>
            </w:pPr>
            <w:hyperlink w:anchor="page67">
              <w:r>
                <w:rPr>
                  <w:rFonts w:ascii="Arial" w:cs="Arial" w:eastAsia="Arial" w:hAnsi="Arial"/>
                  <w:sz w:val="20"/>
                  <w:szCs w:val="20"/>
                  <w:b w:val="1"/>
                  <w:bCs w:val="1"/>
                  <w:color w:val="0000EE"/>
                  <w:w w:val="98"/>
                </w:rPr>
                <w:t>ITEM 11.</w:t>
              </w:r>
            </w:hyperlink>
          </w:p>
        </w:tc>
        <w:tc>
          <w:tcPr>
            <w:tcW w:w="20" w:type="dxa"/>
            <w:vAlign w:val="bottom"/>
            <w:tcBorders>
              <w:top w:val="single" w:sz="8" w:color="0000EE"/>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vMerge w:val="restart"/>
          </w:tcPr>
          <w:p>
            <w:pPr>
              <w:spacing w:after="0" w:line="166" w:lineRule="exact"/>
              <w:rPr>
                <w:rFonts w:ascii="Arial" w:cs="Arial" w:eastAsia="Arial" w:hAnsi="Arial"/>
                <w:sz w:val="16"/>
                <w:szCs w:val="16"/>
                <w:color w:val="0000EE"/>
              </w:rPr>
            </w:pPr>
            <w:hyperlink w:anchor="page67">
              <w:r>
                <w:rPr>
                  <w:rFonts w:ascii="Arial" w:cs="Arial" w:eastAsia="Arial" w:hAnsi="Arial"/>
                  <w:sz w:val="16"/>
                  <w:szCs w:val="16"/>
                  <w:color w:val="0000EE"/>
                </w:rPr>
                <w:t>Executive Compensation</w:t>
              </w:r>
            </w:hyperlink>
          </w:p>
        </w:tc>
        <w:tc>
          <w:tcPr>
            <w:tcW w:w="10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580" w:type="dxa"/>
            <w:vAlign w:val="bottom"/>
            <w:gridSpan w:val="2"/>
            <w:vMerge w:val="restart"/>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2"/>
                <w:szCs w:val="12"/>
                <w:color w:val="auto"/>
              </w:rPr>
            </w:pPr>
          </w:p>
        </w:tc>
        <w:tc>
          <w:tcPr>
            <w:tcW w:w="820" w:type="dxa"/>
            <w:vAlign w:val="bottom"/>
            <w:tcBorders>
              <w:bottom w:val="single" w:sz="8" w:color="0000EE"/>
            </w:tcBorders>
            <w:vMerge w:val="continue"/>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Borders>
              <w:bottom w:val="single" w:sz="8" w:color="0000EE"/>
            </w:tcBorders>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960" w:type="dxa"/>
            <w:vAlign w:val="bottom"/>
            <w:gridSpan w:val="4"/>
            <w:vMerge w:val="restart"/>
          </w:tcPr>
          <w:p>
            <w:pPr>
              <w:jc w:val="right"/>
              <w:ind w:right="1140"/>
              <w:spacing w:after="0" w:line="181" w:lineRule="exact"/>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580" w:type="dxa"/>
            <w:vAlign w:val="bottom"/>
            <w:gridSpan w:val="2"/>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9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Borders>
              <w:top w:val="single" w:sz="8" w:color="0000EE"/>
            </w:tcBorders>
            <w:vMerge w:val="restart"/>
          </w:tcPr>
          <w:p>
            <w:pPr>
              <w:spacing w:after="0" w:line="193" w:lineRule="exact"/>
              <w:rPr>
                <w:rFonts w:ascii="Arial" w:cs="Arial" w:eastAsia="Arial" w:hAnsi="Arial"/>
                <w:sz w:val="20"/>
                <w:szCs w:val="20"/>
                <w:b w:val="1"/>
                <w:bCs w:val="1"/>
                <w:color w:val="0000EE"/>
                <w:w w:val="98"/>
              </w:rPr>
            </w:pPr>
            <w:hyperlink w:anchor="page67">
              <w:r>
                <w:rPr>
                  <w:rFonts w:ascii="Arial" w:cs="Arial" w:eastAsia="Arial" w:hAnsi="Arial"/>
                  <w:sz w:val="20"/>
                  <w:szCs w:val="20"/>
                  <w:b w:val="1"/>
                  <w:bCs w:val="1"/>
                  <w:color w:val="0000EE"/>
                  <w:w w:val="98"/>
                </w:rPr>
                <w:t>ITEM 12.</w:t>
              </w:r>
            </w:hyperlink>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60" w:type="dxa"/>
            <w:vAlign w:val="bottom"/>
            <w:gridSpan w:val="7"/>
            <w:vMerge w:val="restart"/>
          </w:tcPr>
          <w:p>
            <w:pPr>
              <w:spacing w:after="0" w:line="166" w:lineRule="exact"/>
              <w:rPr>
                <w:rFonts w:ascii="Arial" w:cs="Arial" w:eastAsia="Arial" w:hAnsi="Arial"/>
                <w:sz w:val="16"/>
                <w:szCs w:val="16"/>
                <w:color w:val="0000EE"/>
              </w:rPr>
            </w:pPr>
            <w:hyperlink w:anchor="page67">
              <w:r>
                <w:rPr>
                  <w:rFonts w:ascii="Arial" w:cs="Arial" w:eastAsia="Arial" w:hAnsi="Arial"/>
                  <w:sz w:val="16"/>
                  <w:szCs w:val="16"/>
                  <w:color w:val="0000EE"/>
                </w:rPr>
                <w:t>Security Ownership of Certain Beneficial Owners and Management and Related Stockholder Matters</w:t>
              </w:r>
            </w:hyperlink>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2"/>
                <w:szCs w:val="12"/>
                <w:color w:val="auto"/>
              </w:rPr>
            </w:pPr>
          </w:p>
        </w:tc>
        <w:tc>
          <w:tcPr>
            <w:tcW w:w="820" w:type="dxa"/>
            <w:vAlign w:val="bottom"/>
            <w:tcBorders>
              <w:bottom w:val="single" w:sz="8" w:color="0000EE"/>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60" w:type="dxa"/>
            <w:vAlign w:val="bottom"/>
            <w:tcBorders>
              <w:bottom w:val="single" w:sz="8" w:color="0000EE"/>
            </w:tcBorders>
            <w:gridSpan w:val="7"/>
            <w:vMerge w:val="continue"/>
          </w:tcPr>
          <w:p>
            <w:pPr>
              <w:spacing w:after="0"/>
              <w:rPr>
                <w:sz w:val="12"/>
                <w:szCs w:val="12"/>
                <w:color w:val="auto"/>
              </w:rPr>
            </w:pPr>
          </w:p>
        </w:tc>
        <w:tc>
          <w:tcPr>
            <w:tcW w:w="1960" w:type="dxa"/>
            <w:vAlign w:val="bottom"/>
            <w:gridSpan w:val="4"/>
            <w:vMerge w:val="restart"/>
          </w:tcPr>
          <w:p>
            <w:pPr>
              <w:jc w:val="right"/>
              <w:ind w:right="1140"/>
              <w:spacing w:after="0" w:line="181" w:lineRule="exact"/>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vMerge w:val="restart"/>
          </w:tcPr>
          <w:p>
            <w:pPr>
              <w:spacing w:after="0" w:line="193" w:lineRule="exact"/>
              <w:rPr>
                <w:rFonts w:ascii="Arial" w:cs="Arial" w:eastAsia="Arial" w:hAnsi="Arial"/>
                <w:sz w:val="20"/>
                <w:szCs w:val="20"/>
                <w:b w:val="1"/>
                <w:bCs w:val="1"/>
                <w:color w:val="0000EE"/>
              </w:rPr>
            </w:pPr>
            <w:hyperlink w:anchor="page67">
              <w:r>
                <w:rPr>
                  <w:rFonts w:ascii="Arial" w:cs="Arial" w:eastAsia="Arial" w:hAnsi="Arial"/>
                  <w:sz w:val="20"/>
                  <w:szCs w:val="20"/>
                  <w:b w:val="1"/>
                  <w:bCs w:val="1"/>
                  <w:color w:val="0000EE"/>
                </w:rPr>
                <w:t>ITEM 13.</w:t>
              </w:r>
            </w:hyperlink>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6"/>
            <w:vMerge w:val="restart"/>
          </w:tcPr>
          <w:p>
            <w:pPr>
              <w:spacing w:after="0" w:line="166" w:lineRule="exact"/>
              <w:rPr>
                <w:rFonts w:ascii="Arial" w:cs="Arial" w:eastAsia="Arial" w:hAnsi="Arial"/>
                <w:sz w:val="16"/>
                <w:szCs w:val="16"/>
                <w:color w:val="0000EE"/>
              </w:rPr>
            </w:pPr>
            <w:hyperlink w:anchor="page67">
              <w:r>
                <w:rPr>
                  <w:rFonts w:ascii="Arial" w:cs="Arial" w:eastAsia="Arial" w:hAnsi="Arial"/>
                  <w:sz w:val="16"/>
                  <w:szCs w:val="16"/>
                  <w:color w:val="0000EE"/>
                </w:rPr>
                <w:t>Certain Relationships and Related Transactions, and Director Independence</w:t>
              </w:r>
            </w:hyperlink>
          </w:p>
        </w:tc>
        <w:tc>
          <w:tcPr>
            <w:tcW w:w="176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00" w:type="dxa"/>
            <w:vAlign w:val="bottom"/>
            <w:tcBorders>
              <w:bottom w:val="single" w:sz="8" w:color="0000EE"/>
            </w:tcBorders>
            <w:gridSpan w:val="6"/>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960" w:type="dxa"/>
            <w:vAlign w:val="bottom"/>
            <w:gridSpan w:val="4"/>
            <w:vMerge w:val="restart"/>
          </w:tcPr>
          <w:p>
            <w:pPr>
              <w:jc w:val="right"/>
              <w:ind w:right="1140"/>
              <w:spacing w:after="0" w:line="181" w:lineRule="exact"/>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25"/>
        </w:trPr>
        <w:tc>
          <w:tcPr>
            <w:tcW w:w="1140" w:type="dxa"/>
            <w:vAlign w:val="bottom"/>
          </w:tcPr>
          <w:p>
            <w:pPr>
              <w:spacing w:after="0" w:line="20" w:lineRule="exact"/>
              <w:rPr>
                <w:sz w:val="1"/>
                <w:szCs w:val="1"/>
                <w:color w:val="auto"/>
              </w:rPr>
            </w:pPr>
          </w:p>
        </w:tc>
        <w:tc>
          <w:tcPr>
            <w:tcW w:w="840" w:type="dxa"/>
            <w:vAlign w:val="bottom"/>
            <w:tcBorders>
              <w:bottom w:val="single" w:sz="8" w:color="0000EE"/>
            </w:tcBorders>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9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gridSpan w:val="2"/>
            <w:vMerge w:val="restart"/>
          </w:tcPr>
          <w:p>
            <w:pPr>
              <w:spacing w:after="0" w:line="193" w:lineRule="exact"/>
              <w:rPr>
                <w:rFonts w:ascii="Arial" w:cs="Arial" w:eastAsia="Arial" w:hAnsi="Arial"/>
                <w:sz w:val="20"/>
                <w:szCs w:val="20"/>
                <w:b w:val="1"/>
                <w:bCs w:val="1"/>
                <w:color w:val="0000EE"/>
              </w:rPr>
            </w:pPr>
            <w:hyperlink w:anchor="page67">
              <w:r>
                <w:rPr>
                  <w:rFonts w:ascii="Arial" w:cs="Arial" w:eastAsia="Arial" w:hAnsi="Arial"/>
                  <w:sz w:val="20"/>
                  <w:szCs w:val="20"/>
                  <w:b w:val="1"/>
                  <w:bCs w:val="1"/>
                  <w:color w:val="0000EE"/>
                </w:rPr>
                <w:t>ITEM 14.</w:t>
              </w:r>
            </w:hyperlink>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3"/>
            <w:vMerge w:val="restart"/>
          </w:tcPr>
          <w:p>
            <w:pPr>
              <w:spacing w:after="0" w:line="166" w:lineRule="exact"/>
              <w:rPr>
                <w:rFonts w:ascii="Arial" w:cs="Arial" w:eastAsia="Arial" w:hAnsi="Arial"/>
                <w:sz w:val="16"/>
                <w:szCs w:val="16"/>
                <w:color w:val="0000EE"/>
              </w:rPr>
            </w:pPr>
            <w:hyperlink w:anchor="page67">
              <w:r>
                <w:rPr>
                  <w:rFonts w:ascii="Arial" w:cs="Arial" w:eastAsia="Arial" w:hAnsi="Arial"/>
                  <w:sz w:val="16"/>
                  <w:szCs w:val="16"/>
                  <w:color w:val="0000EE"/>
                </w:rPr>
                <w:t>Principal Accounting Fees and Services</w:t>
              </w:r>
            </w:hyperlink>
          </w:p>
        </w:tc>
        <w:tc>
          <w:tcPr>
            <w:tcW w:w="40" w:type="dxa"/>
            <w:vAlign w:val="bottom"/>
            <w:vMerge w:val="restart"/>
          </w:tcPr>
          <w:p>
            <w:pPr>
              <w:spacing w:after="0" w:line="20" w:lineRule="exact"/>
              <w:rPr>
                <w:sz w:val="1"/>
                <w:szCs w:val="1"/>
                <w:color w:val="auto"/>
              </w:rPr>
            </w:pPr>
          </w:p>
        </w:tc>
        <w:tc>
          <w:tcPr>
            <w:tcW w:w="4340" w:type="dxa"/>
            <w:vAlign w:val="bottom"/>
            <w:gridSpan w:val="3"/>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tcBorders>
              <w:bottom w:val="single" w:sz="8" w:color="0000EE"/>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340" w:type="dxa"/>
            <w:vAlign w:val="bottom"/>
            <w:gridSpan w:val="3"/>
            <w:vMerge w:val="continue"/>
          </w:tcPr>
          <w:p>
            <w:pPr>
              <w:spacing w:after="0"/>
              <w:rPr>
                <w:sz w:val="12"/>
                <w:szCs w:val="12"/>
                <w:color w:val="auto"/>
              </w:rPr>
            </w:pPr>
          </w:p>
        </w:tc>
        <w:tc>
          <w:tcPr>
            <w:tcW w:w="1960" w:type="dxa"/>
            <w:vAlign w:val="bottom"/>
            <w:gridSpan w:val="4"/>
            <w:vMerge w:val="restart"/>
          </w:tcPr>
          <w:p>
            <w:pPr>
              <w:jc w:val="right"/>
              <w:ind w:right="1140"/>
              <w:spacing w:after="0" w:line="181" w:lineRule="exact"/>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840" w:type="dxa"/>
            <w:vAlign w:val="bottom"/>
            <w:tcBorders>
              <w:bottom w:val="single" w:sz="8" w:color="0000EE"/>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10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4340" w:type="dxa"/>
            <w:vAlign w:val="bottom"/>
            <w:gridSpan w:val="3"/>
            <w:vMerge w:val="continue"/>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23"/>
                <w:szCs w:val="23"/>
                <w:b w:val="1"/>
                <w:bCs w:val="1"/>
                <w:color w:val="0000EE"/>
              </w:rPr>
              <w:t>PART IV</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20"/>
                <w:szCs w:val="20"/>
                <w:b w:val="1"/>
                <w:bCs w:val="1"/>
                <w:color w:val="0000EE"/>
              </w:rPr>
              <w:t>ITEM 15.</w:t>
            </w:r>
          </w:p>
        </w:tc>
        <w:tc>
          <w:tcPr>
            <w:tcW w:w="180" w:type="dxa"/>
            <w:vAlign w:val="bottom"/>
          </w:tcPr>
          <w:p>
            <w:pPr>
              <w:spacing w:after="0"/>
              <w:rPr>
                <w:sz w:val="24"/>
                <w:szCs w:val="24"/>
                <w:color w:val="auto"/>
              </w:rPr>
            </w:pPr>
          </w:p>
        </w:tc>
        <w:tc>
          <w:tcPr>
            <w:tcW w:w="2920" w:type="dxa"/>
            <w:vAlign w:val="bottom"/>
            <w:tcBorders>
              <w:bottom w:val="single" w:sz="8" w:color="0000EE"/>
            </w:tcBorders>
            <w:gridSpan w:val="4"/>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Exhibits, Financial Statement Schedules</w:t>
              </w:r>
            </w:hyperlink>
          </w:p>
        </w:tc>
        <w:tc>
          <w:tcPr>
            <w:tcW w:w="434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6"/>
                <w:szCs w:val="16"/>
                <w:color w:val="0000EE"/>
                <w:w w:val="94"/>
              </w:rPr>
            </w:pPr>
            <w:hyperlink w:anchor="page67">
              <w:r>
                <w:rPr>
                  <w:rFonts w:ascii="Arial" w:cs="Arial" w:eastAsia="Arial" w:hAnsi="Arial"/>
                  <w:sz w:val="16"/>
                  <w:szCs w:val="16"/>
                  <w:color w:val="0000EE"/>
                  <w:w w:val="94"/>
                </w:rPr>
                <w:t>67-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spacing w:after="0"/>
              <w:rPr>
                <w:rFonts w:ascii="Arial" w:cs="Arial" w:eastAsia="Arial" w:hAnsi="Arial"/>
                <w:sz w:val="16"/>
                <w:szCs w:val="16"/>
                <w:color w:val="0000EE"/>
                <w:w w:val="99"/>
              </w:rPr>
            </w:pPr>
            <w:hyperlink w:anchor="page72">
              <w:r>
                <w:rPr>
                  <w:rFonts w:ascii="Arial" w:cs="Arial" w:eastAsia="Arial" w:hAnsi="Arial"/>
                  <w:sz w:val="16"/>
                  <w:szCs w:val="16"/>
                  <w:color w:val="0000EE"/>
                  <w:w w:val="99"/>
                </w:rPr>
                <w:t>Signatures</w:t>
              </w:r>
            </w:hyperlink>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4"/>
            <w:vMerge w:val="restart"/>
          </w:tcPr>
          <w:p>
            <w:pPr>
              <w:jc w:val="right"/>
              <w:ind w:right="1140"/>
              <w:spacing w:after="0" w:line="168" w:lineRule="exact"/>
              <w:rPr>
                <w:rFonts w:ascii="Arial" w:cs="Arial" w:eastAsia="Arial" w:hAnsi="Arial"/>
                <w:sz w:val="16"/>
                <w:szCs w:val="16"/>
                <w:color w:val="0000EE"/>
              </w:rPr>
            </w:pPr>
            <w:hyperlink w:anchor="page67">
              <w:r>
                <w:rPr>
                  <w:rFonts w:ascii="Arial" w:cs="Arial" w:eastAsia="Arial" w:hAnsi="Arial"/>
                  <w:sz w:val="16"/>
                  <w:szCs w:val="16"/>
                  <w:color w:val="0000EE"/>
                </w:rPr>
                <w:t>70</w:t>
              </w:r>
            </w:hyperlink>
          </w:p>
        </w:tc>
        <w:tc>
          <w:tcPr>
            <w:tcW w:w="0" w:type="dxa"/>
            <w:vAlign w:val="bottom"/>
          </w:tcPr>
          <w:p>
            <w:pPr>
              <w:spacing w:after="0" w:line="20" w:lineRule="exact"/>
              <w:rPr>
                <w:sz w:val="1"/>
                <w:szCs w:val="1"/>
                <w:color w:val="auto"/>
              </w:rPr>
            </w:pPr>
          </w:p>
        </w:tc>
      </w:tr>
      <w:tr>
        <w:trPr>
          <w:trHeight w:val="128"/>
        </w:trPr>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6480" w:type="dxa"/>
            <w:vAlign w:val="bottom"/>
            <w:gridSpan w:val="6"/>
            <w:vMerge w:val="restart"/>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0000EE"/>
            </w:tcBorders>
            <w:vMerge w:val="continue"/>
          </w:tcPr>
          <w:p>
            <w:pPr>
              <w:spacing w:after="0"/>
              <w:rPr>
                <w:sz w:val="14"/>
                <w:szCs w:val="14"/>
                <w:color w:val="auto"/>
              </w:rPr>
            </w:pPr>
          </w:p>
        </w:tc>
        <w:tc>
          <w:tcPr>
            <w:tcW w:w="6480" w:type="dxa"/>
            <w:vAlign w:val="bottom"/>
            <w:gridSpan w:val="6"/>
            <w:vMerge w:val="continue"/>
          </w:tcPr>
          <w:p>
            <w:pPr>
              <w:spacing w:after="0"/>
              <w:rPr>
                <w:sz w:val="14"/>
                <w:szCs w:val="14"/>
                <w:color w:val="auto"/>
              </w:rPr>
            </w:pPr>
          </w:p>
        </w:tc>
        <w:tc>
          <w:tcPr>
            <w:tcW w:w="1960" w:type="dxa"/>
            <w:vAlign w:val="bottom"/>
            <w:gridSpan w:val="4"/>
            <w:vMerge w:val="restart"/>
          </w:tcPr>
          <w:p>
            <w:pPr>
              <w:jc w:val="right"/>
              <w:ind w:right="1140"/>
              <w:spacing w:after="0"/>
              <w:rPr>
                <w:rFonts w:ascii="Arial" w:cs="Arial" w:eastAsia="Arial" w:hAnsi="Arial"/>
                <w:sz w:val="16"/>
                <w:szCs w:val="16"/>
                <w:color w:val="0000EE"/>
              </w:rPr>
            </w:pPr>
            <w:hyperlink w:anchor="page72">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80" w:type="dxa"/>
            <w:vAlign w:val="bottom"/>
            <w:gridSpan w:val="6"/>
            <w:vMerge w:val="continue"/>
          </w:tcPr>
          <w:p>
            <w:pPr>
              <w:spacing w:after="0" w:line="20" w:lineRule="exact"/>
              <w:rPr>
                <w:sz w:val="1"/>
                <w:szCs w:val="1"/>
                <w:color w:val="auto"/>
              </w:rPr>
            </w:pPr>
          </w:p>
        </w:tc>
        <w:tc>
          <w:tcPr>
            <w:tcW w:w="19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5"/>
          </w:tcPr>
          <w:p>
            <w:pPr>
              <w:ind w:left="3460"/>
              <w:spacing w:after="0"/>
              <w:rPr>
                <w:sz w:val="20"/>
                <w:szCs w:val="20"/>
                <w:color w:val="auto"/>
              </w:rPr>
            </w:pPr>
            <w:r>
              <w:rPr>
                <w:rFonts w:ascii="Arial" w:cs="Arial" w:eastAsia="Arial" w:hAnsi="Arial"/>
                <w:sz w:val="16"/>
                <w:szCs w:val="16"/>
                <w:color w:val="auto"/>
              </w:rPr>
              <w:t>2</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1420" w:type="dxa"/>
            <w:vAlign w:val="bottom"/>
            <w:tcBorders>
              <w:bottom w:val="single" w:sz="8" w:color="808080"/>
            </w:tcBorders>
          </w:tcPr>
          <w:p>
            <w:pPr>
              <w:spacing w:after="0"/>
              <w:rPr>
                <w:sz w:val="16"/>
                <w:szCs w:val="16"/>
                <w:color w:val="auto"/>
              </w:rPr>
            </w:pPr>
          </w:p>
        </w:tc>
        <w:tc>
          <w:tcPr>
            <w:tcW w:w="17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PART I</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w:t>
        <w:tab/>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xml:space="preserve">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and our telephone number is (952) 888-8801. Our web site for corporate and investor information is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156" w:lineRule="exact"/>
        <w:rPr>
          <w:sz w:val="20"/>
          <w:szCs w:val="20"/>
          <w:color w:val="auto"/>
        </w:rPr>
      </w:pPr>
    </w:p>
    <w:p>
      <w:pPr>
        <w:ind w:firstLine="136"/>
        <w:spacing w:after="0" w:line="253" w:lineRule="auto"/>
        <w:rPr>
          <w:sz w:val="20"/>
          <w:szCs w:val="20"/>
          <w:color w:val="auto"/>
        </w:rPr>
      </w:pPr>
      <w:r>
        <w:rPr>
          <w:rFonts w:ascii="Arial" w:cs="Arial" w:eastAsia="Arial" w:hAnsi="Arial"/>
          <w:sz w:val="16"/>
          <w:szCs w:val="16"/>
          <w:color w:val="auto"/>
        </w:rPr>
        <w:t>We design, manufacture, and market professional turf maintenance equipment and services, turf irrigation systems, landscaping equipment and lighting, agricultural micro-irrigation systems, rental and construction equipment, and residential yard and snow removal products. We produced our first mower for golf course use in 1921 when we mounted five reel mowers on a Toro tractor, and we introduced our first lawn mower for residential use in 1935. We have continued to enhance our product lines ever since. We classify our operations into three reportable business segments: Professional, Residential, and Distribution. Our Distribution segment, which consists of our company-owned domestic distributorships, has been combined with our corporate activities and is shown as "Other." Net sales of our three reportable segments accounted for the following percentages of our consolidated net sales for fiscal 2013: Professional, 70 percent; Residential, 29 percent; and Other, 1 percent.</w:t>
      </w:r>
    </w:p>
    <w:p>
      <w:pPr>
        <w:spacing w:after="0" w:line="160" w:lineRule="exact"/>
        <w:rPr>
          <w:sz w:val="20"/>
          <w:szCs w:val="20"/>
          <w:color w:val="auto"/>
        </w:rPr>
      </w:pPr>
    </w:p>
    <w:p>
      <w:pPr>
        <w:ind w:right="120" w:firstLine="136"/>
        <w:spacing w:after="0" w:line="260" w:lineRule="auto"/>
        <w:rPr>
          <w:sz w:val="20"/>
          <w:szCs w:val="20"/>
          <w:color w:val="auto"/>
        </w:rPr>
      </w:pPr>
      <w:r>
        <w:rPr>
          <w:rFonts w:ascii="Arial" w:cs="Arial" w:eastAsia="Arial" w:hAnsi="Arial"/>
          <w:sz w:val="16"/>
          <w:szCs w:val="16"/>
          <w:color w:val="auto"/>
        </w:rPr>
        <w:t>Our products are advertised and sold at the retail level under the primary trademarks of Toro®, Exmark®, Irritrol®, Hayter®, Pope®, Unique Lighting Systems®, Lawn-Boy®, and Lawn Genie®, most of which are registered in the United States and/or in the primary countries outside the United States where we market such products. This report also contains trademarks, trade names, and service marks that are owned by other persons or entities, such as The Home Depot.</w:t>
      </w:r>
    </w:p>
    <w:p>
      <w:pPr>
        <w:spacing w:after="0" w:line="156" w:lineRule="exact"/>
        <w:rPr>
          <w:sz w:val="20"/>
          <w:szCs w:val="20"/>
          <w:color w:val="auto"/>
        </w:rPr>
      </w:pPr>
    </w:p>
    <w:p>
      <w:pPr>
        <w:ind w:right="20" w:firstLine="136"/>
        <w:spacing w:after="0" w:line="254" w:lineRule="auto"/>
        <w:rPr>
          <w:sz w:val="20"/>
          <w:szCs w:val="20"/>
          <w:color w:val="auto"/>
        </w:rPr>
      </w:pPr>
      <w:r>
        <w:rPr>
          <w:rFonts w:ascii="Arial" w:cs="Arial" w:eastAsia="Arial" w:hAnsi="Arial"/>
          <w:sz w:val="16"/>
          <w:szCs w:val="16"/>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existing products and develop new products. Through these efforts, we seek to be responsive to trends that may affect our target markets now and in the future. A significant portion of our revenues have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supplementing our existing brands and product portfolio.</w:t>
      </w:r>
    </w:p>
    <w:p>
      <w:pPr>
        <w:spacing w:after="0" w:line="161" w:lineRule="exact"/>
        <w:rPr>
          <w:sz w:val="20"/>
          <w:szCs w:val="20"/>
          <w:color w:val="auto"/>
        </w:rPr>
      </w:pPr>
    </w:p>
    <w:p>
      <w:pPr>
        <w:ind w:right="300" w:firstLine="136"/>
        <w:spacing w:after="0" w:line="268" w:lineRule="auto"/>
        <w:rPr>
          <w:sz w:val="20"/>
          <w:szCs w:val="20"/>
          <w:color w:val="auto"/>
        </w:rPr>
      </w:pPr>
      <w:r>
        <w:rPr>
          <w:rFonts w:ascii="Arial" w:cs="Arial" w:eastAsia="Arial" w:hAnsi="Arial"/>
          <w:sz w:val="16"/>
          <w:szCs w:val="16"/>
          <w:color w:val="auto"/>
        </w:rPr>
        <w:t>Our purpose is to help our customers enrich the beauty, productivity, and sustainability of the land. Our mission is to be the leading worldwide provider of outdoor landscaping products, support services, and integrated systems that help customers preserve and beautify their outdoor landscapes with environmentally responsible solutions of customer-valued quality and innovation.</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by Market</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strive to be a leader in adapting advanced technologies to products and services that provide solutions for turf care maintenance, landscapes, agricultural fields, construction, and residential demands. The following is a summary of our products, by market, for the Professional segment and our products for the Residential segment:</w:t>
      </w:r>
    </w:p>
    <w:p>
      <w:pPr>
        <w:spacing w:after="0" w:line="14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b w:val="1"/>
          <w:bCs w:val="1"/>
          <w:color w:val="auto"/>
        </w:rPr>
        <w:t xml:space="preserve">Professional </w:t>
      </w:r>
      <w:r>
        <w:rPr>
          <w:rFonts w:ascii="Arial" w:cs="Arial" w:eastAsia="Arial" w:hAnsi="Arial"/>
          <w:sz w:val="16"/>
          <w:szCs w:val="16"/>
          <w:color w:val="auto"/>
        </w:rPr>
        <w:t>– We design professional turf, landscape, construction, and agricultural products and market them worldwide through a network of distributors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dealers as well as directly to government customers, rental companies, and large retailers. These channel partners then sell our products primarily to professional users engaged in creating and renovating landscapes; irrigating turf and agricultural fields; installing, repairing, and replacing underground utilities; and maintaining turf, such as golf courses, sports fields, municipal properties, and residential and commercial landscapes.</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Landscape Contractor Market. </w:t>
      </w:r>
      <w:r>
        <w:rPr>
          <w:rFonts w:ascii="Arial" w:cs="Arial" w:eastAsia="Arial" w:hAnsi="Arial"/>
          <w:sz w:val="16"/>
          <w:szCs w:val="16"/>
          <w:color w:val="auto"/>
        </w:rPr>
        <w:t>We market products to landscape contractors under the Toro and Exmark brands. Products for the landscape contractor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include zero-turn radius riding mowers, heavy-duty walk behind mowers, mid-size walk behind mowers, stand-on mowers, and turf renovation and tree care equipment. We also offer some products with electronic fuel injection engine options, which provide improved fuel efficiency and lower emissions. In fiscal 2013, we enhanced our line of Toro Z Master® Commercial 3000 Series mowers, featuring our TURBO FORCE® cutting deck, integrated pump, and wheel motors designed for professional results, performance, and dependability. We also introduced a 30" walk behind mower under the Toro and Exmark brands, which features a wider deck that increases productivity yet maintains durability and contains a timed, twin-blade cutting system. In fiscal 2013, we introduced the RED Onboard Intelligence Platform, which is featured as part of the Exmark Lazer Z® X-Series zero-turn riding mowers. The platform enables communication and response between key systems, and safeguards machine health through monitoring and controlling key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components, such as the engine and clutch, and ultimately optimizes machine life and productivity. In addition, in fiscal 2013 we introduced the new Exmark Vantage® X-Series stand-on mower, featuring a patented Enhanced Control System which provides improved comfort and ergonomics for the operator.</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i w:val="1"/>
          <w:iCs w:val="1"/>
          <w:color w:val="auto"/>
        </w:rPr>
        <w:t xml:space="preserve">Sports Fields and Grounds Market. </w:t>
      </w:r>
      <w:r>
        <w:rPr>
          <w:rFonts w:ascii="Arial" w:cs="Arial" w:eastAsia="Arial" w:hAnsi="Arial"/>
          <w:sz w:val="16"/>
          <w:szCs w:val="16"/>
          <w:color w:val="auto"/>
        </w:rPr>
        <w:t>Products for the sports fields and grounds market include riding rotary mowers and attachments, aerators, and debris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products, which include versatile debris vacuums, blowers, and sweepers. Other products include multipurpose vehicles, such as the Toro Workman®, that can be used for turf maintenance, towing, and industrial hauling. In fiscal 2013, we began offering versions of these products which are compliant with Tier 4 diesel engine emission requirements. These products are sold through distributors, who then sell to owners and/or managers of sports fields, governmental properties, and residential and commercial landscapes.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 xml:space="preserve">Golf Market. </w:t>
      </w:r>
      <w:r>
        <w:rPr>
          <w:rFonts w:ascii="Arial" w:cs="Arial" w:eastAsia="Arial" w:hAnsi="Arial"/>
          <w:sz w:val="16"/>
          <w:szCs w:val="16"/>
          <w:color w:val="auto"/>
        </w:rPr>
        <w:t>Products for the golf course market include large reel and rotary riding products for fairway, rough and trim cutting; riding and walking mowers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putting greens and specialty areas; greens rollers; turf sprayer equipment; utility vehicles; aeration equipment; and bunker maintenance equipment. In fiscal 2013, we introduced the Reelmaster® 3550-D, which features a productive 82" cutting width, enhanced ground-following capability with turf-friendly tires, and three-wheel drive system designed for traction in hilly and wet conditions. In addition, in fiscal 2013, we began offering versions of our golf products which are compliant with Tier 4 diesel engine emission requirements.</w:t>
      </w:r>
    </w:p>
    <w:p>
      <w:pPr>
        <w:spacing w:after="0" w:line="156" w:lineRule="exact"/>
        <w:rPr>
          <w:sz w:val="20"/>
          <w:szCs w:val="20"/>
          <w:color w:val="auto"/>
        </w:rPr>
      </w:pPr>
    </w:p>
    <w:p>
      <w:pPr>
        <w:ind w:right="20" w:firstLine="136"/>
        <w:spacing w:after="0" w:line="250" w:lineRule="auto"/>
        <w:rPr>
          <w:sz w:val="20"/>
          <w:szCs w:val="20"/>
          <w:color w:val="auto"/>
        </w:rPr>
      </w:pPr>
      <w:r>
        <w:rPr>
          <w:rFonts w:ascii="Arial" w:cs="Arial" w:eastAsia="Arial" w:hAnsi="Arial"/>
          <w:sz w:val="16"/>
          <w:szCs w:val="16"/>
          <w:color w:val="auto"/>
        </w:rPr>
        <w:t>We also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combines modular flexibility, ease of use, and increased control in a single controller with programming to the individual station level that supports station-based flow management. Our Turf Guard® wireless soil monitoring systems are designed to measure soil moisture, salinity, and temperature through buried wireless sensors that communicate through an Internet server for processing and presentation to a user through the web. Our R Series™ conversion assemblies enable the upgrade of select competitive sprinklers to our patented technologies, such as our TruJectory™ sprinklers with adjustable height of spray capability. Our popular Lynx® central control system allows superintendents to control the irrigation of their course from a web-enabled device, or via our National Support Network, which provides remote troubleshooting. In fiscal 2013, we introduced the Toro Twilight™ Golf lighting system, a collection of LED-powered cup lights and removable perimeter lighting fixtures designed to illuminate putting greens during club events or special functions.</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 xml:space="preserve">Residential/Commercial Irrigation and Lighting Market. </w:t>
      </w:r>
      <w:r>
        <w:rPr>
          <w:rFonts w:ascii="Arial" w:cs="Arial" w:eastAsia="Arial" w:hAnsi="Arial"/>
          <w:sz w:val="16"/>
          <w:szCs w:val="16"/>
          <w:color w:val="auto"/>
        </w:rPr>
        <w:t>Turf irrigation products marketed under the Toro and Irritrol brands include rotors; sprinkler bodies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 automatic irrigation. Electric controllers activate valves and sprinklers in a typical irrigation system. Our Irritrol Climate Logic® smart device automatically adjusts irrigation system watering times based on real-time weather data from an on-site sensor combined with historical averages, while our multiple award-winning Toro Precision™ Soil Sensor wirelessly transmits soil moisture content to any modern day irrigation controller and signals whether or not a watering cycle is needed. Our Precision™ Series Spray Nozzles are designed to provide water distribution uniformity while reducing the use of water without affecting the health of landscapes. Both the Toro and Irritrol brands achieved Environmental Protection Agency ("EPA") WaterSense certification for numerous irrigation controller families and models. In fiscal 2013, we introduced the EVOLUTION® Series, an intuitive, menu-based controller family that offers computer programming, lighting control, multiple soil sensors, smart add-ons, and downloadable updates through a USB device.</w:t>
      </w:r>
    </w:p>
    <w:p>
      <w:pPr>
        <w:spacing w:after="0" w:line="162" w:lineRule="exact"/>
        <w:rPr>
          <w:sz w:val="20"/>
          <w:szCs w:val="20"/>
          <w:color w:val="auto"/>
        </w:rPr>
      </w:pPr>
    </w:p>
    <w:p>
      <w:pPr>
        <w:ind w:right="480" w:firstLine="136"/>
        <w:spacing w:after="0" w:line="268" w:lineRule="auto"/>
        <w:rPr>
          <w:sz w:val="20"/>
          <w:szCs w:val="20"/>
          <w:color w:val="auto"/>
        </w:rPr>
      </w:pPr>
      <w:r>
        <w:rPr>
          <w:rFonts w:ascii="Arial" w:cs="Arial" w:eastAsia="Arial" w:hAnsi="Arial"/>
          <w:sz w:val="16"/>
          <w:szCs w:val="16"/>
          <w:color w:val="auto"/>
        </w:rPr>
        <w:t>Our retail irrigation products are marketed under the Toro and Lawn Genie brand names. These products are designed for homeowner installation and include sprinkler heads, valves, timers, sensors, and drip irrigation systems. The XTRA SMART® ECXTRA™ sprinkler timer and its intuitive, online Scheduling Advisor™ recommends the proper watering schedule based on the local weather, plant type, and sprinkler type.</w:t>
      </w:r>
    </w:p>
    <w:p>
      <w:pPr>
        <w:spacing w:after="0" w:line="149" w:lineRule="exact"/>
        <w:rPr>
          <w:sz w:val="20"/>
          <w:szCs w:val="20"/>
          <w:color w:val="auto"/>
        </w:rPr>
      </w:pPr>
    </w:p>
    <w:p>
      <w:pPr>
        <w:ind w:right="40" w:firstLine="136"/>
        <w:spacing w:after="0" w:line="260" w:lineRule="auto"/>
        <w:rPr>
          <w:sz w:val="20"/>
          <w:szCs w:val="20"/>
          <w:color w:val="auto"/>
        </w:rPr>
      </w:pPr>
      <w:r>
        <w:rPr>
          <w:rFonts w:ascii="Arial" w:cs="Arial" w:eastAsia="Arial" w:hAnsi="Arial"/>
          <w:sz w:val="16"/>
          <w:szCs w:val="16"/>
          <w:color w:val="auto"/>
        </w:rPr>
        <w:t>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 purchase our irrigation products. In fiscal 2013, we expanded our offering of FLEX™ Series drop-in LED lamps and also introduced the LIGHT LOGIC™ remote control system that provides operators with wireless scene control for landscape lighting.</w:t>
      </w:r>
    </w:p>
    <w:p>
      <w:pPr>
        <w:spacing w:after="0" w:line="156" w:lineRule="exact"/>
        <w:rPr>
          <w:sz w:val="20"/>
          <w:szCs w:val="20"/>
          <w:color w:val="auto"/>
        </w:rPr>
      </w:pPr>
    </w:p>
    <w:p>
      <w:pPr>
        <w:jc w:val="both"/>
        <w:ind w:right="280"/>
        <w:spacing w:after="0" w:line="268" w:lineRule="auto"/>
        <w:rPr>
          <w:sz w:val="20"/>
          <w:szCs w:val="20"/>
          <w:color w:val="auto"/>
        </w:rPr>
      </w:pPr>
      <w:r>
        <w:rPr>
          <w:rFonts w:ascii="Arial" w:cs="Arial" w:eastAsia="Arial" w:hAnsi="Arial"/>
          <w:sz w:val="16"/>
          <w:szCs w:val="16"/>
          <w:b w:val="1"/>
          <w:bCs w:val="1"/>
          <w:i w:val="1"/>
          <w:iCs w:val="1"/>
          <w:color w:val="auto"/>
        </w:rPr>
        <w:t xml:space="preserve">Micro-Irrigation Market. </w:t>
      </w:r>
      <w:r>
        <w:rPr>
          <w:rFonts w:ascii="Arial" w:cs="Arial" w:eastAsia="Arial" w:hAnsi="Arial"/>
          <w:sz w:val="16"/>
          <w:szCs w:val="16"/>
          <w:color w:val="auto"/>
        </w:rPr>
        <w:t>Products for the micro-irrigation market include products that regulate the flow of water for drip irrigation, including Aqua-Traxx®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PBX drip tape, Aqua-Traxx® PC (pressure-compensating) drip tape, Blue Stripe® polyethylene tubing, BlueLine® drip line, and NGE® emitters, all used in agriculture, mining,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and landscape applications. In addition to these core products, we offer a full complement of control devices and connection options to complete the system. These products are sold mainly through dealers and distributors who then sell to end-users for use primarily in vegetable fields, fruit and nut orchards, vineyards, landscapes, and mines. In fiscal 2013, we expanded our product offering of the Neptune® thinwall dripline into the North America market, featuring a medium-durability dripline that enables growers to install a subsurface drip irrigation system designed to last for up to ten years and to allow growers of medium-length crops to adopt drip irrigation at a more economical cost than other traditional irrigation methods. In addition, in fiscal 2013, we introduced AquaFlow™ 3.2 Drip Irrigation Design Software, a new software package used to help design drip irrigation systems. Also, in late fiscal 2013, we began operations at our new micro-irrigation facility in China in order to support the anticipated global growth of our micro-irrigation business and enable expansion into new markets.</w:t>
      </w:r>
    </w:p>
    <w:p>
      <w:pPr>
        <w:spacing w:after="0" w:line="35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i w:val="1"/>
          <w:iCs w:val="1"/>
          <w:color w:val="auto"/>
        </w:rPr>
        <w:t xml:space="preserve">Rental and Construction Market. </w:t>
      </w:r>
      <w:r>
        <w:rPr>
          <w:rFonts w:ascii="Arial" w:cs="Arial" w:eastAsia="Arial" w:hAnsi="Arial"/>
          <w:sz w:val="16"/>
          <w:szCs w:val="16"/>
          <w:color w:val="auto"/>
        </w:rPr>
        <w:t>Our compact utility loaders are the cornerstone products for our Toro Sitework Systems business, which are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the efficiency in creation and renovation of landscapes. We offer over 35 attachments for our compact utility loaders, including trenchers, augers, vibratory plows, and backhoes. In late fiscal 2013, we launched the STX-38 Stump Grinder featuring high maneuverability and hydraulic sweep control.</w:t>
      </w:r>
    </w:p>
    <w:p>
      <w:pPr>
        <w:spacing w:after="0" w:line="149" w:lineRule="exact"/>
        <w:rPr>
          <w:sz w:val="20"/>
          <w:szCs w:val="20"/>
          <w:color w:val="auto"/>
        </w:rPr>
      </w:pPr>
    </w:p>
    <w:p>
      <w:pPr>
        <w:jc w:val="both"/>
        <w:ind w:right="80" w:firstLine="136"/>
        <w:spacing w:after="0" w:line="268" w:lineRule="auto"/>
        <w:rPr>
          <w:sz w:val="20"/>
          <w:szCs w:val="20"/>
          <w:color w:val="auto"/>
        </w:rPr>
      </w:pPr>
      <w:r>
        <w:rPr>
          <w:rFonts w:ascii="Arial" w:cs="Arial" w:eastAsia="Arial" w:hAnsi="Arial"/>
          <w:sz w:val="16"/>
          <w:szCs w:val="16"/>
          <w:color w:val="auto"/>
        </w:rPr>
        <w:t>Products for the rental market include compact utility loaders, walk-behind trenchers, stump grinders, and turf renovation products, many of which are also sold to landscape contractors. We also have a new line of rental products that feature concrete and mortar mixers, material handlers, compaction equipment, and other concrete power tools, which were released as Toro-branded products after being acquired in fiscal 2012.</w:t>
      </w:r>
    </w:p>
    <w:p>
      <w:pPr>
        <w:spacing w:after="0" w:line="149" w:lineRule="exact"/>
        <w:rPr>
          <w:sz w:val="20"/>
          <w:szCs w:val="20"/>
          <w:color w:val="auto"/>
        </w:rPr>
      </w:pPr>
    </w:p>
    <w:p>
      <w:pPr>
        <w:ind w:right="20" w:firstLine="136"/>
        <w:spacing w:after="0" w:line="268" w:lineRule="auto"/>
        <w:rPr>
          <w:sz w:val="20"/>
          <w:szCs w:val="20"/>
          <w:color w:val="auto"/>
        </w:rPr>
      </w:pPr>
      <w:r>
        <w:rPr>
          <w:rFonts w:ascii="Arial" w:cs="Arial" w:eastAsia="Arial" w:hAnsi="Arial"/>
          <w:sz w:val="16"/>
          <w:szCs w:val="16"/>
          <w:color w:val="auto"/>
        </w:rPr>
        <w:t>Our presence in the construction market is driven by an equipment line of vibratory plows, trenchers, and horizontal directional drills, all of which are used in the installation, repair, and replacement of underground utilities with minimal impact on surrounding landscapes or structures. In late fiscal 2013, we introduced the Toro Pro Sneak™ Vibratory Plow that delivers consistent and powerful plowing in a compact, maneuverable package.</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b w:val="1"/>
          <w:bCs w:val="1"/>
          <w:color w:val="auto"/>
        </w:rPr>
        <w:t xml:space="preserve">Residential </w:t>
      </w:r>
      <w:r>
        <w:rPr>
          <w:rFonts w:ascii="Arial" w:cs="Arial" w:eastAsia="Arial" w:hAnsi="Arial"/>
          <w:sz w:val="16"/>
          <w:szCs w:val="16"/>
          <w:color w:val="auto"/>
        </w:rPr>
        <w:t>– We market our residential products to homeowners through a variety of distribution channels, including outdoor power equipment dealers,</w:t>
      </w:r>
      <w:r>
        <w:rPr>
          <w:rFonts w:ascii="Arial" w:cs="Arial" w:eastAsia="Arial" w:hAnsi="Arial"/>
          <w:sz w:val="16"/>
          <w:szCs w:val="16"/>
          <w:b w:val="1"/>
          <w:bCs w:val="1"/>
          <w:color w:val="auto"/>
        </w:rPr>
        <w:t xml:space="preserve"> </w:t>
      </w:r>
      <w:r>
        <w:rPr>
          <w:rFonts w:ascii="Arial" w:cs="Arial" w:eastAsia="Arial" w:hAnsi="Arial"/>
          <w:sz w:val="16"/>
          <w:szCs w:val="16"/>
          <w:color w:val="auto"/>
        </w:rPr>
        <w:t>hardware retailers, home centers, mass retailers, and over the Internet. These products are sold mainly in North America, Europe, and Australia, with the exception of snow removal products that are sold primarily in North America and Europe. We also license our trademark on certain home solutions products as a means of expanding our brand presence.</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auto"/>
        </w:rPr>
        <w:t xml:space="preserve">Walk Power Mower Products. </w:t>
      </w:r>
      <w:r>
        <w:rPr>
          <w:rFonts w:ascii="Arial" w:cs="Arial" w:eastAsia="Arial" w:hAnsi="Arial"/>
          <w:sz w:val="16"/>
          <w:szCs w:val="16"/>
          <w:color w:val="auto"/>
        </w:rPr>
        <w:t>We manufacture and market numerous walk power mower models under our Toro and Lawn-Boy brand names,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Pope brand in Australia and the Hayter brand in the United Kingdom. Models differ as to cutting width, type of starter mechanism, method of grass clipping discharge, deck type, operational controls, and power sources, and are either self-propelled or push mowers. We also offer a line of rear-roller walk power mowers, a design that provides a striped finish, for the United Kingdom market.</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Riding Products. </w:t>
      </w:r>
      <w:r>
        <w:rPr>
          <w:rFonts w:ascii="Arial" w:cs="Arial" w:eastAsia="Arial" w:hAnsi="Arial"/>
          <w:sz w:val="16"/>
          <w:szCs w:val="16"/>
          <w:color w:val="auto"/>
        </w:rPr>
        <w:t>We manufacture and market riding products under the Toro brand name. Riding products primarily consist of zero-turn radius mowers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designed to save homeowners time by using superior maneuverability to cut around obstacles more quickly and easily than tractor technology. Our TimeCutter® SS zero-turn radius mowers are equipped with our innovative Smart Speed® control system, which is designed to allow the operator to choose different ground speed ranges with the flip of a lever and without changing the blade or engine speed. We also sell lawn and garden tractor riding products, as well as direct-collect riding mowers that are manufactured and sold in the European market. Many models of our riding products are available with a variety of engines, decks, transmissions, and accessories.</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b w:val="1"/>
          <w:bCs w:val="1"/>
          <w:i w:val="1"/>
          <w:iCs w:val="1"/>
          <w:color w:val="auto"/>
        </w:rPr>
        <w:t xml:space="preserve">Home Solutions Products. </w:t>
      </w:r>
      <w:r>
        <w:rPr>
          <w:rFonts w:ascii="Arial" w:cs="Arial" w:eastAsia="Arial" w:hAnsi="Arial"/>
          <w:sz w:val="16"/>
          <w:szCs w:val="16"/>
          <w:color w:val="auto"/>
        </w:rPr>
        <w:t>We design and market home solutions products under the Toro and Pope brand names, including electric, gas, and cordless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grass trimmers, electric and cordless hedge trimmers, electric and gas blower-vacuums, and electric snow throwers. In Australia, we also design and market underground and hose-end retail irrigation products under the Pope brand name. In fiscal 2013, we enhanced and broadened our product offering of lithium-ion battery powered trimmers and blowers, including products that feature variable speed control for multiple applications and performance without the hassle or maintenance of gas-powered engines.</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i w:val="1"/>
          <w:iCs w:val="1"/>
          <w:color w:val="auto"/>
        </w:rPr>
        <w:t xml:space="preserve">Gas Snow Removal Products. </w:t>
      </w:r>
      <w:r>
        <w:rPr>
          <w:rFonts w:ascii="Arial" w:cs="Arial" w:eastAsia="Arial" w:hAnsi="Arial"/>
          <w:sz w:val="16"/>
          <w:szCs w:val="16"/>
          <w:color w:val="auto"/>
        </w:rPr>
        <w:t>We manufacture and market a range of gas-powered single-stage and two-stage snow thrower models. Single-stage snow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throwers are walk behind units with lightweight four-cycle gasoline engines. Most single-stage snow thrower models include Power Curve® snow thrower technology and some feature our Quick Shoot™ control system that enables operators to quickly change snow-throwing direction. Our innovative pivoting scraper is designed to keep the rotor in constant contact with the pavement. Our two-stage snow throwers are generally designed for relatively large areas of deep, heavy snow and use four-cycle engines. Our two-stage snow throwers include a line of innovative models featuring our patented Anti-Clogging System and Quick Stick® chute control technology. In late fiscal 2012, we enhanced our portfolio of compact two-stage snow throwers by introducing a new line of Power Max® snow throwers featuring a one-piece frame designed to provide maximum strength and durability and reliable performance in cold-weather conditions.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International Operations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 Business Segments</w:t>
      </w:r>
    </w:p>
    <w:p>
      <w:pPr>
        <w:spacing w:after="0" w:line="18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currently manufacture our products in the United States ("U.S."), Mexico, Australia, the United Kingdom, Italy, and Romania for sale throughout the world. In late fiscal 2013, we began manufacturing micro-irrigation products in China. We maintain sales offices in the United States, Belgium, the United Kingdom, France, Australia, Singapore, Japan, China, Italy, Korea, and Germany. New product development is pursued primarily in the United States. Our net sales outside the U.S. were 30.1 percent, 30.3 percent, and 32.3 percent of total consolidated net sales for fiscal 2013, 2012, and 2011, respectively.</w:t>
      </w:r>
    </w:p>
    <w:p>
      <w:pPr>
        <w:spacing w:after="0" w:line="156" w:lineRule="exact"/>
        <w:rPr>
          <w:sz w:val="20"/>
          <w:szCs w:val="20"/>
          <w:color w:val="auto"/>
        </w:rPr>
      </w:pPr>
    </w:p>
    <w:p>
      <w:pPr>
        <w:ind w:firstLine="127"/>
        <w:spacing w:after="0" w:line="254" w:lineRule="auto"/>
        <w:rPr>
          <w:sz w:val="20"/>
          <w:szCs w:val="20"/>
          <w:color w:val="auto"/>
        </w:rPr>
      </w:pPr>
      <w:r>
        <w:rPr>
          <w:rFonts w:ascii="Arial" w:cs="Arial" w:eastAsia="Arial" w:hAnsi="Arial"/>
          <w:sz w:val="16"/>
          <w:szCs w:val="16"/>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international operations and geographical areas, and each of our three reportable business segments, see Note 12 of the Notes to Consolidated Financial Statements, in the section entitled "Segment Data," included in Part II, Item 8, "Financial Statements and Supplementary Data" of this report.</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Engineering and Research</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reduce costs, and improve quality.</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engineering expenses are primarily incurred in connection with the development of new products that may have additional applications or represent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extensions of existing product lines, improvements to existing products, and cost reduction efforts. Our expenditures for engineering and research were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$64.6 million (3.2 percent of net sales) in fiscal 2013, $60.1 million (3.1 percent of net sales) in fiscal 2012, and $57.0 million (3.0 percent of net sales) in fiscal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2011.</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Production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some areas of our business we serve as a fully integrated manufacturer, while in others we are primarily an assembler.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160" w:lineRule="exact"/>
        <w:rPr>
          <w:sz w:val="20"/>
          <w:szCs w:val="20"/>
          <w:color w:val="auto"/>
        </w:rPr>
      </w:pPr>
    </w:p>
    <w:p>
      <w:pPr>
        <w:ind w:right="60" w:firstLine="136"/>
        <w:spacing w:after="0" w:line="257" w:lineRule="auto"/>
        <w:rPr>
          <w:sz w:val="20"/>
          <w:szCs w:val="20"/>
          <w:color w:val="auto"/>
        </w:rPr>
      </w:pPr>
      <w:r>
        <w:rPr>
          <w:rFonts w:ascii="Arial" w:cs="Arial" w:eastAsia="Arial" w:hAnsi="Arial"/>
          <w:sz w:val="16"/>
          <w:szCs w:val="16"/>
          <w:color w:val="auto"/>
        </w:rPr>
        <w:t>In order to utilize our manufacturing facilities and technology more effectively, we pursue continuous improvements in our 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SKU consolidation, safety improvements, and improved supply-chain management. We also have agreements with other third party manufacturers to manufacture products on our behalf.</w:t>
      </w:r>
    </w:p>
    <w:p>
      <w:pPr>
        <w:spacing w:after="0" w:line="156" w:lineRule="exact"/>
        <w:rPr>
          <w:sz w:val="20"/>
          <w:szCs w:val="20"/>
          <w:color w:val="auto"/>
        </w:rPr>
      </w:pPr>
    </w:p>
    <w:p>
      <w:pPr>
        <w:ind w:right="100" w:firstLine="136"/>
        <w:spacing w:after="0" w:line="257" w:lineRule="auto"/>
        <w:rPr>
          <w:sz w:val="20"/>
          <w:szCs w:val="20"/>
          <w:color w:val="auto"/>
        </w:rPr>
      </w:pPr>
      <w:r>
        <w:rPr>
          <w:rFonts w:ascii="Arial" w:cs="Arial" w:eastAsia="Arial" w:hAnsi="Arial"/>
          <w:sz w:val="16"/>
          <w:szCs w:val="16"/>
          <w:color w:val="auto"/>
        </w:rPr>
        <w:t>Our professional products are manufactured throughout the year. Our residential lawn and garden products are also generally manufactured throughout the year. However, our residential snow removal products are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156" w:lineRule="exact"/>
        <w:rPr>
          <w:sz w:val="20"/>
          <w:szCs w:val="20"/>
          <w:color w:val="auto"/>
        </w:rPr>
      </w:pPr>
    </w:p>
    <w:p>
      <w:pPr>
        <w:jc w:val="both"/>
        <w:ind w:right="200" w:firstLine="136"/>
        <w:spacing w:after="0" w:line="260" w:lineRule="auto"/>
        <w:rPr>
          <w:sz w:val="20"/>
          <w:szCs w:val="20"/>
          <w:color w:val="auto"/>
        </w:rPr>
      </w:pPr>
      <w:r>
        <w:rPr>
          <w:rFonts w:ascii="Arial" w:cs="Arial" w:eastAsia="Arial" w:hAnsi="Arial"/>
          <w:sz w:val="16"/>
          <w:szCs w:val="16"/>
          <w:color w:val="auto"/>
        </w:rPr>
        <w:t>Our production levels and inventory management goals are based on estimates of retail demand for our products, taking into account production capacity,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and dealers.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 w:firstLine="136"/>
        <w:spacing w:after="0" w:line="260" w:lineRule="auto"/>
        <w:rPr>
          <w:sz w:val="20"/>
          <w:szCs w:val="20"/>
          <w:color w:val="auto"/>
        </w:rPr>
      </w:pPr>
      <w:r>
        <w:rPr>
          <w:rFonts w:ascii="Arial" w:cs="Arial" w:eastAsia="Arial" w:hAnsi="Arial"/>
          <w:sz w:val="16"/>
          <w:szCs w:val="16"/>
          <w:color w:val="auto"/>
        </w:rPr>
        <w:t>We periodically shut down production at our manufacturing facilities in order to allow for maintenance, rearrangement, capital equipment installation, and as needed, to adjust for market demand. Capital expenditures for fiscal 2014 are planned to be approximately $65 million as we expect to continue to invest in new product tooling and replacement production equipment, as well as expansion and construction of facilities, including the construction of a new corporate facility and expansion of our product development and test capacities.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purchase raw materials such as steel, aluminum, petroleum-based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During fiscal 2013, we experienced lower average commodity costs compared to the average prices paid for commodities in fiscal 2012, which benefited our gross margin growth rate in fiscal 2013 as compared to fiscal 2012. We anticipate commodity prices in fiscal 2014 to be higher compared to average prices paid for commodities during fiscal 2013. Historically, we have mitigated, and we currently expect to continue to mitigate, commodity cost increases, in part, by collaborating with suppliers, reviewing alternative sourcing options, substituting materials, engaging in internal cost reduction efforts, and increasing prices on some of our products, all as appropriate.</w:t>
      </w:r>
    </w:p>
    <w:p>
      <w:pPr>
        <w:spacing w:after="0" w:line="354" w:lineRule="exact"/>
        <w:rPr>
          <w:sz w:val="20"/>
          <w:szCs w:val="20"/>
          <w:color w:val="auto"/>
        </w:rPr>
      </w:pPr>
    </w:p>
    <w:p>
      <w:pPr>
        <w:ind w:right="100" w:firstLine="136"/>
        <w:spacing w:after="0" w:line="260" w:lineRule="auto"/>
        <w:rPr>
          <w:sz w:val="20"/>
          <w:szCs w:val="20"/>
          <w:color w:val="auto"/>
        </w:rPr>
      </w:pPr>
      <w:r>
        <w:rPr>
          <w:rFonts w:ascii="Arial" w:cs="Arial" w:eastAsia="Arial" w:hAnsi="Arial"/>
          <w:sz w:val="16"/>
          <w:szCs w:val="16"/>
          <w:color w:val="auto"/>
        </w:rPr>
        <w:t>Most of the raw materials and components used in our products are also affected by commodity cost pressures, are commercially available from a number of sources, and are in adequate supply. However, certain of our components are sourced from single suppliers. In fiscal 2013, we experienced no significant work stoppages because of shortages of raw materials or commodities. The highest raw material and component costs are generally for steel, engines, hydraulic components, transmissions, plastic resin, and electric motors, all of which we purchase from several suppliers around the world.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and Warranty</w:t>
      </w:r>
    </w:p>
    <w:p>
      <w:pPr>
        <w:spacing w:after="0" w:line="20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type and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Trademarks</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161" w:lineRule="exact"/>
        <w:rPr>
          <w:sz w:val="20"/>
          <w:szCs w:val="20"/>
          <w:color w:val="auto"/>
        </w:rPr>
      </w:pPr>
    </w:p>
    <w:p>
      <w:pPr>
        <w:ind w:right="20" w:firstLine="136"/>
        <w:spacing w:after="0" w:line="260" w:lineRule="auto"/>
        <w:rPr>
          <w:sz w:val="20"/>
          <w:szCs w:val="20"/>
          <w:color w:val="auto"/>
        </w:rPr>
      </w:pPr>
      <w:r>
        <w:rPr>
          <w:rFonts w:ascii="Arial" w:cs="Arial" w:eastAsia="Arial" w:hAnsi="Arial"/>
          <w:sz w:val="16"/>
          <w:szCs w:val="16"/>
          <w:color w:val="auto"/>
        </w:rPr>
        <w:t>We regularly review certain patents issued by the United States Patent and Trademark Office ("USPTO") and international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w:t>
      </w:r>
    </w:p>
    <w:p>
      <w:pPr>
        <w:spacing w:after="0" w:line="156" w:lineRule="exact"/>
        <w:rPr>
          <w:sz w:val="20"/>
          <w:szCs w:val="20"/>
          <w:color w:val="auto"/>
        </w:rPr>
      </w:pPr>
    </w:p>
    <w:p>
      <w:pPr>
        <w:ind w:right="60" w:firstLine="136"/>
        <w:spacing w:after="0" w:line="260" w:lineRule="auto"/>
        <w:rPr>
          <w:sz w:val="20"/>
          <w:szCs w:val="20"/>
          <w:color w:val="auto"/>
        </w:rPr>
      </w:pPr>
      <w:r>
        <w:rPr>
          <w:rFonts w:ascii="Arial" w:cs="Arial" w:eastAsia="Arial" w:hAnsi="Arial"/>
          <w:sz w:val="16"/>
          <w:szCs w:val="16"/>
          <w:color w:val="auto"/>
        </w:rPr>
        <w:t>Similarly, we periodically monitor various trademark registers and the market to prevent infringement of and damage to our trademarks by others. We are currently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Sales of our residential products, which accounted for 29 percent of total consolidated net sales in fiscal 2013, are seasonal, with sales of lawn and garden products occurring primarily between February and June, depending upon seasonal weather conditions and demand for our products. Sales of snow removal products occur primarily between July and January, depending upon seasonal snow falls, demand, and product availability. Opposite seasons in global markets in which we sell our products somewhat moderate this seasonality of our residential product sales. Seasonality of professional product sales also exists, but is tempered because the selling season in the Southern U.S. and in our markets in the Southern hemisphere continues for a longer portion of the year than in Northern regions of the world.</w:t>
      </w:r>
    </w:p>
    <w:p>
      <w:pPr>
        <w:spacing w:after="0" w:line="161" w:lineRule="exact"/>
        <w:rPr>
          <w:sz w:val="20"/>
          <w:szCs w:val="20"/>
          <w:color w:val="auto"/>
        </w:rPr>
      </w:pPr>
    </w:p>
    <w:p>
      <w:pPr>
        <w:ind w:firstLine="136"/>
        <w:spacing w:after="0" w:line="254" w:lineRule="auto"/>
        <w:rPr>
          <w:sz w:val="20"/>
          <w:szCs w:val="20"/>
          <w:color w:val="auto"/>
        </w:rPr>
      </w:pPr>
      <w:r>
        <w:rPr>
          <w:rFonts w:ascii="Arial" w:cs="Arial" w:eastAsia="Arial" w:hAnsi="Arial"/>
          <w:sz w:val="16"/>
          <w:szCs w:val="16"/>
          <w:color w:val="auto"/>
        </w:rPr>
        <w:t>Overall, our worldwide sales levels are historically highest in our fiscal second quarter and retail demand is generally highest in our fiscal third quarter. Typically, our accounts receivable balances increase between January and April because of higher sales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balances, cash flows from operations, and our bank credit lines.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156845</wp:posOffset>
            </wp:positionV>
            <wp:extent cx="647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5730" cy="8255"/>
                    </a:xfrm>
                    <a:prstGeom prst="rect">
                      <a:avLst/>
                    </a:prstGeom>
                    <a:noFill/>
                  </pic:spPr>
                </pic:pic>
              </a:graphicData>
            </a:graphic>
          </wp:anchor>
        </w:drawing>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640" w:type="dxa"/>
            <w:vAlign w:val="bottom"/>
            <w:gridSpan w:val="3"/>
          </w:tcPr>
          <w:p>
            <w:pPr>
              <w:ind w:left="260"/>
              <w:spacing w:after="0"/>
              <w:rPr>
                <w:sz w:val="20"/>
                <w:szCs w:val="20"/>
                <w:color w:val="auto"/>
              </w:rPr>
            </w:pPr>
            <w:r>
              <w:rPr>
                <w:rFonts w:ascii="Arial" w:cs="Arial" w:eastAsia="Arial" w:hAnsi="Arial"/>
                <w:sz w:val="13"/>
                <w:szCs w:val="13"/>
                <w:b w:val="1"/>
                <w:bCs w:val="1"/>
                <w:color w:val="auto"/>
              </w:rPr>
              <w:t>Fiscal 2013</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Fiscal 2012</w:t>
            </w:r>
          </w:p>
        </w:tc>
      </w:tr>
      <w:tr>
        <w:trPr>
          <w:trHeight w:val="130"/>
        </w:trPr>
        <w:tc>
          <w:tcPr>
            <w:tcW w:w="7280" w:type="dxa"/>
            <w:vAlign w:val="bottom"/>
          </w:tcPr>
          <w:p>
            <w:pPr>
              <w:spacing w:after="0"/>
              <w:rPr>
                <w:sz w:val="11"/>
                <w:szCs w:val="11"/>
                <w:color w:val="auto"/>
              </w:rPr>
            </w:pPr>
          </w:p>
        </w:tc>
        <w:tc>
          <w:tcPr>
            <w:tcW w:w="640" w:type="dxa"/>
            <w:vAlign w:val="bottom"/>
            <w:tcBorders>
              <w:top w:val="single" w:sz="8" w:color="auto"/>
            </w:tcBorders>
          </w:tcPr>
          <w:p>
            <w:pPr>
              <w:jc w:val="right"/>
              <w:ind w:right="173"/>
              <w:spacing w:after="0" w:line="130" w:lineRule="exact"/>
              <w:rPr>
                <w:sz w:val="20"/>
                <w:szCs w:val="20"/>
                <w:color w:val="auto"/>
              </w:rPr>
            </w:pPr>
            <w:r>
              <w:rPr>
                <w:rFonts w:ascii="Arial" w:cs="Arial" w:eastAsia="Arial" w:hAnsi="Arial"/>
                <w:sz w:val="13"/>
                <w:szCs w:val="13"/>
                <w:b w:val="1"/>
                <w:bCs w:val="1"/>
                <w:color w:val="auto"/>
              </w:rPr>
              <w:t>Net</w:t>
            </w: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1"/>
                <w:szCs w:val="11"/>
                <w:color w:val="auto"/>
              </w:rPr>
            </w:pPr>
          </w:p>
        </w:tc>
        <w:tc>
          <w:tcPr>
            <w:tcW w:w="620" w:type="dxa"/>
            <w:vAlign w:val="bottom"/>
            <w:tcBorders>
              <w:top w:val="single" w:sz="8" w:color="auto"/>
            </w:tcBorders>
          </w:tcPr>
          <w:p>
            <w:pPr>
              <w:jc w:val="right"/>
              <w:ind w:right="173"/>
              <w:spacing w:after="0" w:line="130" w:lineRule="exact"/>
              <w:rPr>
                <w:sz w:val="20"/>
                <w:szCs w:val="20"/>
                <w:color w:val="auto"/>
              </w:rPr>
            </w:pPr>
            <w:r>
              <w:rPr>
                <w:rFonts w:ascii="Arial" w:cs="Arial" w:eastAsia="Arial" w:hAnsi="Arial"/>
                <w:sz w:val="13"/>
                <w:szCs w:val="13"/>
                <w:color w:val="auto"/>
              </w:rPr>
              <w:t>Net</w:t>
            </w: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9"/>
        </w:trPr>
        <w:tc>
          <w:tcPr>
            <w:tcW w:w="7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Quarter</w:t>
            </w: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Sales</w:t>
            </w: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Earnings</w:t>
            </w: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Sales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Earnings</w:t>
            </w:r>
          </w:p>
        </w:tc>
        <w:tc>
          <w:tcPr>
            <w:tcW w:w="140" w:type="dxa"/>
            <w:vAlign w:val="bottom"/>
            <w:gridSpan w:val="2"/>
          </w:tcPr>
          <w:p>
            <w:pPr>
              <w:spacing w:after="0"/>
              <w:rPr>
                <w:sz w:val="16"/>
                <w:szCs w:val="16"/>
                <w:color w:val="auto"/>
              </w:rPr>
            </w:pPr>
          </w:p>
        </w:tc>
      </w:tr>
      <w:tr>
        <w:trPr>
          <w:trHeight w:val="143"/>
        </w:trPr>
        <w:tc>
          <w:tcPr>
            <w:tcW w:w="72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First</w:t>
            </w:r>
          </w:p>
        </w:tc>
        <w:tc>
          <w:tcPr>
            <w:tcW w:w="6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b w:val="1"/>
                <w:bCs w:val="1"/>
                <w:color w:val="auto"/>
              </w:rPr>
              <w:t>22%</w:t>
            </w:r>
          </w:p>
        </w:tc>
        <w:tc>
          <w:tcPr>
            <w:tcW w:w="10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b w:val="1"/>
                <w:bCs w:val="1"/>
                <w:color w:val="auto"/>
              </w:rPr>
              <w:t>20%</w:t>
            </w:r>
          </w:p>
        </w:tc>
        <w:tc>
          <w:tcPr>
            <w:tcW w:w="620" w:type="dxa"/>
            <w:vAlign w:val="bottom"/>
            <w:shd w:val="clear" w:color="auto" w:fill="CCEEFF"/>
          </w:tcPr>
          <w:p>
            <w:pPr>
              <w:ind w:left="240"/>
              <w:spacing w:after="0" w:line="143" w:lineRule="exact"/>
              <w:rPr>
                <w:sz w:val="20"/>
                <w:szCs w:val="20"/>
                <w:color w:val="auto"/>
              </w:rPr>
            </w:pPr>
            <w:r>
              <w:rPr>
                <w:rFonts w:ascii="Arial" w:cs="Arial" w:eastAsia="Arial" w:hAnsi="Arial"/>
                <w:sz w:val="13"/>
                <w:szCs w:val="13"/>
                <w:color w:val="auto"/>
              </w:rPr>
              <w:t>22%</w:t>
            </w:r>
          </w:p>
        </w:tc>
        <w:tc>
          <w:tcPr>
            <w:tcW w:w="80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16%</w:t>
            </w:r>
          </w:p>
        </w:tc>
      </w:tr>
      <w:tr>
        <w:trPr>
          <w:trHeight w:val="151"/>
        </w:trPr>
        <w:tc>
          <w:tcPr>
            <w:tcW w:w="7280" w:type="dxa"/>
            <w:vAlign w:val="bottom"/>
          </w:tcPr>
          <w:p>
            <w:pPr>
              <w:spacing w:after="0"/>
              <w:rPr>
                <w:sz w:val="20"/>
                <w:szCs w:val="20"/>
                <w:color w:val="auto"/>
              </w:rPr>
            </w:pPr>
            <w:r>
              <w:rPr>
                <w:rFonts w:ascii="Arial" w:cs="Arial" w:eastAsia="Arial" w:hAnsi="Arial"/>
                <w:sz w:val="13"/>
                <w:szCs w:val="13"/>
                <w:b w:val="1"/>
                <w:bCs w:val="1"/>
                <w:color w:val="auto"/>
              </w:rPr>
              <w:t>Second</w:t>
            </w:r>
          </w:p>
        </w:tc>
        <w:tc>
          <w:tcPr>
            <w:tcW w:w="640" w:type="dxa"/>
            <w:vAlign w:val="bottom"/>
          </w:tcPr>
          <w:p>
            <w:pPr>
              <w:ind w:left="260"/>
              <w:spacing w:after="0"/>
              <w:rPr>
                <w:sz w:val="20"/>
                <w:szCs w:val="20"/>
                <w:color w:val="auto"/>
              </w:rPr>
            </w:pPr>
            <w:r>
              <w:rPr>
                <w:rFonts w:ascii="Arial" w:cs="Arial" w:eastAsia="Arial" w:hAnsi="Arial"/>
                <w:sz w:val="13"/>
                <w:szCs w:val="13"/>
                <w:b w:val="1"/>
                <w:bCs w:val="1"/>
                <w:color w:val="auto"/>
              </w:rPr>
              <w:t>34</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51</w:t>
            </w:r>
          </w:p>
        </w:tc>
        <w:tc>
          <w:tcPr>
            <w:tcW w:w="620" w:type="dxa"/>
            <w:vAlign w:val="bottom"/>
          </w:tcPr>
          <w:p>
            <w:pPr>
              <w:ind w:left="240"/>
              <w:spacing w:after="0"/>
              <w:rPr>
                <w:sz w:val="20"/>
                <w:szCs w:val="20"/>
                <w:color w:val="auto"/>
              </w:rPr>
            </w:pPr>
            <w:r>
              <w:rPr>
                <w:rFonts w:ascii="Arial" w:cs="Arial" w:eastAsia="Arial" w:hAnsi="Arial"/>
                <w:sz w:val="13"/>
                <w:szCs w:val="13"/>
                <w:color w:val="auto"/>
              </w:rPr>
              <w:t>35</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r>
      <w:tr>
        <w:trPr>
          <w:trHeight w:val="151"/>
        </w:trPr>
        <w:tc>
          <w:tcPr>
            <w:tcW w:w="7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Third</w:t>
            </w:r>
          </w:p>
        </w:tc>
        <w:tc>
          <w:tcPr>
            <w:tcW w:w="6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25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26</w:t>
            </w:r>
          </w:p>
        </w:tc>
        <w:tc>
          <w:tcPr>
            <w:tcW w:w="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3"/>
                <w:szCs w:val="13"/>
                <w:color w:val="auto"/>
              </w:rPr>
            </w:pPr>
          </w:p>
        </w:tc>
      </w:tr>
      <w:tr>
        <w:trPr>
          <w:trHeight w:val="176"/>
        </w:trPr>
        <w:tc>
          <w:tcPr>
            <w:tcW w:w="7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Fourth</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19</w:t>
            </w: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3</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17</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5"/>
                <w:szCs w:val="15"/>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Weather</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U.S. increases, our dependency on weather in any one part of the world decreases. Nonetheless, weather conditions could materially affect our future net sales.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receivables from customers that are not financed with Red Iron. We fund our operations through a combination of cash and cash equivalents, cash flows from operations, short-term borrowings under our credit facilities, and long-term debt. Cash management is centralized and intercompany financing is used, wherever possible, to provide working capital to wholly owned subsidiaries as needed. In addition, our credit facilities are available for additional working capital needs, acquisitions, or other investment opportunities.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Marketing</w:t>
      </w:r>
    </w:p>
    <w:p>
      <w:pPr>
        <w:spacing w:after="0" w:line="207"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We market the majority of our products through approximately 40 domestic and 120 international distributors, as well as a large number of outdoor power equipment dealers, hardware retailers, home centers, and mass retailers in more than 90 countries worldwide.</w:t>
      </w:r>
    </w:p>
    <w:p>
      <w:pPr>
        <w:spacing w:after="0" w:line="131" w:lineRule="exact"/>
        <w:rPr>
          <w:sz w:val="20"/>
          <w:szCs w:val="20"/>
          <w:color w:val="auto"/>
        </w:rPr>
      </w:pPr>
    </w:p>
    <w:p>
      <w:pPr>
        <w:ind w:right="80" w:firstLine="136"/>
        <w:spacing w:after="0" w:line="257" w:lineRule="auto"/>
        <w:rPr>
          <w:sz w:val="20"/>
          <w:szCs w:val="20"/>
          <w:color w:val="auto"/>
        </w:rPr>
      </w:pPr>
      <w:r>
        <w:rPr>
          <w:rFonts w:ascii="Arial" w:cs="Arial" w:eastAsia="Arial" w:hAnsi="Arial"/>
          <w:sz w:val="16"/>
          <w:szCs w:val="16"/>
          <w:color w:val="auto"/>
        </w:rPr>
        <w:t>Professional products are sold to distributors primarily for resale to golf courses, sports fields, industrial facilities, contractors, and government customers, and in some markets for resale to dealers. We also sell some professional segment products directly to government customers and rental companies, as well as to end-users in certain international markets. Select residential/commercial irrigation and lighting products are sold to professional irrigation and lighting distributors, and certain retail irrigation products are sold directly to home centers. Products for the rental and construction market are sold directly to dealers and rental companies. Toro and Exmark landscape contractor products are also sold directly to dealers in certain regions of North America.</w:t>
      </w:r>
    </w:p>
    <w:p>
      <w:pPr>
        <w:spacing w:after="0" w:line="156" w:lineRule="exact"/>
        <w:rPr>
          <w:sz w:val="20"/>
          <w:szCs w:val="20"/>
          <w:color w:val="auto"/>
        </w:rPr>
      </w:pPr>
    </w:p>
    <w:p>
      <w:pPr>
        <w:ind w:right="240" w:firstLine="136"/>
        <w:spacing w:after="0" w:line="257" w:lineRule="auto"/>
        <w:rPr>
          <w:sz w:val="20"/>
          <w:szCs w:val="20"/>
          <w:color w:val="auto"/>
        </w:rPr>
      </w:pPr>
      <w:r>
        <w:rPr>
          <w:rFonts w:ascii="Arial" w:cs="Arial" w:eastAsia="Arial" w:hAnsi="Arial"/>
          <w:sz w:val="16"/>
          <w:szCs w:val="16"/>
          <w:color w:val="auto"/>
        </w:rPr>
        <w:t>Residential products, such as walk power mowers, riding products, and snow throwers, are generally sold directly to home centers, dealers, hardware retailers, and mass retailers. In certain markets, these same products are sold to distributors for resale to hardware retailers and dealers. Home solutions products are primarily sold directly to home centers, mass retailers, and hardware retailers. We also sell selected residential products over the Internet. Internationally, residential products are sold directly to dealers and mass merchandisers in Australia, Canada, and select countries in Europe. In most other countries, residential products are mainly sold to distributors for resale to dealers and mass retailers.</w:t>
      </w:r>
    </w:p>
    <w:p>
      <w:pPr>
        <w:spacing w:after="0" w:line="156" w:lineRule="exact"/>
        <w:rPr>
          <w:sz w:val="20"/>
          <w:szCs w:val="20"/>
          <w:color w:val="auto"/>
        </w:rPr>
      </w:pPr>
    </w:p>
    <w:p>
      <w:pPr>
        <w:jc w:val="both"/>
        <w:ind w:right="280" w:firstLine="136"/>
        <w:spacing w:after="0" w:line="291" w:lineRule="auto"/>
        <w:rPr>
          <w:sz w:val="20"/>
          <w:szCs w:val="20"/>
          <w:color w:val="auto"/>
        </w:rPr>
      </w:pPr>
      <w:r>
        <w:rPr>
          <w:rFonts w:ascii="Arial" w:cs="Arial" w:eastAsia="Arial" w:hAnsi="Arial"/>
          <w:sz w:val="16"/>
          <w:szCs w:val="16"/>
          <w:color w:val="auto"/>
        </w:rPr>
        <w:t>During fiscal 2013, we owned two domestic distribution companies. Our primary purposes in owning domestic distributorships are to facilitate ownership transfers while improving operations and to test and deploy new strategies and business practices that could be replicated by our independent distributors.</w:t>
      </w:r>
    </w:p>
    <w:p>
      <w:pPr>
        <w:spacing w:after="0" w:line="131" w:lineRule="exact"/>
        <w:rPr>
          <w:sz w:val="20"/>
          <w:szCs w:val="20"/>
          <w:color w:val="auto"/>
        </w:rPr>
      </w:pPr>
    </w:p>
    <w:p>
      <w:pPr>
        <w:ind w:right="40" w:firstLine="136"/>
        <w:spacing w:after="0" w:line="291" w:lineRule="auto"/>
        <w:rPr>
          <w:sz w:val="20"/>
          <w:szCs w:val="20"/>
          <w:color w:val="auto"/>
        </w:rPr>
      </w:pPr>
      <w:r>
        <w:rPr>
          <w:rFonts w:ascii="Arial" w:cs="Arial" w:eastAsia="Arial" w:hAnsi="Arial"/>
          <w:sz w:val="16"/>
          <w:szCs w:val="16"/>
          <w:color w:val="auto"/>
        </w:rPr>
        <w:t>Our distribution systems are intended to assure quality of sales and market presence, as well as to provide effective after-purchase service and support. We believe our distribution network provides a competitive advantage in marketing and selling our products, in part, because our primary distribution network is</w:t>
      </w:r>
    </w:p>
    <w:p>
      <w:pPr>
        <w:sectPr>
          <w:pgSz w:w="11900" w:h="16838" w:orient="portrait"/>
          <w:cols w:equalWidth="0" w:num="1">
            <w:col w:w="11400"/>
          </w:cols>
          <w:pgMar w:left="240" w:top="122" w:right="25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focused on selling and marketing our products, and because of the long-term relationships they have established and experienced personnel they utilize to deliver high levels of customer satisfaction.</w:t>
      </w:r>
    </w:p>
    <w:p>
      <w:pPr>
        <w:spacing w:after="0" w:line="131" w:lineRule="exact"/>
        <w:rPr>
          <w:sz w:val="20"/>
          <w:szCs w:val="20"/>
          <w:color w:val="auto"/>
        </w:rPr>
      </w:pPr>
    </w:p>
    <w:p>
      <w:pPr>
        <w:ind w:right="620" w:firstLine="136"/>
        <w:spacing w:after="0" w:line="291" w:lineRule="auto"/>
        <w:rPr>
          <w:sz w:val="20"/>
          <w:szCs w:val="20"/>
          <w:color w:val="auto"/>
        </w:rPr>
      </w:pPr>
      <w:r>
        <w:rPr>
          <w:rFonts w:ascii="Arial" w:cs="Arial" w:eastAsia="Arial" w:hAnsi="Arial"/>
          <w:sz w:val="16"/>
          <w:szCs w:val="16"/>
          <w:color w:val="auto"/>
        </w:rPr>
        <w:t>Our current marketing strategy is to maintain distinct brands and brand identification for Toro®, Exmark®, Irritrol®, Hayter®, Pope®, Unique Lighting Systems®, Lawn-Boy®, and Lawn Genie® products.</w:t>
      </w:r>
    </w:p>
    <w:p>
      <w:pPr>
        <w:spacing w:after="0" w:line="131" w:lineRule="exact"/>
        <w:rPr>
          <w:sz w:val="20"/>
          <w:szCs w:val="20"/>
          <w:color w:val="auto"/>
        </w:rPr>
      </w:pPr>
    </w:p>
    <w:p>
      <w:pPr>
        <w:ind w:right="60" w:firstLine="136"/>
        <w:spacing w:after="0" w:line="263" w:lineRule="auto"/>
        <w:rPr>
          <w:sz w:val="20"/>
          <w:szCs w:val="20"/>
          <w:color w:val="auto"/>
        </w:rPr>
      </w:pPr>
      <w:r>
        <w:rPr>
          <w:rFonts w:ascii="Arial" w:cs="Arial" w:eastAsia="Arial" w:hAnsi="Arial"/>
          <w:sz w:val="16"/>
          <w:szCs w:val="16"/>
          <w:color w:val="auto"/>
        </w:rPr>
        <w:t>We advertise our residential products during appropriate seasons throughout the year mainly on television, on the radio, in print, and via the Internet. Professional products are advertised mainly in print and through direct mail programs, as well as on the Internet. Most of our advertising emphasizes our brand names. Advertising is purchased by us, as well as through cooperative programs with distributors, dealers, hardware retailers, home centers, and mass retailers.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0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Overall, we believe that in the long-term we are not dependent on any single customer; however, the Residential segment of our business is dependent on The Home Depot as a customer, which accounted for approximately 10 percent and 11 percent of our total consolidated gross sales in fiscal 2013 and 2012, respectively.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 of Orders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backlog of orders is dependent upon when customers place orders, and is not necessarily an indicator of our expected results for our fiscal 2014 net sales. The approximate backlog of orders as of October 31, 2013 and 2012 was $91.2 million and $123.9 million, respectively, a decrease of 26.4 percent. Our backlog of orders as of the end of fiscal 2012 was abnormally high, mainly for our professional segment diesel engine products subject to Tier 4 diesel engine emission requirements that began to phase in for products manufactured after January 1, 2013. As a result of these new emission requirements, we implemented price increases in order to cover the additional costs associated with the Tier 4 technologies. Consequently, customers placed orders prior to the price increases going into effect, which resulted in an abnormally high amount of backlog of orders as of the end of fiscal 2012, and was not duplicated as of the end of fiscal 2013. We expect the existing backlog of orders will be filled in early fiscal 2014.</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maintaining turf and landscapes, and our distribution channels position us well to compete in various markets.</w:t>
      </w:r>
    </w:p>
    <w:p>
      <w:pPr>
        <w:spacing w:after="0" w:line="160" w:lineRule="exact"/>
        <w:rPr>
          <w:sz w:val="20"/>
          <w:szCs w:val="20"/>
          <w:color w:val="auto"/>
        </w:rPr>
      </w:pPr>
    </w:p>
    <w:p>
      <w:pPr>
        <w:ind w:right="280" w:firstLine="136"/>
        <w:spacing w:after="0" w:line="260" w:lineRule="auto"/>
        <w:rPr>
          <w:sz w:val="20"/>
          <w:szCs w:val="20"/>
          <w:color w:val="auto"/>
        </w:rPr>
      </w:pPr>
      <w:r>
        <w:rPr>
          <w:rFonts w:ascii="Arial" w:cs="Arial" w:eastAsia="Arial" w:hAnsi="Arial"/>
          <w:sz w:val="16"/>
          <w:szCs w:val="16"/>
          <w:color w:val="auto"/>
        </w:rPr>
        <w:t>Internationally, residential segment products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provide pricing support, as needed, to foreign customers to remain competitive in international markets.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 and Other Governmental Regulation</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are subject to numerous international, federal, state, and other governmental laws, rules, and regulations relating to, among others, climate change; emissions to air and discharges to water; restrictions placed on water usage and water availability; product and associated packaging; restricted substances, including "conflict minerals" disclosure rules;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For example:</w:t>
      </w:r>
    </w:p>
    <w:p>
      <w:pPr>
        <w:spacing w:after="0" w:line="156" w:lineRule="exact"/>
        <w:rPr>
          <w:sz w:val="20"/>
          <w:szCs w:val="20"/>
          <w:color w:val="auto"/>
        </w:rPr>
      </w:pPr>
    </w:p>
    <w:p>
      <w:pPr>
        <w:ind w:left="500" w:hanging="500"/>
        <w:spacing w:after="0" w:line="253"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United States EPA, the California Air Resources Board, and similar regulators in other U.S. states and foreign jurisdictions in which we sell our products have phased in, or are phasing in, emission regulations setting maximum emission standards for certain equipment. Specifically, the EPA adopted increasingly stringent engine emission regulations, including Tier 4 emission requirements applicable to diesel engines in specified horsepower ranges that are used in some of our professional segment products. Beginning January 1, 2013, such requirements expanded to additional horsepower categories and, accordingly, applied to more of our products.</w:t>
      </w:r>
    </w:p>
    <w:p>
      <w:pPr>
        <w:spacing w:after="0" w:line="2" w:lineRule="exact"/>
        <w:rPr>
          <w:rFonts w:ascii="Arial" w:cs="Arial" w:eastAsia="Arial" w:hAnsi="Arial"/>
          <w:sz w:val="16"/>
          <w:szCs w:val="16"/>
          <w:color w:val="auto"/>
        </w:rPr>
      </w:pPr>
    </w:p>
    <w:p>
      <w:pPr>
        <w:ind w:left="500" w:right="80" w:hanging="500"/>
        <w:spacing w:after="0" w:line="267"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United States federal government, several U.S. states, and certain international jurisdictions in which we sell our products, including the European Union ("EU") and each of its member states, have implemented one or more of the following: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line="249" w:lineRule="auto"/>
        <w:tabs>
          <w:tab w:leader="none" w:pos="19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product life-cycle laws, rules, or regulations, which are intended to reduce waste and environmental and human health impact, and require manufacturers to collect, dispose, and recycle certain products, including some of our products, at the end of their useful life, including the Waste Electrical and Electronic Equipment ("WEEE") directive or similar product life-cycle management laws, rules, or regulations, which mandate the labeling, collection, and disposal of specified waste electrical and electronic equipment, including some of our products; (ii) the Restriction on the use of Hazardous Substances ("RoHS") directive or similar substance level laws, rules, or regulations, which restrict the use of several specified hazardous materials in the manufacture of specific types of electrical and electronic equipment, including some of our products; (iii) country of origin laws, rules, or regulations, which require certification of the geographic origin of our finished goods products and/or components used in our products through documentation and/or physical markings, as applicable; and</w:t>
      </w:r>
    </w:p>
    <w:p>
      <w:pPr>
        <w:ind w:right="740"/>
        <w:spacing w:after="0" w:line="265" w:lineRule="auto"/>
        <w:tabs>
          <w:tab w:leader="none" w:pos="272" w:val="left"/>
        </w:tabs>
        <w:numPr>
          <w:ilvl w:val="0"/>
          <w:numId w:val="5"/>
        </w:numPr>
        <w:rPr>
          <w:rFonts w:ascii="Arial" w:cs="Arial" w:eastAsia="Arial" w:hAnsi="Arial"/>
          <w:sz w:val="16"/>
          <w:szCs w:val="16"/>
          <w:color w:val="auto"/>
        </w:rPr>
      </w:pPr>
      <w:r>
        <w:rPr>
          <w:rFonts w:ascii="Arial" w:cs="Arial" w:eastAsia="Arial" w:hAnsi="Arial"/>
          <w:sz w:val="16"/>
          <w:szCs w:val="16"/>
          <w:color w:val="auto"/>
        </w:rPr>
        <w:t>energy efficiency laws, rules, or regulations, which are intended to reduce the use and inefficiencies associated with energy and natural resource consumption and require specified efficiency ratings and capabilities for certain products, including some of our products.</w:t>
      </w:r>
    </w:p>
    <w:p>
      <w:pPr>
        <w:spacing w:after="0" w:line="151" w:lineRule="exact"/>
        <w:rPr>
          <w:sz w:val="20"/>
          <w:szCs w:val="20"/>
          <w:color w:val="auto"/>
        </w:rPr>
      </w:pPr>
    </w:p>
    <w:p>
      <w:pPr>
        <w:ind w:left="500" w:right="440" w:hanging="500"/>
        <w:spacing w:after="0" w:line="29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products, when used by residential customers, may be subject to various federal, state, and international laws, rules, and regulations that are designed to protect consumers, including rules and regulations of the United States Consumer Product Safety Commission.</w:t>
      </w:r>
    </w:p>
    <w:p>
      <w:pPr>
        <w:spacing w:after="0" w:line="131" w:lineRule="exact"/>
        <w:rPr>
          <w:sz w:val="20"/>
          <w:szCs w:val="20"/>
          <w:color w:val="auto"/>
        </w:rPr>
      </w:pPr>
    </w:p>
    <w:p>
      <w:pPr>
        <w:ind w:right="60" w:firstLine="127"/>
        <w:spacing w:after="0" w:line="257" w:lineRule="auto"/>
        <w:rPr>
          <w:sz w:val="20"/>
          <w:szCs w:val="20"/>
          <w:color w:val="auto"/>
        </w:rPr>
      </w:pPr>
      <w:r>
        <w:rPr>
          <w:rFonts w:ascii="Arial" w:cs="Arial" w:eastAsia="Arial" w:hAnsi="Arial"/>
          <w:sz w:val="16"/>
          <w:szCs w:val="16"/>
          <w:color w:val="auto"/>
        </w:rPr>
        <w:t>Although we believe that we are in substantial compliance with currently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regulations could lead to fines and other penalties, including restrictions on the importation of our products into, or the sale of our products in, one or more jurisdictions until compliance is achieved.</w:t>
      </w:r>
    </w:p>
    <w:p>
      <w:pPr>
        <w:spacing w:after="0" w:line="156" w:lineRule="exact"/>
        <w:rPr>
          <w:sz w:val="20"/>
          <w:szCs w:val="20"/>
          <w:color w:val="auto"/>
        </w:rPr>
      </w:pPr>
    </w:p>
    <w:p>
      <w:pPr>
        <w:ind w:right="160" w:firstLine="136"/>
        <w:spacing w:after="0" w:line="291" w:lineRule="auto"/>
        <w:rPr>
          <w:sz w:val="20"/>
          <w:szCs w:val="20"/>
          <w:color w:val="auto"/>
        </w:rPr>
      </w:pPr>
      <w:r>
        <w:rPr>
          <w:rFonts w:ascii="Arial" w:cs="Arial" w:eastAsia="Arial" w:hAnsi="Arial"/>
          <w:sz w:val="16"/>
          <w:szCs w:val="16"/>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Financing</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In fiscal 2009, we established Red Iron Acceptance, LLC ("Red Iron"), as a joint venture with TCF Inventory Finance, Inc. ("TCFIF"),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TCF National Bank. The purpose of Red Iron is to provide inventory financing, including floor plan and open account receivable financing, to distributors and dealers of our products in the U.S. and select distributors of our products in Canada.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162" w:lineRule="exact"/>
        <w:rPr>
          <w:sz w:val="20"/>
          <w:szCs w:val="20"/>
          <w:color w:val="auto"/>
        </w:rPr>
      </w:pPr>
    </w:p>
    <w:p>
      <w:pPr>
        <w:ind w:right="40" w:firstLine="136"/>
        <w:spacing w:after="0" w:line="268" w:lineRule="auto"/>
        <w:rPr>
          <w:sz w:val="20"/>
          <w:szCs w:val="20"/>
          <w:color w:val="auto"/>
        </w:rPr>
      </w:pPr>
      <w:r>
        <w:rPr>
          <w:rFonts w:ascii="Arial" w:cs="Arial" w:eastAsia="Arial" w:hAnsi="Arial"/>
          <w:sz w:val="16"/>
          <w:szCs w:val="16"/>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 Some independent international dealers continue to finance their products with third party sources.</w:t>
      </w:r>
    </w:p>
    <w:p>
      <w:pPr>
        <w:spacing w:after="0" w:line="149"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b w:val="1"/>
          <w:bCs w:val="1"/>
          <w:i w:val="1"/>
          <w:iCs w:val="1"/>
          <w:color w:val="auto"/>
        </w:rPr>
        <w:t xml:space="preserve">End-User Financing. </w:t>
      </w:r>
      <w:r>
        <w:rPr>
          <w:rFonts w:ascii="Arial" w:cs="Arial" w:eastAsia="Arial" w:hAnsi="Arial"/>
          <w:sz w:val="16"/>
          <w:szCs w:val="16"/>
          <w:color w:val="auto"/>
        </w:rPr>
        <w:t>We have agreements with third party financing companies to provide lease-financing options to golf course and sports fields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grounds equipment customers in the U.S and select countries in Europe. The purpose of these agreements is to increase sales by giving buyers of our products alternative financing options when purchasing our products.</w:t>
      </w:r>
    </w:p>
    <w:p>
      <w:pPr>
        <w:spacing w:after="0" w:line="149" w:lineRule="exact"/>
        <w:rPr>
          <w:sz w:val="20"/>
          <w:szCs w:val="20"/>
          <w:color w:val="auto"/>
        </w:rPr>
      </w:pPr>
    </w:p>
    <w:p>
      <w:pPr>
        <w:ind w:right="60" w:firstLine="136"/>
        <w:spacing w:after="0" w:line="268" w:lineRule="auto"/>
        <w:rPr>
          <w:sz w:val="20"/>
          <w:szCs w:val="20"/>
          <w:color w:val="auto"/>
        </w:rPr>
      </w:pPr>
      <w:r>
        <w:rPr>
          <w:rFonts w:ascii="Arial" w:cs="Arial" w:eastAsia="Arial" w:hAnsi="Arial"/>
          <w:sz w:val="16"/>
          <w:szCs w:val="16"/>
          <w:color w:val="auto"/>
        </w:rPr>
        <w:t>We also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149" w:lineRule="exact"/>
        <w:rPr>
          <w:sz w:val="20"/>
          <w:szCs w:val="20"/>
          <w:color w:val="auto"/>
        </w:rPr>
      </w:pPr>
    </w:p>
    <w:p>
      <w:pPr>
        <w:jc w:val="both"/>
        <w:ind w:right="420"/>
        <w:spacing w:after="0" w:line="268" w:lineRule="auto"/>
        <w:rPr>
          <w:sz w:val="20"/>
          <w:szCs w:val="20"/>
          <w:color w:val="auto"/>
        </w:rPr>
      </w:pPr>
      <w:r>
        <w:rPr>
          <w:rFonts w:ascii="Arial" w:cs="Arial" w:eastAsia="Arial" w:hAnsi="Arial"/>
          <w:sz w:val="16"/>
          <w:szCs w:val="16"/>
          <w:b w:val="1"/>
          <w:bCs w:val="1"/>
          <w:i w:val="1"/>
          <w:iCs w:val="1"/>
          <w:color w:val="auto"/>
        </w:rPr>
        <w:t xml:space="preserve">Distributor Financing. </w:t>
      </w:r>
      <w:r>
        <w:rPr>
          <w:rFonts w:ascii="Arial" w:cs="Arial" w:eastAsia="Arial" w:hAnsi="Arial"/>
          <w:sz w:val="16"/>
          <w:szCs w:val="16"/>
          <w:color w:val="auto"/>
        </w:rPr>
        <w:t>Occasionally, we enter into long-term loan agreements with some distributors. These transactions are used for expansion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businesses, acquisitions, refinancing working capital agreements, or ownership transitions. As of October 31, 2013, we had outstanding note receivables from two companies in the aggregate amount of $1.1 million.</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During fiscal 2013, we employed an average of 5,002 employees. The total number of employees as of October 31, 2013 was 5,057. We consider our employee relations to be good. Three collective bargaining agreements, each expiring in May 2014, October 2014, and October 2016, cover approximately 16 percent of our total employees. We also retain temporary and seasonal workers, mainly at our distribution centers and manufacturing facilities, as well as part-time workers, independent contractors, and consultants.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56" w:lineRule="exact"/>
        <w:rPr>
          <w:sz w:val="20"/>
          <w:szCs w:val="20"/>
          <w:color w:val="auto"/>
        </w:rPr>
      </w:pPr>
    </w:p>
    <w:p>
      <w:pPr>
        <w:ind w:right="260" w:firstLine="136"/>
        <w:spacing w:after="0" w:line="257" w:lineRule="auto"/>
        <w:rPr>
          <w:sz w:val="20"/>
          <w:szCs w:val="20"/>
          <w:color w:val="auto"/>
        </w:rPr>
      </w:pPr>
      <w:r>
        <w:rPr>
          <w:rFonts w:ascii="Arial" w:cs="Arial" w:eastAsia="Arial" w:hAnsi="Arial"/>
          <w:sz w:val="16"/>
          <w:szCs w:val="16"/>
          <w:color w:val="auto"/>
        </w:rPr>
        <w:t xml:space="preserve">We make available, free of charge on our web site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66" w:lineRule="exact"/>
        <w:rPr>
          <w:sz w:val="20"/>
          <w:szCs w:val="20"/>
          <w:color w:val="auto"/>
        </w:rPr>
      </w:pPr>
    </w:p>
    <w:p>
      <w:pPr>
        <w:ind w:right="120" w:firstLine="136"/>
        <w:spacing w:after="0" w:line="25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most significant factors known to us that could materially adversely affect our business,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160" w:lineRule="exact"/>
        <w:rPr>
          <w:sz w:val="20"/>
          <w:szCs w:val="20"/>
          <w:color w:val="auto"/>
        </w:rPr>
      </w:pPr>
    </w:p>
    <w:p>
      <w:pPr>
        <w:ind w:firstLine="136"/>
        <w:spacing w:after="0" w:line="268" w:lineRule="auto"/>
        <w:rPr>
          <w:sz w:val="20"/>
          <w:szCs w:val="20"/>
          <w:color w:val="auto"/>
        </w:rPr>
      </w:pPr>
      <w:r>
        <w:rPr>
          <w:rFonts w:ascii="Arial" w:cs="Arial" w:eastAsia="Arial" w:hAnsi="Arial"/>
          <w:sz w:val="16"/>
          <w:szCs w:val="16"/>
          <w:color w:val="auto"/>
        </w:rPr>
        <w:t>We undertake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following are significant factors known to us that could materially adversely affect our business, operating results, financial condition, or future financial performance.</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If economic conditions and outlook in the United States and in other countries in which we conduct business do not continue to improve or if they worsen, our net sales and earnings could be adversely affected.</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Economic conditions and outlook in the U.S. and in other countries in which we conduct business can impact demand for our products and, ultimately, our net sales. These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components costs and fuel prices; inflationary or deflationary pressures; reduced credit availability or unfavorable credit terms for our distributors, dealers,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 If economic conditions and outlook in the U.S. and in other countries in which we conduct business do not further improve, or if they worsen, our net sales and earnings could be adversely affected in the future.</w:t>
      </w:r>
    </w:p>
    <w:p>
      <w:pPr>
        <w:spacing w:after="0" w:line="15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b w:val="1"/>
          <w:bCs w:val="1"/>
          <w:i w:val="1"/>
          <w:iCs w:val="1"/>
          <w:color w:val="auto"/>
        </w:rPr>
        <w:t>Weather conditions may reduce demand for some of our products and adversely affect our net sales or otherwise adversely affect our operating results.</w:t>
      </w:r>
    </w:p>
    <w:p>
      <w:pPr>
        <w:spacing w:after="0" w:line="11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From time to time, weather conditions in a particular geographic region may adversely affect sales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Similarly, adverse weather conditions in one season may negatively impact customer purchasing patterns and our net sales for some of our products in another season. For example, lower snow 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other operating results may be affected to a greater degree than we have previously experienced.</w:t>
      </w:r>
    </w:p>
    <w:p>
      <w:pPr>
        <w:spacing w:after="0" w:line="16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b w:val="1"/>
          <w:bCs w:val="1"/>
          <w:i w:val="1"/>
          <w:iCs w:val="1"/>
          <w:color w:val="auto"/>
        </w:rPr>
        <w:t>Increases in the cost, or disruption in the availability, of raw materials and components that we purchase and/or increases in our other costs of doing business, such as transportation costs, may adversely affect our profit margins and businesses.</w:t>
      </w:r>
    </w:p>
    <w:p>
      <w:pPr>
        <w:spacing w:after="0" w:line="1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purchase raw materials such as steel, aluminum, petroleum-based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Historically, we have mitigated commodity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 Increases in our other costs of doing business may also adversely affect our profit margins and business. For example, an increase in fuel costs may result in an increase in our transportation costs, which also could adversely affect our operating results and business. Although most of the raw materials and components used in our products are generally commercially available from a number of sources and in adequate supply, certain components are sourced from single suppliers. Any disruption in the availability of such raw materials and components from our suppliers, our inability to timely or otherwise obtain substitutes for such items, or any deterioration in our relationships with or the financial viability of our suppliers could adversely affect our business.</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availability of cash or credit to professional segment customers on acceptable terms to finance new product purchases; and the amount of government revenues, budget, and spending levels for grounds maintenance equipment.</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professional segment products are sold by distributors or dealers, or directly to government customers, rental companies, and professional users engaged in maintaining and creating landscapes, such as golf courses, sports fields, residential and commercial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level of homeowners who outsource their lawn care; continued acceptance of and demand for micro-irrigation solutions for agricultural markets; the level of residential and commercial construction; availability of cash or credit on acceptable terms to finance new product purchases; and the amount of government spending for new grounds maintenance equipment. Among other things, any one or a combination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following factors could have an adverse effect on our professional segment net sales:</w:t>
      </w:r>
    </w:p>
    <w:p>
      <w:pPr>
        <w:spacing w:after="0" w:line="205" w:lineRule="exact"/>
        <w:rPr>
          <w:sz w:val="20"/>
          <w:szCs w:val="20"/>
          <w:color w:val="auto"/>
        </w:rPr>
      </w:pPr>
    </w:p>
    <w:p>
      <w:pPr>
        <w:ind w:left="500" w:right="20" w:hanging="500"/>
        <w:spacing w:after="0" w:line="25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2" w:lineRule="exact"/>
        <w:rPr>
          <w:rFonts w:ascii="Arial" w:cs="Arial" w:eastAsia="Arial" w:hAnsi="Arial"/>
          <w:sz w:val="16"/>
          <w:szCs w:val="16"/>
          <w:color w:val="auto"/>
        </w:rPr>
      </w:pPr>
    </w:p>
    <w:p>
      <w:pPr>
        <w:ind w:left="500" w:right="440" w:hanging="500"/>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reduced consumer and business spending, causing homeowners and landscape contractor professionals to forego or postpone purchases of our products;</w:t>
      </w:r>
    </w:p>
    <w:p>
      <w:pPr>
        <w:ind w:left="500" w:hanging="50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 or reduced levels of commercial and residential construction, resulting in a decrease in demand for our products;</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decline in acceptance of and demand for micro-irrigation solutions for agricultural markets;</w:t>
      </w:r>
    </w:p>
    <w:p>
      <w:pPr>
        <w:spacing w:after="0" w:line="15" w:lineRule="exact"/>
        <w:rPr>
          <w:rFonts w:ascii="Arial" w:cs="Arial" w:eastAsia="Arial" w:hAnsi="Arial"/>
          <w:sz w:val="16"/>
          <w:szCs w:val="16"/>
          <w:color w:val="auto"/>
        </w:rPr>
      </w:pPr>
    </w:p>
    <w:p>
      <w:pPr>
        <w:ind w:left="500" w:right="340" w:hanging="500"/>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reduced tax revenue, increased governmental expenses in other areas, tighter government budgets and government deficits, generally resulting in reduced government spending for grounds maintenance equipment; and</w:t>
      </w:r>
    </w:p>
    <w:p>
      <w:pPr>
        <w:ind w:left="500" w:right="400" w:hanging="500"/>
        <w:spacing w:after="0" w:line="26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product availability issues if we underestimate or overestimate demand, which could negatively impact our net sales and hinder our ability to meet customer demand.</w:t>
      </w:r>
    </w:p>
    <w:p>
      <w:pPr>
        <w:spacing w:after="0" w:line="151" w:lineRule="exact"/>
        <w:rPr>
          <w:sz w:val="20"/>
          <w:szCs w:val="20"/>
          <w:color w:val="auto"/>
        </w:rPr>
      </w:pPr>
    </w:p>
    <w:p>
      <w:pPr>
        <w:ind w:right="20" w:firstLine="127"/>
        <w:spacing w:after="0" w:line="291" w:lineRule="auto"/>
        <w:rPr>
          <w:sz w:val="20"/>
          <w:szCs w:val="20"/>
          <w:color w:val="auto"/>
        </w:rPr>
      </w:pPr>
      <w:r>
        <w:rPr>
          <w:rFonts w:ascii="Arial" w:cs="Arial" w:eastAsia="Arial" w:hAnsi="Arial"/>
          <w:sz w:val="16"/>
          <w:szCs w:val="16"/>
          <w:color w:val="auto"/>
        </w:rPr>
        <w:t>Additionally, lower sales of professional segment products that carry higher profit margins than our residential segment products could negatively impact our profit margins and net earnings.</w:t>
      </w:r>
    </w:p>
    <w:p>
      <w:pPr>
        <w:spacing w:after="0" w:line="131"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i w:val="1"/>
          <w:iCs w:val="1"/>
          <w:color w:val="auto"/>
        </w:rPr>
        <w:t>Our residential segment net sales are dependent upon consumers buying our residential segment products at mass retailers and home centers, such as The Home Depot, Inc., the amount of product placement at retailers, consumer confidence and spending levels, and changing buying patterns of customers.</w:t>
      </w:r>
    </w:p>
    <w:p>
      <w:pPr>
        <w:spacing w:after="0" w:line="13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elimination or reduction of shelf space assigned to our residential products by retailers could adversely affect our residential segment net sales. Our residential segment net sales also are dependent upon buying patterns of customers. For example, as consumers purchase products at home centers and mass retailers that offer broader and lower price points, we have experienced increased demand and sales of our residential segment products purchased at retailers. The Home Depot is a substantial customer of ours, which accounted for approximately 10 to 11 percent of our total consolidated gross sales in each of fiscal 2013, 2012, and 2011.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or new distribution channels could have a material adverse impact on our business and operating results. Changing buying patterns of customers could also result in reduced sales of one or more of our residential segment products, resulting in increased inventory levels. Our residential lawn and garden products are generally manufactured throughout the year and our residential snow removal products are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during a given season, we may not maintain the appropriate inventory levels, which could negatively impact our net sales or working capital, and hinder our ability to meet customer demand.</w:t>
      </w:r>
    </w:p>
    <w:p>
      <w:pPr>
        <w:spacing w:after="0" w:line="35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placement and shelf space, and financing options. We compete in many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b w:val="1"/>
          <w:bCs w:val="1"/>
          <w:i w:val="1"/>
          <w:iCs w:val="1"/>
          <w:color w:val="auto"/>
        </w:rPr>
        <w:t>A significant percentage of our consolidated net sales are generated outside of the United States, a portion of which are financed by third parties,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4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currently manufacture our products in the U.S., Mexico, Australia, the United Kingdom, Italy, Romania, and China for sale throughout the world. We maintain sales offices in the United States, Belgium, the United Kingdom, France, Australia, Singapore, Japan, China, Italy, Korea, and Germany. Our net sales outside the U.S. were 30.1 percent, 30.3 percent, and 32.3 percent of our total consolidated net sales for fiscal 2013, 2012, and 2011, respectively. International markets have, and will continue to be, a focus for us for revenue growth. We believe many opportunities exist in the international markets, and over time, we intend for international net sales to comprise a larger percentage of our total consolidated net sales. Several factors, including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354" w:lineRule="exact"/>
        <w:rPr>
          <w:sz w:val="20"/>
          <w:szCs w:val="20"/>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costs of customizing products for foreign countries;</w:t>
      </w:r>
    </w:p>
    <w:p>
      <w:pPr>
        <w:spacing w:after="0" w:line="35" w:lineRule="exact"/>
        <w:rPr>
          <w:rFonts w:ascii="Arial" w:cs="Arial" w:eastAsia="Arial" w:hAnsi="Arial"/>
          <w:sz w:val="16"/>
          <w:szCs w:val="16"/>
          <w:color w:val="auto"/>
        </w:rPr>
      </w:pPr>
    </w:p>
    <w:p>
      <w:pPr>
        <w:ind w:left="500" w:right="480" w:hanging="500"/>
        <w:spacing w:after="0" w:line="24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managing and staffing international operations and increases in infrastructure costs including legal, tax, accounting, and information technology;</w:t>
      </w:r>
    </w:p>
    <w:p>
      <w:pPr>
        <w:ind w:left="500" w:right="140" w:hanging="500"/>
        <w:spacing w:after="0" w:line="24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imposition of additional U.S. and foreign governmental controls or regulations; new or enhanced trade restrictions and restrictions on the activities of foreign agents, representatives, and distributors; and the imposition of increases in, costly and lengthy import and export licensing and other compliance requirements, customs duties and tariffs, import and export quotas and other trade restrictions, license obligations, and other non-tariff barriers to trade;</w:t>
      </w:r>
    </w:p>
    <w:p>
      <w:pPr>
        <w:spacing w:after="0" w:line="182" w:lineRule="exact"/>
        <w:rPr>
          <w:rFonts w:ascii="Arial" w:cs="Arial" w:eastAsia="Arial" w:hAnsi="Arial"/>
          <w:sz w:val="16"/>
          <w:szCs w:val="16"/>
          <w:color w:val="auto"/>
        </w:rPr>
      </w:pPr>
    </w:p>
    <w:p>
      <w:pPr>
        <w:ind w:left="500" w:right="400" w:hanging="500"/>
        <w:spacing w:after="0" w:line="25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imposition of U.S. and/or international sanctions against a country, company, person, or entity with whom we do business that would restrict or prohibit our continued business with the sanctioned country, company, person, or entity;</w:t>
      </w:r>
    </w:p>
    <w:p>
      <w:pPr>
        <w:spacing w:after="0" w:line="1" w:lineRule="exact"/>
        <w:rPr>
          <w:rFonts w:ascii="Arial" w:cs="Arial" w:eastAsia="Arial" w:hAnsi="Arial"/>
          <w:sz w:val="16"/>
          <w:szCs w:val="16"/>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international pricing pressures;</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laws and business practices favoring local companies;</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currency exchange rate fluctuations;</w:t>
      </w:r>
    </w:p>
    <w:p>
      <w:pPr>
        <w:spacing w:after="0" w:line="15" w:lineRule="exact"/>
        <w:rPr>
          <w:rFonts w:ascii="Arial" w:cs="Arial" w:eastAsia="Arial" w:hAnsi="Arial"/>
          <w:sz w:val="16"/>
          <w:szCs w:val="16"/>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longer payment cycles and difficulties in enforcing agreements and collecting receivables through certain foreign legal systems;</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enforcing or defending intellectual property rights; and</w:t>
      </w:r>
    </w:p>
    <w:p>
      <w:pPr>
        <w:spacing w:after="0" w:line="4" w:lineRule="exact"/>
        <w:rPr>
          <w:rFonts w:ascii="Arial" w:cs="Arial" w:eastAsia="Arial" w:hAnsi="Arial"/>
          <w:sz w:val="16"/>
          <w:szCs w:val="16"/>
          <w:color w:val="auto"/>
        </w:rPr>
      </w:pPr>
    </w:p>
    <w:p>
      <w:pPr>
        <w:ind w:left="500" w:right="420" w:hanging="500"/>
        <w:spacing w:after="0" w:line="26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multiple, changing, and often inconsistent enforcement of laws, rules, and regulations, including rules relating to environmental, health, and safety matters.</w:t>
      </w:r>
    </w:p>
    <w:p>
      <w:pPr>
        <w:spacing w:after="0" w:line="151" w:lineRule="exact"/>
        <w:rPr>
          <w:sz w:val="20"/>
          <w:szCs w:val="20"/>
          <w:color w:val="auto"/>
        </w:rPr>
      </w:pPr>
    </w:p>
    <w:p>
      <w:pPr>
        <w:ind w:right="260" w:firstLine="136"/>
        <w:spacing w:after="0" w:line="291" w:lineRule="auto"/>
        <w:rPr>
          <w:sz w:val="20"/>
          <w:szCs w:val="20"/>
          <w:color w:val="auto"/>
        </w:rPr>
      </w:pPr>
      <w:r>
        <w:rPr>
          <w:rFonts w:ascii="Arial" w:cs="Arial" w:eastAsia="Arial" w:hAnsi="Arial"/>
          <w:sz w:val="16"/>
          <w:szCs w:val="16"/>
          <w:color w:val="auto"/>
        </w:rPr>
        <w:t>Our international operations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131" w:lineRule="exact"/>
        <w:rPr>
          <w:sz w:val="20"/>
          <w:szCs w:val="20"/>
          <w:color w:val="auto"/>
        </w:rPr>
      </w:pPr>
    </w:p>
    <w:p>
      <w:pPr>
        <w:jc w:val="both"/>
        <w:ind w:right="380" w:firstLine="136"/>
        <w:spacing w:after="0" w:line="268" w:lineRule="auto"/>
        <w:rPr>
          <w:sz w:val="20"/>
          <w:szCs w:val="20"/>
          <w:color w:val="auto"/>
        </w:rPr>
      </w:pPr>
      <w:r>
        <w:rPr>
          <w:rFonts w:ascii="Arial" w:cs="Arial" w:eastAsia="Arial" w:hAnsi="Arial"/>
          <w:sz w:val="16"/>
          <w:szCs w:val="16"/>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4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49"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hold patents relating to various aspects of our products and believe that proprietary technical know-how is important to our business and their loss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165" w:lineRule="exact"/>
        <w:rPr>
          <w:sz w:val="20"/>
          <w:szCs w:val="20"/>
          <w:color w:val="auto"/>
        </w:rPr>
      </w:pPr>
    </w:p>
    <w:p>
      <w:pPr>
        <w:ind w:right="20" w:firstLine="136"/>
        <w:spacing w:after="0" w:line="268" w:lineRule="auto"/>
        <w:rPr>
          <w:sz w:val="20"/>
          <w:szCs w:val="20"/>
          <w:color w:val="auto"/>
        </w:rPr>
      </w:pPr>
      <w:r>
        <w:rPr>
          <w:rFonts w:ascii="Arial" w:cs="Arial" w:eastAsia="Arial" w:hAnsi="Arial"/>
          <w:sz w:val="16"/>
          <w:szCs w:val="16"/>
          <w:color w:val="auto"/>
        </w:rPr>
        <w:t>We also rely on trade secrets and proprietary know-how that we seek to protect, in part, by confidentiality agreements with our employees, suppliers,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49"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b w:val="1"/>
          <w:bCs w:val="1"/>
          <w:i w:val="1"/>
          <w:iCs w:val="1"/>
          <w:color w:val="auto"/>
        </w:rPr>
        <w:t>We manufacture our products at, and distribute our products from, several locations in the U.S. and internationally. Any disruption at any of these facilities or our inability to cost-effectively expand existing, open and manage new, and/or move production between manufacturing facilities could adversely affect our business and operating results.</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currently manufacture most of our products at seven locations in the U.S., two locations in Mexico, and one location in each of Australia, Italy, the United Kingdom, Romania, and China. We also have several locations that serve as distribution centers, warehouses, test labs, and corporate offices. In addition, we have agreements with other third-party manufacturers to manufacture products on our behalf.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new collective bargaining agreements, including two that each expire in May 2014 and October 2014, could impair our ability to meet the demands of our customers, and our customers may cancel orders or purchase products from our competitors, which could adversely affect our business and operating results.</w:t>
      </w:r>
    </w:p>
    <w:p>
      <w:pPr>
        <w:spacing w:after="0" w:line="168" w:lineRule="exact"/>
        <w:rPr>
          <w:sz w:val="20"/>
          <w:szCs w:val="20"/>
          <w:color w:val="auto"/>
        </w:rPr>
      </w:pPr>
    </w:p>
    <w:p>
      <w:pPr>
        <w:ind w:right="40" w:firstLine="136"/>
        <w:spacing w:after="0" w:line="254" w:lineRule="auto"/>
        <w:rPr>
          <w:sz w:val="20"/>
          <w:szCs w:val="20"/>
          <w:color w:val="auto"/>
        </w:rPr>
      </w:pPr>
      <w:r>
        <w:rPr>
          <w:rFonts w:ascii="Arial" w:cs="Arial" w:eastAsia="Arial" w:hAnsi="Arial"/>
          <w:sz w:val="16"/>
          <w:szCs w:val="16"/>
          <w:color w:val="auto"/>
        </w:rPr>
        <w:t>Our operating results may also be adversely affected if we are unable to cost-effectively open and manage new manufacturing and distribution facilities, and move production between such facilities as needed from time to time. In fiscal 2012, we began operations at a new micro-irrigation facility in Ploiesti, Romania and in late fiscal 2013, we acquired a company and began operations at a new micro-irrigation facility in China in order to support anticipated growth of our micro-irrigation business and enable future capacity expansion. If our operations at the new facility in Romania do not produce the anticipated manufacturing and operational efficiencies, the acquisition of our new facility in China does not produce the anticipated sales and profitability targets, or the micro-irrigation products produced at either of these facilities are not accepted into new geographic markets at expected levels, we may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not recover our investment in these facilities and our operating results may be adversely affected.</w:t>
      </w:r>
    </w:p>
    <w:p>
      <w:pPr>
        <w:spacing w:after="0" w:line="20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We intend to grow our business through acquisitions and alliances, stronger customer relations, and new joint ventures and partnerships, which could be risky and may harm our business.</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One of our growth strategies is to drive growth in our businesses and accelerate opportunities to expand our global presence through targeted acquisitions and alliances, stronger customer relations, and new joint ventures and partnerships that add value while considering our existing brands and product portfolio.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In addition, acquisitions, alliances, joint ventures, and partnerships may involve a number of risks, including:</w:t>
      </w:r>
    </w:p>
    <w:p>
      <w:pPr>
        <w:spacing w:after="0" w:line="156" w:lineRule="exact"/>
        <w:rPr>
          <w:sz w:val="20"/>
          <w:szCs w:val="20"/>
          <w:color w:val="auto"/>
        </w:rPr>
      </w:pPr>
    </w:p>
    <w:p>
      <w:pPr>
        <w:ind w:left="500" w:hanging="50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35" w:lineRule="exact"/>
        <w:rPr>
          <w:rFonts w:ascii="Arial" w:cs="Arial" w:eastAsia="Arial" w:hAnsi="Arial"/>
          <w:sz w:val="16"/>
          <w:szCs w:val="16"/>
          <w:color w:val="auto"/>
        </w:rPr>
      </w:pPr>
    </w:p>
    <w:p>
      <w:pPr>
        <w:ind w:left="500" w:right="240" w:hanging="500"/>
        <w:spacing w:after="0" w:line="24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difficulties in integrating and assimilating the operations and products of an acquired business or in realizing projected efficiencies, cost savings, and synergies;</w:t>
      </w:r>
    </w:p>
    <w:p>
      <w:pPr>
        <w:ind w:left="500" w:hanging="50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4" w:lineRule="exact"/>
        <w:rPr>
          <w:rFonts w:ascii="Arial" w:cs="Arial" w:eastAsia="Arial" w:hAnsi="Arial"/>
          <w:sz w:val="16"/>
          <w:szCs w:val="16"/>
          <w:color w:val="auto"/>
        </w:rPr>
      </w:pPr>
    </w:p>
    <w:p>
      <w:pPr>
        <w:ind w:left="500" w:right="520" w:hanging="500"/>
        <w:spacing w:after="0" w:line="25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loss of key employees or customers of the acquired businesses or adverse effects on existing business relationships with suppliers and customers;</w:t>
      </w:r>
    </w:p>
    <w:p>
      <w:pPr>
        <w:spacing w:after="0" w:line="1" w:lineRule="exact"/>
        <w:rPr>
          <w:rFonts w:ascii="Arial" w:cs="Arial" w:eastAsia="Arial" w:hAnsi="Arial"/>
          <w:sz w:val="16"/>
          <w:szCs w:val="16"/>
          <w:color w:val="auto"/>
        </w:rPr>
      </w:pPr>
    </w:p>
    <w:p>
      <w:pPr>
        <w:ind w:left="500" w:hanging="50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our valuation models;</w:t>
      </w:r>
    </w:p>
    <w:p>
      <w:pPr>
        <w:spacing w:after="0" w:line="5" w:lineRule="exact"/>
        <w:rPr>
          <w:rFonts w:ascii="Arial" w:cs="Arial" w:eastAsia="Arial" w:hAnsi="Arial"/>
          <w:sz w:val="16"/>
          <w:szCs w:val="16"/>
          <w:color w:val="auto"/>
        </w:rPr>
      </w:pPr>
    </w:p>
    <w:p>
      <w:pPr>
        <w:ind w:left="500" w:right="260" w:hanging="500"/>
        <w:spacing w:after="0" w:line="24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to pursue other important elements of our business strategy;</w:t>
      </w:r>
    </w:p>
    <w:p>
      <w:pPr>
        <w:spacing w:after="0" w:line="1" w:lineRule="exact"/>
        <w:rPr>
          <w:rFonts w:ascii="Arial" w:cs="Arial" w:eastAsia="Arial" w:hAnsi="Arial"/>
          <w:sz w:val="16"/>
          <w:szCs w:val="16"/>
          <w:color w:val="auto"/>
        </w:rPr>
      </w:pPr>
    </w:p>
    <w:p>
      <w:pPr>
        <w:ind w:left="500" w:right="780" w:hanging="500"/>
        <w:spacing w:after="0" w:line="25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investments, undisclosed, contingent or other liabilities or problems, unanticipated costs associated with an acquisition, and an inability to recover or manage such liabilities and costs; and</w:t>
      </w:r>
    </w:p>
    <w:p>
      <w:pPr>
        <w:spacing w:after="0" w:line="1" w:lineRule="exact"/>
        <w:rPr>
          <w:rFonts w:ascii="Arial" w:cs="Arial" w:eastAsia="Arial" w:hAnsi="Arial"/>
          <w:sz w:val="16"/>
          <w:szCs w:val="16"/>
          <w:color w:val="auto"/>
        </w:rPr>
      </w:pPr>
    </w:p>
    <w:p>
      <w:pPr>
        <w:ind w:left="500" w:right="400" w:hanging="500"/>
        <w:spacing w:after="0" w:line="267"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incurrence of non-recurring charges, and write-off of significant amounts of goodwill or other assets that could adversely affect our operating results.</w:t>
      </w:r>
    </w:p>
    <w:p>
      <w:pPr>
        <w:spacing w:after="0" w:line="149" w:lineRule="exact"/>
        <w:rPr>
          <w:sz w:val="20"/>
          <w:szCs w:val="20"/>
          <w:color w:val="auto"/>
        </w:rPr>
      </w:pPr>
    </w:p>
    <w:p>
      <w:pPr>
        <w:ind w:firstLine="136"/>
        <w:spacing w:after="0" w:line="254" w:lineRule="auto"/>
        <w:rPr>
          <w:sz w:val="20"/>
          <w:szCs w:val="20"/>
          <w:color w:val="auto"/>
        </w:rPr>
      </w:pPr>
      <w:r>
        <w:rPr>
          <w:rFonts w:ascii="Arial" w:cs="Arial" w:eastAsia="Arial" w:hAnsi="Arial"/>
          <w:sz w:val="16"/>
          <w:szCs w:val="16"/>
          <w:color w:val="auto"/>
        </w:rPr>
        <w:t>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These risks could be heightened if we complete a large acquisition or multiple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 and any large acquisition could, among other things, impair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foreign currency exchange rates could result in declines in our reported net sales and net earnings.</w:t>
      </w:r>
    </w:p>
    <w:p>
      <w:pPr>
        <w:spacing w:after="0" w:line="20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Because the functional currency of most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U.S. and Mexico, a stronger U.S. dollar and Mexican peso generally have a negative impact on our operating results, while a weaker dollar and peso generally have a positive effect. Our primary foreign currency exchange rate exposure is with the Euro, the Australian dollar, the Canadian dollar, the British pound, the Mexican peso, the Japanese yen, the Chinese Yuan, and the Romanian New Leu against the U.S. dollar, as well as the Romanian New Leu against the Euro. While we actively manage the exposure of our foreign currency market risk in the normal course of business by entering into various foreign exchange contracts, these instruments involve risks and may not effectively limit our underlying exposure from foreign currency exchange rate fluctuations or minimize our net earnings and cash volatility associated with foreign currency exchange rate changes. Further, a number of financial institutions similar to those that serve as counterparties to our foreign exchange contracts have been adversely affected by the unprecedented distress in the worldwide credit markets during the past few years. The failure of one or more counterparties to our foreign currency exchange rate contracts to fulfill their obligations to us could adversely affect our operating results.</w:t>
      </w:r>
    </w:p>
    <w:p>
      <w:pPr>
        <w:spacing w:after="0" w:line="168"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i w:val="1"/>
          <w:iCs w:val="1"/>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w:t>
      </w:r>
    </w:p>
    <w:p>
      <w:pPr>
        <w:spacing w:after="0" w:line="13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business, properties, and products are subject to numerous international, federal, state, and other governmental laws, rules, and regulations relating to, among other things; climate change;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emissions to air and discharges to water; restrictions placed on water usage and water availability; product and associated packaging; restricted substances, including "conflict minerals" disclosure rules;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 Other changes in laws and regulations also may adversely affect our operating results, including, (i) taxation and tax policy changes, tax rate changes, new tax laws, revised tax law interpretations, or expiration of the domestic research tax credit, which individually or in combination may cause our effective tax rate to increase, or (ii) new, recently enacted, or revised healthcare laws or regulations, which may cause us to incur higher employee healthcare and related costs.</w:t>
      </w:r>
    </w:p>
    <w:p>
      <w:pPr>
        <w:spacing w:after="0" w:line="36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Increasingly stringent engine emission regulations could impact our ability to sell certain of our products into the market and appropriately price certain of our products, which could negatively affect our competitive position and financial results.</w:t>
      </w:r>
    </w:p>
    <w:p>
      <w:pPr>
        <w:spacing w:after="0" w:line="1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EPA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Additionally, as customers' buying patterns change to purchase our products in advance of price increases on compliant products, we have and may continue to experience abnormal fluctuation in sales and our financial results of any one period may not be representative of expected financial results in subsequent periods. We believe our financial results during the first quarter of fiscal 2013 were positively impacted by these patterns and our second and third quarter periods of fiscal 2013 were negatively impacted. We expect that our first quarter of fiscal 2014 and possibly future quarters may also be negatively impacted.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and climate change regulations may adversely impact our operations.</w:t>
      </w:r>
    </w:p>
    <w:p>
      <w:pPr>
        <w:spacing w:after="0" w:line="20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Due to uncertainty in the regulatory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and legislative processes, as well as the scope of such requirements and initiatives, we cannot currently determine the effect such legislation and regulation may have on our products and operations.</w:t>
      </w:r>
    </w:p>
    <w:p>
      <w:pPr>
        <w:spacing w:after="0" w:line="13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We are required to comply with the "conflict minerals" rules promulgated by the SEC, which will impose costs on us and could raise reputational and other risks.</w:t>
      </w:r>
    </w:p>
    <w:p>
      <w:pPr>
        <w:spacing w:after="0" w:line="1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required under the Dodd-Frank Wall Street Reform and Consumer Protection Act, in August 2012, the SEC promulgated final rules regarding disclosure of the use of certain minerals, known as "conflict minerals," which are mined from the Democratic Republic of the Congo and adjoining countries, as well as procedures regarding manufacturers' efforts to discover the origin of such minerals and metals produced from those minerals. These conflict minerals are commonly referred to as "3TG" and include tin, tantalum, tungsten, and gold. The conflict minerals rules required us to engage in due diligence efforts for the 2013 calendar year and such efforts are ongoing. Our initial disclosures are required no later than May 31, 2014 and subsequent disclosures are required no later than May 31 of each following year. We have, and we expect that we will continue to, incur additional costs and expenses, which may be significant in order to comply with these rules, including for (i) due diligence to determine whether conflict minerals are necessary to the functionality or production of any of our products and, if so, verify the sources of such conflict minerals; and (ii) any changes that we may desire to make to our products, processes, or sources of supply as a result of such diligence and verification activities. Since our supply chain is complex, ultimately we may not be able to sufficiently discover the origin of the conflict minerals used in our products through the due diligence procedures that we implement, which may adversely affect our reputation with our customers, shareholders, and other stakeholders. In such event, we may also face difficulties in satisfying customers who require that all of our products are certified as conflict mineral free. If we are not able to meet such requirements, customers may choose not to purchase our products, which could adversely affect our sales and the value of portions of our inventory. Further, there may be only a limited number of suppliers offering conflict free minerals and, as a result, we cannot be sure that we will be able to obtain metals, if necessary, from such suppliers in sufficient quantities or at competitive prices. Any one or a combination of these various factors could harm our business, reduce market demand for our products, and adversely affect our profit margins, net sales, and overall financial results.</w:t>
      </w:r>
    </w:p>
    <w:p>
      <w:pPr>
        <w:spacing w:after="0" w:line="359"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b w:val="1"/>
          <w:bCs w:val="1"/>
          <w:i w:val="1"/>
          <w:iCs w:val="1"/>
          <w:color w:val="auto"/>
        </w:rPr>
        <w:t>The 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Legislative enactments could impact the competitive landscape within our markets and affect demand for our products.</w:t>
      </w:r>
    </w:p>
    <w:p>
      <w:pPr>
        <w:spacing w:after="0" w:line="20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the U.S. Foreign Corrupt Practices Act and similar worldwide anti-corruption laws.</w:t>
      </w:r>
    </w:p>
    <w:p>
      <w:pPr>
        <w:spacing w:after="0" w:line="11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U.S. Foreign Corrupt Practices Act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could disrupt our business, and could result in significant fines and penalties that could have a material adverse effect on our results of operations or financial condition.</w:t>
      </w:r>
    </w:p>
    <w:p>
      <w:pPr>
        <w:spacing w:after="0" w:line="156" w:lineRule="exact"/>
        <w:rPr>
          <w:sz w:val="20"/>
          <w:szCs w:val="20"/>
          <w:color w:val="auto"/>
        </w:rPr>
      </w:pPr>
    </w:p>
    <w:p>
      <w:pPr>
        <w:ind w:right="720"/>
        <w:spacing w:after="0" w:line="302" w:lineRule="auto"/>
        <w:rPr>
          <w:sz w:val="20"/>
          <w:szCs w:val="20"/>
          <w:color w:val="auto"/>
        </w:rPr>
      </w:pPr>
      <w:r>
        <w:rPr>
          <w:rFonts w:ascii="Arial" w:cs="Arial" w:eastAsia="Arial" w:hAnsi="Arial"/>
          <w:sz w:val="16"/>
          <w:szCs w:val="16"/>
          <w:b w:val="1"/>
          <w:bCs w:val="1"/>
          <w:i w:val="1"/>
          <w:iCs w:val="1"/>
          <w:color w:val="auto"/>
        </w:rPr>
        <w:t>Management information systems are important to the efficient operation of our business. If our management information systems fail to adequately perform, or if we experience an interruption in their operation, our business and operating results could be adversely affected.</w:t>
      </w:r>
    </w:p>
    <w:p>
      <w:pPr>
        <w:spacing w:after="0" w:line="1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many management information systems that are important to the efficient operation of our business, some of which are managed by third parties. 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 The failure of our management information systems to perform properly, or difficulties encountered in the development of new systems or the upgrade of existing systems, could disrupt our business, which may result in decreased sales, increased overhead costs, excess or obsolete inventory, and product shortages, causing our business and operating results to suffer. Although we take steps to secure our management information systems,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power loss, or other disruptive events. Our reputation, brand, and financial condition could be adversely affected if, as a result of a significant cyber event or otherwise, our operations are disrupted or shutdown; our confidential, proprietary information is stolen or disclosed;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16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We are subject to product liability claims, product quality issues, and other litigation from time to time that could adversely affect our operating results or financial condition.</w:t>
      </w:r>
    </w:p>
    <w:p>
      <w:pPr>
        <w:spacing w:after="0" w:line="1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are also subject to other litigation from time to time that could adversely affect our operating results or financial condition.</w:t>
      </w:r>
    </w:p>
    <w:p>
      <w:pPr>
        <w:spacing w:after="0" w:line="2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If we are unable to retain our key employees, and attract and retain other qualified personnel, we may not be able to meet strategic objectives and our business could suffer.</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4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44"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In fiscal 2009, we established a financing joint venture with TCFIF for the purpose of providing reliable, competitive financing to our distributors and dealers in the U.S. and select distributors of our products in Canada to support their businesses and increase our net sales, as well as to free up our working capital for our other strategic purposes. As a result, we are dependent upon the joint venture for our inventory financing programs, including floor plan and open account receivable financing. Additionally, we are dependent upon TCFCFC to provide inventory financing to dealers of our products in Canada.</w:t>
      </w:r>
    </w:p>
    <w:p>
      <w:pPr>
        <w:spacing w:after="0" w:line="156" w:lineRule="exact"/>
        <w:rPr>
          <w:sz w:val="20"/>
          <w:szCs w:val="20"/>
          <w:color w:val="auto"/>
        </w:rPr>
      </w:pPr>
    </w:p>
    <w:p>
      <w:pPr>
        <w:ind w:firstLine="133"/>
        <w:spacing w:after="0" w:line="260" w:lineRule="auto"/>
        <w:rPr>
          <w:sz w:val="20"/>
          <w:szCs w:val="20"/>
          <w:color w:val="auto"/>
        </w:rPr>
      </w:pPr>
      <w:r>
        <w:rPr>
          <w:rFonts w:ascii="Arial" w:cs="Arial" w:eastAsia="Arial" w:hAnsi="Arial"/>
          <w:sz w:val="16"/>
          <w:szCs w:val="16"/>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any termination or disruption of our joint venture relationship or any delay in securing replacement credit sources could adversely affect our sales and operating results.</w:t>
      </w:r>
    </w:p>
    <w:p>
      <w:pPr>
        <w:spacing w:after="0" w:line="156"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13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 Our credit arrangements and/or indentures also contain provisions that restrict our ability, subject to specified exceptions, to, among other things:</w:t>
      </w:r>
    </w:p>
    <w:p>
      <w:pPr>
        <w:spacing w:after="0" w:line="156" w:lineRule="exact"/>
        <w:rPr>
          <w:sz w:val="20"/>
          <w:szCs w:val="20"/>
          <w:color w:val="auto"/>
        </w:rPr>
      </w:pPr>
    </w:p>
    <w:p>
      <w:pPr>
        <w:ind w:left="500" w:hanging="50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loans and investments, including acquisitions and transactions with affiliates;</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create liens or other encumbrances on our assets;</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dispose of assets;</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 into contingent obligations;</w:t>
      </w:r>
    </w:p>
    <w:p>
      <w:pPr>
        <w:spacing w:after="0" w:line="15" w:lineRule="exact"/>
        <w:rPr>
          <w:rFonts w:ascii="Arial" w:cs="Arial" w:eastAsia="Arial" w:hAnsi="Arial"/>
          <w:sz w:val="16"/>
          <w:szCs w:val="16"/>
          <w:color w:val="auto"/>
        </w:rPr>
      </w:pPr>
    </w:p>
    <w:p>
      <w:pPr>
        <w:ind w:left="500" w:hanging="50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 in mergers or consolidations; and</w:t>
      </w:r>
    </w:p>
    <w:p>
      <w:pPr>
        <w:spacing w:after="0" w:line="5" w:lineRule="exact"/>
        <w:rPr>
          <w:rFonts w:ascii="Arial" w:cs="Arial" w:eastAsia="Arial" w:hAnsi="Arial"/>
          <w:sz w:val="16"/>
          <w:szCs w:val="16"/>
          <w:color w:val="auto"/>
        </w:rPr>
      </w:pPr>
    </w:p>
    <w:p>
      <w:pPr>
        <w:ind w:left="500" w:right="600" w:hanging="500"/>
        <w:spacing w:after="0" w:line="265"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 dividends that are significantly higher than those currently being paid, make other distributions to our shareholders or redeem shares of our common stock.</w:t>
      </w:r>
    </w:p>
    <w:p>
      <w:pPr>
        <w:spacing w:after="0" w:line="151" w:lineRule="exact"/>
        <w:rPr>
          <w:sz w:val="20"/>
          <w:szCs w:val="20"/>
          <w:color w:val="auto"/>
        </w:rPr>
      </w:pPr>
    </w:p>
    <w:p>
      <w:pPr>
        <w:ind w:right="40" w:firstLine="133"/>
        <w:spacing w:after="0" w:line="257" w:lineRule="auto"/>
        <w:rPr>
          <w:sz w:val="20"/>
          <w:szCs w:val="20"/>
          <w:color w:val="auto"/>
        </w:rPr>
      </w:pPr>
      <w:r>
        <w:rPr>
          <w:rFonts w:ascii="Arial" w:cs="Arial" w:eastAsia="Arial" w:hAnsi="Arial"/>
          <w:sz w:val="16"/>
          <w:szCs w:val="16"/>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56" w:lineRule="exact"/>
        <w:rPr>
          <w:sz w:val="20"/>
          <w:szCs w:val="20"/>
          <w:color w:val="auto"/>
        </w:rPr>
      </w:pPr>
    </w:p>
    <w:p>
      <w:pPr>
        <w:jc w:val="both"/>
        <w:ind w:right="220" w:firstLine="127"/>
        <w:spacing w:after="0" w:line="268" w:lineRule="auto"/>
        <w:rPr>
          <w:sz w:val="20"/>
          <w:szCs w:val="20"/>
          <w:color w:val="auto"/>
        </w:rPr>
      </w:pPr>
      <w:r>
        <w:rPr>
          <w:rFonts w:ascii="Arial" w:cs="Arial" w:eastAsia="Arial" w:hAnsi="Arial"/>
          <w:sz w:val="16"/>
          <w:szCs w:val="16"/>
          <w:color w:val="auto"/>
        </w:rPr>
        <w:t>Although we have in place a $150 million revolving credit facility that does not expire until July 2015, market deterioration or other factors could jeopardize the counterparty obligations of one or more of the banks participating in our facility, which could have an adverse effect on our business if we are not able to replace such credit facility or find other sources of liquidity on acceptable terms.</w:t>
      </w:r>
    </w:p>
    <w:p>
      <w:pPr>
        <w:spacing w:after="0" w:line="149"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b w:val="1"/>
          <w:bCs w:val="1"/>
          <w:i w:val="1"/>
          <w:iCs w:val="1"/>
          <w:color w:val="auto"/>
        </w:rPr>
        <w:t>If we are unable to comply with the terms of our credit arrangements and indentures, especially the financial covenants, our credit arrangements could be terminated and our senior notes and debentures could become due and payable.</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and 7.800% debentures could become due and payable if we were unable to obtain a covenant waiver or refinance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medium-term debt under our credit arrangements. If our credit rating falls below investment grade and/or our average debt to earnings before interest, tax, depreciation, and amortization ("EBITDA") ratio rises above 2.00, the interest rate we currently pay on outstanding debt under our credit arrangements would increase, which could adversely affect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expanding our corporate facilities and could experience disruptions to our operations in connection with such expansion efforts.</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currently expanding our corporate facilities, driven by our need to expand the space available for our product development and test capacities, as well as our need for additional information technology and office space. We expect the expansion of our corporate facilities to be completed in fiscal 2014. We are financing such expansion efforts with cash on hand and cash from operating activities. The expansion of our corporate facilities entails risks that could cause disruption in the operations of our business. Such risks include potential interruption in data flow; unforeseen construction, scheduling, engineering, environmental, or geological problems; and unanticipated cost increases.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a number of other miscellaneous risks that may adversely affect our operating results, financial condition, or 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Other miscellaneous risks that could affect our business include:</w:t>
      </w:r>
    </w:p>
    <w:p>
      <w:pPr>
        <w:spacing w:after="0" w:line="205" w:lineRule="exact"/>
        <w:rPr>
          <w:sz w:val="20"/>
          <w:szCs w:val="20"/>
          <w:color w:val="auto"/>
        </w:rPr>
      </w:pPr>
    </w:p>
    <w:p>
      <w:pPr>
        <w:ind w:left="500" w:hanging="50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achieve the revenue growth and operating earnings goals of our "Destination 2014" initiative;</w:t>
      </w:r>
    </w:p>
    <w:p>
      <w:pPr>
        <w:spacing w:after="0" w:line="35" w:lineRule="exact"/>
        <w:rPr>
          <w:rFonts w:ascii="Arial" w:cs="Arial" w:eastAsia="Arial" w:hAnsi="Arial"/>
          <w:sz w:val="16"/>
          <w:szCs w:val="16"/>
          <w:color w:val="auto"/>
        </w:rPr>
      </w:pPr>
    </w:p>
    <w:p>
      <w:pPr>
        <w:ind w:left="500" w:hanging="500"/>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natural or man-made disasters or global pandemics, which may result in shortages of raw materials and components, higher fuel and commodity costs, delays in shipments to customers, and increases in insurance premiums;</w:t>
      </w:r>
    </w:p>
    <w:p>
      <w:pPr>
        <w:ind w:left="500" w:right="260" w:hanging="500"/>
        <w:spacing w:after="0" w:line="24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ind w:left="500" w:hanging="50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decline in retail sales or financial difficulties of our distributors or dealers, which could cause us to repurchase financed product; and</w:t>
      </w:r>
    </w:p>
    <w:p>
      <w:pPr>
        <w:spacing w:after="0" w:line="15" w:lineRule="exact"/>
        <w:rPr>
          <w:rFonts w:ascii="Arial" w:cs="Arial" w:eastAsia="Arial" w:hAnsi="Arial"/>
          <w:sz w:val="16"/>
          <w:szCs w:val="16"/>
          <w:color w:val="auto"/>
        </w:rPr>
      </w:pPr>
    </w:p>
    <w:p>
      <w:pPr>
        <w:ind w:left="500" w:right="20" w:hanging="500"/>
        <w:spacing w:after="0" w:line="26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threat of terrorist acts and war, which may result in heightened security and higher costs for import and export shipments of components or finished goods, reduced leisure travel, and contraction of the U.S. and worldwide economies.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of October 31, 2013, we utilized manufacturing, distribution, warehouse, and office facilities totaling approximately 6 million square feet of space worldwide. We also had approximately 72 acres of excess land in Wisconsin adjacent to a distribution center, 36 acres of land in Minnesota utilized as a testing and storage facility, 10 acres of land in Minnesota held for future expansion, and 21 acres of land in California used as a testing site. Plant utilization varies during the year depending on the production cycle. We consider each of our current facilities to be in good operating condition. Management believes we have sufficient manufacturing capacity for fiscal 2014, although strategies for future operational growth are currently being assessed. We are expanding our corporate facilities located in Bloomington, Minnesota, which includes the construction of a new facility to accommodate our need to expand the space available for our product development and test capacities. We expect occupancy of the new facility to take place in fiscal 2014. Our significant facilities are listed below by location, ownership, and function as of October 31,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Location</w:t>
            </w:r>
          </w:p>
        </w:tc>
        <w:tc>
          <w:tcPr>
            <w:tcW w:w="27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b w:val="1"/>
                <w:bCs w:val="1"/>
                <w:color w:val="auto"/>
              </w:rPr>
              <w:t>Ownership</w:t>
            </w:r>
          </w:p>
        </w:tc>
        <w:tc>
          <w:tcPr>
            <w:tcW w:w="61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3"/>
                <w:szCs w:val="13"/>
                <w:b w:val="1"/>
                <w:bCs w:val="1"/>
                <w:color w:val="auto"/>
              </w:rPr>
              <w:t>Products Manufactured / Use</w:t>
            </w:r>
          </w:p>
        </w:tc>
      </w:tr>
      <w:tr>
        <w:trPr>
          <w:trHeight w:val="131"/>
        </w:trPr>
        <w:tc>
          <w:tcPr>
            <w:tcW w:w="2540" w:type="dxa"/>
            <w:vAlign w:val="bottom"/>
          </w:tcPr>
          <w:p>
            <w:pPr>
              <w:spacing w:after="0" w:line="132" w:lineRule="exact"/>
              <w:rPr>
                <w:sz w:val="20"/>
                <w:szCs w:val="20"/>
                <w:color w:val="auto"/>
              </w:rPr>
            </w:pPr>
            <w:r>
              <w:rPr>
                <w:rFonts w:ascii="Arial" w:cs="Arial" w:eastAsia="Arial" w:hAnsi="Arial"/>
                <w:sz w:val="13"/>
                <w:szCs w:val="13"/>
                <w:color w:val="auto"/>
              </w:rPr>
              <w:t>Bloomington, MN</w:t>
            </w:r>
          </w:p>
        </w:tc>
        <w:tc>
          <w:tcPr>
            <w:tcW w:w="2700" w:type="dxa"/>
            <w:vAlign w:val="bottom"/>
          </w:tcPr>
          <w:p>
            <w:pPr>
              <w:ind w:left="760"/>
              <w:spacing w:after="0" w:line="132" w:lineRule="exact"/>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line="132" w:lineRule="exact"/>
              <w:rPr>
                <w:sz w:val="20"/>
                <w:szCs w:val="20"/>
                <w:color w:val="auto"/>
              </w:rPr>
            </w:pPr>
            <w:r>
              <w:rPr>
                <w:rFonts w:ascii="Arial" w:cs="Arial" w:eastAsia="Arial" w:hAnsi="Arial"/>
                <w:sz w:val="13"/>
                <w:szCs w:val="13"/>
                <w:color w:val="auto"/>
              </w:rPr>
              <w:t>Corporate headquarters, warehouse, and test lab</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El Paso, TX</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Components for professional and residential products and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Ankeny, IA</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Residential and professional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Plymouth, WI</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and residential parts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Juarez, Mexico</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and residential products</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Tomah, WI</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and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Windom, MN</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Residential and professional products and warehouse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Beatrice, NE</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test facility,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Riverside, CA</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test facility, distribution center,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Xiamen City, China</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distribution center,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Braeside, Australia</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center, service area,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Hertfordshire, United Kingdom</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and residential products, distribution center, test lab,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Ploiesti, Romania</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distribution center, test lab,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Shakopee, MN</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Components for professional and residential products</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El Cajon, CA</w:t>
            </w:r>
          </w:p>
        </w:tc>
        <w:tc>
          <w:tcPr>
            <w:tcW w:w="2700" w:type="dxa"/>
            <w:vAlign w:val="bottom"/>
          </w:tcPr>
          <w:p>
            <w:pPr>
              <w:ind w:left="760"/>
              <w:spacing w:after="0"/>
              <w:rPr>
                <w:sz w:val="20"/>
                <w:szCs w:val="20"/>
                <w:color w:val="auto"/>
              </w:rPr>
            </w:pPr>
            <w:r>
              <w:rPr>
                <w:rFonts w:ascii="Arial" w:cs="Arial" w:eastAsia="Arial" w:hAnsi="Arial"/>
                <w:sz w:val="13"/>
                <w:szCs w:val="13"/>
                <w:color w:val="auto"/>
              </w:rPr>
              <w:t>Owned/Leased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and residential products, distribution center, test lab,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Brooklyn Center, MN</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facility, service area,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St. Louis, MO</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facility, service area,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Sanford, FL</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and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Fiano Romano, Italy</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distribution center,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Beverley, Australia</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products, distribution center, service area,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Baraboo, WI</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Professional 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Capena, Italy</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center</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Oevel, Belgium</w:t>
            </w:r>
          </w:p>
        </w:tc>
        <w:tc>
          <w:tcPr>
            <w:tcW w:w="2700" w:type="dxa"/>
            <w:vAlign w:val="bottom"/>
          </w:tcPr>
          <w:p>
            <w:pPr>
              <w:ind w:left="760"/>
              <w:spacing w:after="0"/>
              <w:rPr>
                <w:sz w:val="20"/>
                <w:szCs w:val="20"/>
                <w:color w:val="auto"/>
              </w:rPr>
            </w:pPr>
            <w:r>
              <w:rPr>
                <w:rFonts w:ascii="Arial" w:cs="Arial" w:eastAsia="Arial" w:hAnsi="Arial"/>
                <w:sz w:val="13"/>
                <w:szCs w:val="13"/>
                <w:color w:val="auto"/>
              </w:rPr>
              <w:t>Owned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center, service area, and office</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Kent, WA</w:t>
            </w:r>
          </w:p>
        </w:tc>
        <w:tc>
          <w:tcPr>
            <w:tcW w:w="2700" w:type="dxa"/>
            <w:vAlign w:val="bottom"/>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Pr>
          <w:p>
            <w:pPr>
              <w:ind w:left="1060"/>
              <w:spacing w:after="0"/>
              <w:rPr>
                <w:sz w:val="20"/>
                <w:szCs w:val="20"/>
                <w:color w:val="auto"/>
              </w:rPr>
            </w:pPr>
            <w:r>
              <w:rPr>
                <w:rFonts w:ascii="Arial" w:cs="Arial" w:eastAsia="Arial" w:hAnsi="Arial"/>
                <w:sz w:val="13"/>
                <w:szCs w:val="13"/>
                <w:color w:val="auto"/>
              </w:rPr>
              <w:t>Distribution facility, service area, and office</w:t>
            </w:r>
          </w:p>
        </w:tc>
      </w:tr>
      <w:tr>
        <w:trPr>
          <w:trHeight w:val="183"/>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Abilene, TX</w:t>
            </w:r>
          </w:p>
        </w:tc>
        <w:tc>
          <w:tcPr>
            <w:tcW w:w="270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Leased</w:t>
            </w:r>
          </w:p>
        </w:tc>
        <w:tc>
          <w:tcPr>
            <w:tcW w:w="61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Office, professional products, and service center</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160" w:lineRule="exact"/>
        <w:rPr>
          <w:sz w:val="20"/>
          <w:szCs w:val="20"/>
          <w:color w:val="auto"/>
        </w:rPr>
      </w:pPr>
    </w:p>
    <w:p>
      <w:pPr>
        <w:ind w:firstLine="136"/>
        <w:spacing w:after="0" w:line="268" w:lineRule="auto"/>
        <w:rPr>
          <w:sz w:val="20"/>
          <w:szCs w:val="20"/>
          <w:color w:val="auto"/>
        </w:rPr>
      </w:pPr>
      <w:r>
        <w:rPr>
          <w:rFonts w:ascii="Arial" w:cs="Arial" w:eastAsia="Arial" w:hAnsi="Arial"/>
          <w:sz w:val="16"/>
          <w:szCs w:val="16"/>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OF THE REGISTRANT</w:t>
      </w:r>
    </w:p>
    <w:p>
      <w:pPr>
        <w:spacing w:after="0" w:line="20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list below identifies those persons designated by our Board of Directors as executive officers of the company. The list sets forth each such person's age and position with the company as of December 12, 2013, as well as other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Name, Age, and Position with the</w:t>
            </w:r>
          </w:p>
        </w:tc>
        <w:tc>
          <w:tcPr>
            <w:tcW w:w="8240" w:type="dxa"/>
            <w:vAlign w:val="bottom"/>
            <w:tcBorders>
              <w:top w:val="single" w:sz="8" w:color="auto"/>
            </w:tcBorders>
          </w:tcPr>
          <w:p>
            <w:pPr>
              <w:spacing w:after="0"/>
              <w:rPr>
                <w:sz w:val="15"/>
                <w:szCs w:val="15"/>
                <w:color w:val="auto"/>
              </w:rPr>
            </w:pPr>
          </w:p>
        </w:tc>
      </w:tr>
      <w:tr>
        <w:trPr>
          <w:trHeight w:val="231"/>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Company</w:t>
            </w: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Business Experience During the Last Five or More Years</w:t>
            </w:r>
          </w:p>
        </w:tc>
      </w:tr>
      <w:tr>
        <w:trPr>
          <w:trHeight w:val="165"/>
        </w:trPr>
        <w:tc>
          <w:tcPr>
            <w:tcW w:w="3180" w:type="dxa"/>
            <w:vAlign w:val="bottom"/>
          </w:tcPr>
          <w:p>
            <w:pPr>
              <w:spacing w:after="0" w:line="165" w:lineRule="exact"/>
              <w:rPr>
                <w:sz w:val="20"/>
                <w:szCs w:val="20"/>
                <w:color w:val="auto"/>
              </w:rPr>
            </w:pPr>
            <w:r>
              <w:rPr>
                <w:rFonts w:ascii="Arial" w:cs="Arial" w:eastAsia="Arial" w:hAnsi="Arial"/>
                <w:sz w:val="16"/>
                <w:szCs w:val="16"/>
                <w:b w:val="1"/>
                <w:bCs w:val="1"/>
                <w:color w:val="auto"/>
              </w:rPr>
              <w:t>Michael J. Hoffman</w:t>
            </w:r>
          </w:p>
        </w:tc>
        <w:tc>
          <w:tcPr>
            <w:tcW w:w="8240" w:type="dxa"/>
            <w:vAlign w:val="bottom"/>
          </w:tcPr>
          <w:p>
            <w:pPr>
              <w:ind w:left="60"/>
              <w:spacing w:after="0" w:line="165" w:lineRule="exact"/>
              <w:rPr>
                <w:sz w:val="20"/>
                <w:szCs w:val="20"/>
                <w:color w:val="auto"/>
              </w:rPr>
            </w:pPr>
            <w:r>
              <w:rPr>
                <w:rFonts w:ascii="Arial" w:cs="Arial" w:eastAsia="Arial" w:hAnsi="Arial"/>
                <w:sz w:val="16"/>
                <w:szCs w:val="16"/>
                <w:color w:val="auto"/>
              </w:rPr>
              <w:t>Chairman of the Board since March 2006, Chief Executive Officer since March 2005 and President since October</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58, Chairman of the Board, President and</w:t>
            </w:r>
          </w:p>
        </w:tc>
        <w:tc>
          <w:tcPr>
            <w:tcW w:w="8240" w:type="dxa"/>
            <w:vAlign w:val="bottom"/>
          </w:tcPr>
          <w:p>
            <w:pPr>
              <w:ind w:left="60"/>
              <w:spacing w:after="0"/>
              <w:rPr>
                <w:sz w:val="20"/>
                <w:szCs w:val="20"/>
                <w:color w:val="auto"/>
              </w:rPr>
            </w:pPr>
            <w:r>
              <w:rPr>
                <w:rFonts w:ascii="Arial" w:cs="Arial" w:eastAsia="Arial" w:hAnsi="Arial"/>
                <w:sz w:val="16"/>
                <w:szCs w:val="16"/>
                <w:color w:val="auto"/>
              </w:rPr>
              <w:t>2004.</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Executive Officer</w:t>
            </w:r>
          </w:p>
        </w:tc>
        <w:tc>
          <w:tcPr>
            <w:tcW w:w="8240" w:type="dxa"/>
            <w:vAlign w:val="bottom"/>
            <w:tcBorders>
              <w:bottom w:val="single" w:sz="8" w:color="auto"/>
            </w:tcBorders>
          </w:tcPr>
          <w:p>
            <w:pPr>
              <w:spacing w:after="0"/>
              <w:rPr>
                <w:sz w:val="19"/>
                <w:szCs w:val="19"/>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Judy L. Altmaier</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Exmark since June 2013. From October 2011 to June 2013, she served as Vice President,</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52, Vice President, Exmark</w:t>
            </w:r>
          </w:p>
        </w:tc>
        <w:tc>
          <w:tcPr>
            <w:tcW w:w="8240" w:type="dxa"/>
            <w:vAlign w:val="bottom"/>
          </w:tcPr>
          <w:p>
            <w:pPr>
              <w:ind w:left="60"/>
              <w:spacing w:after="0"/>
              <w:rPr>
                <w:sz w:val="20"/>
                <w:szCs w:val="20"/>
                <w:color w:val="auto"/>
              </w:rPr>
            </w:pPr>
            <w:r>
              <w:rPr>
                <w:rFonts w:ascii="Arial" w:cs="Arial" w:eastAsia="Arial" w:hAnsi="Arial"/>
                <w:sz w:val="16"/>
                <w:szCs w:val="16"/>
                <w:color w:val="auto"/>
              </w:rPr>
              <w:t>Operations and Quality Management. From October 2009 to October 2011, she served as Vice President,</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Operations. From January 2009 to October 2009, she served as Vice President/General Manager of Operations,</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Auto Group Americas for Eaton Corporation, a diversified industrial manufacturer.</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William E. Brown, Jr.</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Group Vice President, Commercial and Irrigation Businesses since March 2013. From March 2012 to March</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52, Group Vice President, Commercial and</w:t>
            </w:r>
          </w:p>
        </w:tc>
        <w:tc>
          <w:tcPr>
            <w:tcW w:w="8240" w:type="dxa"/>
            <w:vAlign w:val="bottom"/>
          </w:tcPr>
          <w:p>
            <w:pPr>
              <w:ind w:left="60"/>
              <w:spacing w:after="0"/>
              <w:rPr>
                <w:sz w:val="20"/>
                <w:szCs w:val="20"/>
                <w:color w:val="auto"/>
              </w:rPr>
            </w:pPr>
            <w:r>
              <w:rPr>
                <w:rFonts w:ascii="Arial" w:cs="Arial" w:eastAsia="Arial" w:hAnsi="Arial"/>
                <w:sz w:val="16"/>
                <w:szCs w:val="16"/>
                <w:color w:val="auto"/>
              </w:rPr>
              <w:t>2013, he served as Group Vice President, International and Commercial Businesses. From August 2010 to</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Irrigation Businesses</w:t>
            </w:r>
          </w:p>
        </w:tc>
        <w:tc>
          <w:tcPr>
            <w:tcW w:w="8240" w:type="dxa"/>
            <w:vAlign w:val="bottom"/>
          </w:tcPr>
          <w:p>
            <w:pPr>
              <w:ind w:left="60"/>
              <w:spacing w:after="0"/>
              <w:rPr>
                <w:sz w:val="20"/>
                <w:szCs w:val="20"/>
                <w:color w:val="auto"/>
              </w:rPr>
            </w:pPr>
            <w:r>
              <w:rPr>
                <w:rFonts w:ascii="Arial" w:cs="Arial" w:eastAsia="Arial" w:hAnsi="Arial"/>
                <w:sz w:val="16"/>
                <w:szCs w:val="16"/>
                <w:color w:val="auto"/>
              </w:rPr>
              <w:t>March 2012, he served as Vice President, International Business. From February 2009 to July 2010, he served</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as Vice President, Residential and Landscape Contractor Businesses. From November 2006 to February 2009,</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he served as Vice President, Consumer and Landscape Contractor Business – Toro.</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Philip A. Burkart</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Irrigation Business since September 2010, which includes responsibility for our Western-based</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51, Vice President, Irrigation Business</w:t>
            </w: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distributor. From November 2006 to September 2010, he served as Vice President, Irrigation Businesses.</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Timothy P. Dordell</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Secretary and General Counsel since May 2007.</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51, Vice President, Secretary and</w:t>
            </w:r>
          </w:p>
        </w:tc>
        <w:tc>
          <w:tcPr>
            <w:tcW w:w="8240" w:type="dxa"/>
            <w:vAlign w:val="bottom"/>
          </w:tcPr>
          <w:p>
            <w:pPr>
              <w:spacing w:after="0"/>
              <w:rPr>
                <w:sz w:val="16"/>
                <w:szCs w:val="16"/>
                <w:color w:val="auto"/>
              </w:rPr>
            </w:pP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Counsel</w:t>
            </w:r>
          </w:p>
        </w:tc>
        <w:tc>
          <w:tcPr>
            <w:tcW w:w="8240" w:type="dxa"/>
            <w:vAlign w:val="bottom"/>
            <w:tcBorders>
              <w:bottom w:val="single" w:sz="8" w:color="auto"/>
            </w:tcBorders>
          </w:tcPr>
          <w:p>
            <w:pPr>
              <w:spacing w:after="0"/>
              <w:rPr>
                <w:sz w:val="19"/>
                <w:szCs w:val="19"/>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Michael D. Drazan</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Global Micro-Irrigation Business since March 2012. From February 2009 to March 2012, he</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55, Vice President, Global Micro-Irrigation</w:t>
            </w:r>
          </w:p>
        </w:tc>
        <w:tc>
          <w:tcPr>
            <w:tcW w:w="8240" w:type="dxa"/>
            <w:vAlign w:val="bottom"/>
          </w:tcPr>
          <w:p>
            <w:pPr>
              <w:ind w:left="60"/>
              <w:spacing w:after="0"/>
              <w:rPr>
                <w:sz w:val="20"/>
                <w:szCs w:val="20"/>
                <w:color w:val="auto"/>
              </w:rPr>
            </w:pPr>
            <w:r>
              <w:rPr>
                <w:rFonts w:ascii="Arial" w:cs="Arial" w:eastAsia="Arial" w:hAnsi="Arial"/>
                <w:sz w:val="16"/>
                <w:szCs w:val="16"/>
                <w:color w:val="auto"/>
              </w:rPr>
              <w:t>served as Vice President, Contractor Business and Chief Information Officer, which included responsibility for our</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Business</w:t>
            </w:r>
          </w:p>
        </w:tc>
        <w:tc>
          <w:tcPr>
            <w:tcW w:w="8240" w:type="dxa"/>
            <w:vAlign w:val="bottom"/>
          </w:tcPr>
          <w:p>
            <w:pPr>
              <w:ind w:left="60"/>
              <w:spacing w:after="0"/>
              <w:rPr>
                <w:sz w:val="20"/>
                <w:szCs w:val="20"/>
                <w:color w:val="auto"/>
              </w:rPr>
            </w:pPr>
            <w:r>
              <w:rPr>
                <w:rFonts w:ascii="Arial" w:cs="Arial" w:eastAsia="Arial" w:hAnsi="Arial"/>
                <w:sz w:val="16"/>
                <w:szCs w:val="16"/>
                <w:color w:val="auto"/>
              </w:rPr>
              <w:t>Exmark and Sitework Systems Businesses and our Information Services function. In September 2010, he also</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assumed responsibility for our Micro-Irrigation Business and Corporate Accounts. From November 2007 to</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February 2009, he served as Chief Information Officer and Vice President, Corporate Services.</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Blake M. Grams</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Global Operations since June 2013. From December 2008 to June 2013, he served as Vice</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46, Vice President, Global Operations</w:t>
            </w: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President, Corporate Controller.</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Michael J. Happe</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Group Vice President, Residential and Contractor Businesses since March 2012, which includes responsibility for</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42, Group Vice President, Residential and</w:t>
            </w:r>
          </w:p>
        </w:tc>
        <w:tc>
          <w:tcPr>
            <w:tcW w:w="8240" w:type="dxa"/>
            <w:vAlign w:val="bottom"/>
          </w:tcPr>
          <w:p>
            <w:pPr>
              <w:ind w:left="60"/>
              <w:spacing w:after="0"/>
              <w:rPr>
                <w:sz w:val="20"/>
                <w:szCs w:val="20"/>
                <w:color w:val="auto"/>
              </w:rPr>
            </w:pPr>
            <w:r>
              <w:rPr>
                <w:rFonts w:ascii="Arial" w:cs="Arial" w:eastAsia="Arial" w:hAnsi="Arial"/>
                <w:sz w:val="16"/>
                <w:szCs w:val="16"/>
                <w:color w:val="auto"/>
              </w:rPr>
              <w:t>our Residential and Landscape Contractor – Toro, Exmark, and Sitework Systems Businesses and our</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Contractor Businesses</w:t>
            </w:r>
          </w:p>
        </w:tc>
        <w:tc>
          <w:tcPr>
            <w:tcW w:w="8240" w:type="dxa"/>
            <w:vAlign w:val="bottom"/>
          </w:tcPr>
          <w:p>
            <w:pPr>
              <w:ind w:left="60"/>
              <w:spacing w:after="0"/>
              <w:rPr>
                <w:sz w:val="20"/>
                <w:szCs w:val="20"/>
                <w:color w:val="auto"/>
              </w:rPr>
            </w:pPr>
            <w:r>
              <w:rPr>
                <w:rFonts w:ascii="Arial" w:cs="Arial" w:eastAsia="Arial" w:hAnsi="Arial"/>
                <w:sz w:val="16"/>
                <w:szCs w:val="16"/>
                <w:color w:val="auto"/>
              </w:rPr>
              <w:t>Midwestern-based distributor. From August 2010 to March 2012, he served as Vice President, Residential and</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Landscape Contractor Businesses. From December 2008 to July 2010, he served as Vice President, Commercial</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Business. From November 2007 to December 2008, he served as General Manager, Commercial Business.</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Thomas J. Larson</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Corporate Controller since June 2013. From December 2008 to June 2013, he served as Vice</w:t>
            </w: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56, Vice President, Corporate Controller</w:t>
            </w: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President, Treasurer. He retained the office of Treasurer until July 2013.</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Richard M. Olson</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International Business since March 2013. From March 2012 to March 2013, he served as Vice</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49, Vice President, International Business</w:t>
            </w:r>
          </w:p>
        </w:tc>
        <w:tc>
          <w:tcPr>
            <w:tcW w:w="8240" w:type="dxa"/>
            <w:vAlign w:val="bottom"/>
          </w:tcPr>
          <w:p>
            <w:pPr>
              <w:ind w:left="60"/>
              <w:spacing w:after="0"/>
              <w:rPr>
                <w:sz w:val="20"/>
                <w:szCs w:val="20"/>
                <w:color w:val="auto"/>
              </w:rPr>
            </w:pPr>
            <w:r>
              <w:rPr>
                <w:rFonts w:ascii="Arial" w:cs="Arial" w:eastAsia="Arial" w:hAnsi="Arial"/>
                <w:sz w:val="16"/>
                <w:szCs w:val="16"/>
                <w:color w:val="auto"/>
              </w:rPr>
              <w:t>President, Exmark. From September 2010 to March 2012, he served as General Manager, Exmark. From April</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2008 to September 2010, he served as Managing Director, Operations.</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Renee J. Peterson</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Treasurer and Chief Financial Officer since July 2013. From August 2011 to July 2013, she</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52, Vice President, Treasurer and</w:t>
            </w:r>
          </w:p>
        </w:tc>
        <w:tc>
          <w:tcPr>
            <w:tcW w:w="8240" w:type="dxa"/>
            <w:vAlign w:val="bottom"/>
          </w:tcPr>
          <w:p>
            <w:pPr>
              <w:ind w:left="60"/>
              <w:spacing w:after="0"/>
              <w:rPr>
                <w:sz w:val="20"/>
                <w:szCs w:val="20"/>
                <w:color w:val="auto"/>
              </w:rPr>
            </w:pPr>
            <w:r>
              <w:rPr>
                <w:rFonts w:ascii="Arial" w:cs="Arial" w:eastAsia="Arial" w:hAnsi="Arial"/>
                <w:sz w:val="16"/>
                <w:szCs w:val="16"/>
                <w:color w:val="auto"/>
              </w:rPr>
              <w:t>served as Vice President, Finance and Chief Financial Officer. In March 2012, she also assumed responsibility</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8240" w:type="dxa"/>
            <w:vAlign w:val="bottom"/>
          </w:tcPr>
          <w:p>
            <w:pPr>
              <w:ind w:left="60"/>
              <w:spacing w:after="0"/>
              <w:rPr>
                <w:sz w:val="20"/>
                <w:szCs w:val="20"/>
                <w:color w:val="auto"/>
              </w:rPr>
            </w:pPr>
            <w:r>
              <w:rPr>
                <w:rFonts w:ascii="Arial" w:cs="Arial" w:eastAsia="Arial" w:hAnsi="Arial"/>
                <w:sz w:val="16"/>
                <w:szCs w:val="16"/>
                <w:color w:val="auto"/>
              </w:rPr>
              <w:t>for our Information Services function. From July 2009 to August 2011, she served as Vice President – Finance</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and Planning for the Truck and Automotive Segments of Eaton Corporation, a diversified industrial manufacturer.</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From September 2008 to July 2009, she served as Vice President – Finance, Information Technology and</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Business Development for the Automotive Segment of Eaton Corporation.</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Peter M. Ramstad</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Human Resources and Business Development since November 2007.</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56, Vice President, Human Resources and</w:t>
            </w:r>
          </w:p>
        </w:tc>
        <w:tc>
          <w:tcPr>
            <w:tcW w:w="8240" w:type="dxa"/>
            <w:vAlign w:val="bottom"/>
          </w:tcPr>
          <w:p>
            <w:pPr>
              <w:spacing w:after="0"/>
              <w:rPr>
                <w:sz w:val="16"/>
                <w:szCs w:val="16"/>
                <w:color w:val="auto"/>
              </w:rPr>
            </w:pPr>
          </w:p>
        </w:tc>
      </w:tr>
      <w:tr>
        <w:trPr>
          <w:trHeight w:val="225"/>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Business Development</w:t>
            </w:r>
          </w:p>
        </w:tc>
        <w:tc>
          <w:tcPr>
            <w:tcW w:w="8240" w:type="dxa"/>
            <w:vAlign w:val="bottom"/>
            <w:tcBorders>
              <w:bottom w:val="single" w:sz="8" w:color="auto"/>
            </w:tcBorders>
          </w:tcPr>
          <w:p>
            <w:pPr>
              <w:spacing w:after="0"/>
              <w:rPr>
                <w:sz w:val="19"/>
                <w:szCs w:val="19"/>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Darren L. Redetzke</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Commercial Business since August 2010. From December 2008 to July 2010, he served as Vice</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49, Vice President, Commercial Business</w:t>
            </w:r>
          </w:p>
        </w:tc>
        <w:tc>
          <w:tcPr>
            <w:tcW w:w="8240" w:type="dxa"/>
            <w:vAlign w:val="bottom"/>
          </w:tcPr>
          <w:p>
            <w:pPr>
              <w:ind w:left="60"/>
              <w:spacing w:after="0"/>
              <w:rPr>
                <w:sz w:val="20"/>
                <w:szCs w:val="20"/>
                <w:color w:val="auto"/>
              </w:rPr>
            </w:pPr>
            <w:r>
              <w:rPr>
                <w:rFonts w:ascii="Arial" w:cs="Arial" w:eastAsia="Arial" w:hAnsi="Arial"/>
                <w:sz w:val="16"/>
                <w:szCs w:val="16"/>
                <w:color w:val="auto"/>
              </w:rPr>
              <w:t>President, International Business. From November 2007 to December 2008, he served as General Manager,</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International Business.</w:t>
            </w: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6"/>
                <w:szCs w:val="16"/>
                <w:b w:val="1"/>
                <w:bCs w:val="1"/>
                <w:color w:val="auto"/>
              </w:rPr>
              <w:t>Kurt D. Svendsen</w:t>
            </w:r>
          </w:p>
        </w:tc>
        <w:tc>
          <w:tcPr>
            <w:tcW w:w="8240" w:type="dxa"/>
            <w:vAlign w:val="bottom"/>
          </w:tcPr>
          <w:p>
            <w:pPr>
              <w:ind w:left="60"/>
              <w:spacing w:after="0" w:line="169" w:lineRule="exact"/>
              <w:rPr>
                <w:sz w:val="20"/>
                <w:szCs w:val="20"/>
                <w:color w:val="auto"/>
              </w:rPr>
            </w:pPr>
            <w:r>
              <w:rPr>
                <w:rFonts w:ascii="Arial" w:cs="Arial" w:eastAsia="Arial" w:hAnsi="Arial"/>
                <w:sz w:val="16"/>
                <w:szCs w:val="16"/>
                <w:color w:val="auto"/>
              </w:rPr>
              <w:t>Vice President, Information Services since June 2013. From September 2011 to June 2013, he served as</w:t>
            </w:r>
          </w:p>
        </w:tc>
      </w:tr>
      <w:tr>
        <w:trPr>
          <w:trHeight w:val="188"/>
        </w:trPr>
        <w:tc>
          <w:tcPr>
            <w:tcW w:w="3180" w:type="dxa"/>
            <w:vAlign w:val="bottom"/>
          </w:tcPr>
          <w:p>
            <w:pPr>
              <w:spacing w:after="0"/>
              <w:rPr>
                <w:sz w:val="20"/>
                <w:szCs w:val="20"/>
                <w:color w:val="auto"/>
              </w:rPr>
            </w:pPr>
            <w:r>
              <w:rPr>
                <w:rFonts w:ascii="Arial" w:cs="Arial" w:eastAsia="Arial" w:hAnsi="Arial"/>
                <w:sz w:val="16"/>
                <w:szCs w:val="16"/>
                <w:color w:val="auto"/>
              </w:rPr>
              <w:t>47, Vice President, Information Services</w:t>
            </w:r>
          </w:p>
        </w:tc>
        <w:tc>
          <w:tcPr>
            <w:tcW w:w="8240" w:type="dxa"/>
            <w:vAlign w:val="bottom"/>
          </w:tcPr>
          <w:p>
            <w:pPr>
              <w:ind w:left="60"/>
              <w:spacing w:after="0"/>
              <w:rPr>
                <w:sz w:val="20"/>
                <w:szCs w:val="20"/>
                <w:color w:val="auto"/>
              </w:rPr>
            </w:pPr>
            <w:r>
              <w:rPr>
                <w:rFonts w:ascii="Arial" w:cs="Arial" w:eastAsia="Arial" w:hAnsi="Arial"/>
                <w:sz w:val="16"/>
                <w:szCs w:val="16"/>
                <w:color w:val="auto"/>
              </w:rPr>
              <w:t>Managing Director, Corporate Communications and Investor Relations. From August 2010 to September 2011,</w:t>
            </w:r>
          </w:p>
        </w:tc>
      </w:tr>
      <w:tr>
        <w:trPr>
          <w:trHeight w:val="188"/>
        </w:trPr>
        <w:tc>
          <w:tcPr>
            <w:tcW w:w="3180" w:type="dxa"/>
            <w:vAlign w:val="bottom"/>
          </w:tcPr>
          <w:p>
            <w:pPr>
              <w:spacing w:after="0"/>
              <w:rPr>
                <w:sz w:val="16"/>
                <w:szCs w:val="16"/>
                <w:color w:val="auto"/>
              </w:rPr>
            </w:pPr>
          </w:p>
        </w:tc>
        <w:tc>
          <w:tcPr>
            <w:tcW w:w="8240" w:type="dxa"/>
            <w:vAlign w:val="bottom"/>
          </w:tcPr>
          <w:p>
            <w:pPr>
              <w:ind w:left="60"/>
              <w:spacing w:after="0"/>
              <w:rPr>
                <w:sz w:val="20"/>
                <w:szCs w:val="20"/>
                <w:color w:val="auto"/>
              </w:rPr>
            </w:pPr>
            <w:r>
              <w:rPr>
                <w:rFonts w:ascii="Arial" w:cs="Arial" w:eastAsia="Arial" w:hAnsi="Arial"/>
                <w:sz w:val="16"/>
                <w:szCs w:val="16"/>
                <w:color w:val="auto"/>
              </w:rPr>
              <w:t>he served as Director, Investor and Public Relations. From November 2007 to August 2010, he served as</w:t>
            </w:r>
          </w:p>
        </w:tc>
      </w:tr>
      <w:tr>
        <w:trPr>
          <w:trHeight w:val="225"/>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Director, Business Development.</w:t>
            </w:r>
          </w:p>
        </w:tc>
      </w:tr>
      <w:tr>
        <w:trPr>
          <w:trHeight w:val="401"/>
        </w:trPr>
        <w:tc>
          <w:tcPr>
            <w:tcW w:w="3180" w:type="dxa"/>
            <w:vAlign w:val="bottom"/>
          </w:tcPr>
          <w:p>
            <w:pPr>
              <w:spacing w:after="0"/>
              <w:rPr>
                <w:sz w:val="24"/>
                <w:szCs w:val="24"/>
                <w:color w:val="auto"/>
              </w:rPr>
            </w:pPr>
          </w:p>
        </w:tc>
        <w:tc>
          <w:tcPr>
            <w:tcW w:w="8240" w:type="dxa"/>
            <w:vAlign w:val="bottom"/>
          </w:tcPr>
          <w:p>
            <w:pPr>
              <w:ind w:left="2440"/>
              <w:spacing w:after="0"/>
              <w:rPr>
                <w:sz w:val="20"/>
                <w:szCs w:val="20"/>
                <w:color w:val="auto"/>
              </w:rPr>
            </w:pPr>
            <w:r>
              <w:rPr>
                <w:rFonts w:ascii="Arial" w:cs="Arial" w:eastAsia="Arial" w:hAnsi="Arial"/>
                <w:sz w:val="16"/>
                <w:szCs w:val="16"/>
                <w:color w:val="auto"/>
              </w:rPr>
              <w:t>23</w:t>
            </w:r>
          </w:p>
        </w:tc>
      </w:tr>
      <w:tr>
        <w:trPr>
          <w:trHeight w:val="195"/>
        </w:trPr>
        <w:tc>
          <w:tcPr>
            <w:tcW w:w="3180" w:type="dxa"/>
            <w:vAlign w:val="bottom"/>
            <w:tcBorders>
              <w:bottom w:val="single" w:sz="8" w:color="808080"/>
            </w:tcBorders>
          </w:tcPr>
          <w:p>
            <w:pPr>
              <w:spacing w:after="0"/>
              <w:rPr>
                <w:sz w:val="16"/>
                <w:szCs w:val="16"/>
                <w:color w:val="auto"/>
              </w:rPr>
            </w:pPr>
          </w:p>
        </w:tc>
        <w:tc>
          <w:tcPr>
            <w:tcW w:w="82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PART II</w:t>
      </w:r>
    </w:p>
    <w:p>
      <w:pPr>
        <w:spacing w:after="0" w:line="201" w:lineRule="exact"/>
        <w:rPr>
          <w:sz w:val="20"/>
          <w:szCs w:val="20"/>
          <w:color w:val="auto"/>
        </w:rPr>
      </w:pPr>
    </w:p>
    <w:p>
      <w:pPr>
        <w:ind w:right="900"/>
        <w:spacing w:after="0" w:line="291"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Our common stock is listed for trading on the New York Stock Exchange and trades under the symbol "TTC." The high, low, and last sales prices for our common stock and cash dividends paid for each of the quarterly periods for fiscal 2013 and 2012 were as follows:</w:t>
      </w:r>
    </w:p>
    <w:p>
      <w:pPr>
        <w:spacing w:after="0" w:line="153"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536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Fiscal year ended</w:t>
            </w:r>
          </w:p>
        </w:tc>
        <w:tc>
          <w:tcPr>
            <w:tcW w:w="32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First</w:t>
            </w: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Second</w:t>
            </w:r>
          </w:p>
        </w:tc>
        <w:tc>
          <w:tcPr>
            <w:tcW w:w="6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Third</w:t>
            </w:r>
          </w:p>
        </w:tc>
        <w:tc>
          <w:tcPr>
            <w:tcW w:w="62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Fourth</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60" w:type="dxa"/>
            <w:vAlign w:val="bottom"/>
            <w:gridSpan w:val="3"/>
          </w:tcPr>
          <w:p>
            <w:pPr>
              <w:spacing w:after="0"/>
              <w:rPr>
                <w:sz w:val="20"/>
                <w:szCs w:val="20"/>
                <w:color w:val="auto"/>
              </w:rPr>
            </w:pPr>
            <w:r>
              <w:rPr>
                <w:rFonts w:ascii="Arial" w:cs="Arial" w:eastAsia="Arial" w:hAnsi="Arial"/>
                <w:sz w:val="13"/>
                <w:szCs w:val="13"/>
                <w:b w:val="1"/>
                <w:bCs w:val="1"/>
                <w:color w:val="auto"/>
              </w:rPr>
              <w:t>October 31, 2013</w:t>
            </w:r>
          </w:p>
        </w:tc>
        <w:tc>
          <w:tcPr>
            <w:tcW w:w="32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4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Market price per share of common stock</w:t>
            </w:r>
          </w:p>
        </w:tc>
        <w:tc>
          <w:tcPr>
            <w:tcW w:w="30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Pr>
          <w:p>
            <w:pPr>
              <w:ind w:left="40"/>
              <w:spacing w:after="0"/>
              <w:rPr>
                <w:sz w:val="20"/>
                <w:szCs w:val="20"/>
                <w:color w:val="auto"/>
              </w:rPr>
            </w:pPr>
            <w:r>
              <w:rPr>
                <w:rFonts w:ascii="Arial" w:cs="Arial" w:eastAsia="Arial" w:hAnsi="Arial"/>
                <w:sz w:val="13"/>
                <w:szCs w:val="13"/>
                <w:b w:val="1"/>
                <w:bCs w:val="1"/>
                <w:color w:val="auto"/>
              </w:rPr>
              <w:t>High sales price</w:t>
            </w:r>
          </w:p>
        </w:tc>
        <w:tc>
          <w:tcPr>
            <w:tcW w:w="3240" w:type="dxa"/>
            <w:vAlign w:val="bottom"/>
            <w:gridSpan w:val="2"/>
          </w:tcPr>
          <w:p>
            <w:pPr>
              <w:jc w:val="right"/>
              <w:spacing w:after="0"/>
              <w:rPr>
                <w:sz w:val="20"/>
                <w:szCs w:val="20"/>
                <w:color w:val="auto"/>
              </w:rPr>
            </w:pPr>
            <w:r>
              <w:rPr>
                <w:rFonts w:ascii="Arial" w:cs="Arial" w:eastAsia="Arial" w:hAnsi="Arial"/>
                <w:sz w:val="13"/>
                <w:szCs w:val="13"/>
                <w:b w:val="1"/>
                <w:bCs w:val="1"/>
                <w:color w:val="auto"/>
              </w:rPr>
              <w:t>$ 45.18</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  48.59</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$ 50.14</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$ 59.50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Low sales price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40.25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43.14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44.17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47.56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Pr>
          <w:p>
            <w:pPr>
              <w:ind w:left="40"/>
              <w:spacing w:after="0"/>
              <w:rPr>
                <w:sz w:val="20"/>
                <w:szCs w:val="20"/>
                <w:color w:val="auto"/>
              </w:rPr>
            </w:pPr>
            <w:r>
              <w:rPr>
                <w:rFonts w:ascii="Arial" w:cs="Arial" w:eastAsia="Arial" w:hAnsi="Arial"/>
                <w:sz w:val="13"/>
                <w:szCs w:val="13"/>
                <w:b w:val="1"/>
                <w:bCs w:val="1"/>
                <w:color w:val="auto"/>
              </w:rPr>
              <w:t>Last sales price</w:t>
            </w:r>
          </w:p>
        </w:tc>
        <w:tc>
          <w:tcPr>
            <w:tcW w:w="3240" w:type="dxa"/>
            <w:vAlign w:val="bottom"/>
            <w:gridSpan w:val="2"/>
          </w:tcPr>
          <w:p>
            <w:pPr>
              <w:jc w:val="right"/>
              <w:spacing w:after="0"/>
              <w:rPr>
                <w:sz w:val="20"/>
                <w:szCs w:val="20"/>
                <w:color w:val="auto"/>
              </w:rPr>
            </w:pPr>
            <w:r>
              <w:rPr>
                <w:rFonts w:ascii="Arial" w:cs="Arial" w:eastAsia="Arial" w:hAnsi="Arial"/>
                <w:sz w:val="13"/>
                <w:szCs w:val="13"/>
                <w:b w:val="1"/>
                <w:bCs w:val="1"/>
                <w:color w:val="auto"/>
              </w:rPr>
              <w:t>44.93</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45.19</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49.38</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58.94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Cash dividends per share of common stock</w:t>
            </w:r>
            <w:r>
              <w:rPr>
                <w:rFonts w:ascii="Arial" w:cs="Arial" w:eastAsia="Arial" w:hAnsi="Arial"/>
                <w:sz w:val="20"/>
                <w:szCs w:val="20"/>
                <w:b w:val="1"/>
                <w:bCs w:val="1"/>
                <w:color w:val="auto"/>
                <w:vertAlign w:val="superscript"/>
              </w:rPr>
              <w:t>1</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0.14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0.14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tcPr>
          <w:p>
            <w:pPr>
              <w:spacing w:after="0" w:line="132" w:lineRule="exact"/>
              <w:rPr>
                <w:sz w:val="20"/>
                <w:szCs w:val="20"/>
                <w:color w:val="auto"/>
              </w:rPr>
            </w:pPr>
            <w:r>
              <w:rPr>
                <w:rFonts w:ascii="Arial" w:cs="Arial" w:eastAsia="Arial" w:hAnsi="Arial"/>
                <w:sz w:val="13"/>
                <w:szCs w:val="13"/>
                <w:color w:val="auto"/>
              </w:rPr>
              <w:t>Fiscal year ended</w:t>
            </w:r>
          </w:p>
        </w:tc>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October 31, 2012</w:t>
            </w:r>
          </w:p>
        </w:tc>
        <w:tc>
          <w:tcPr>
            <w:tcW w:w="3080" w:type="dxa"/>
            <w:vAlign w:val="bottom"/>
          </w:tcPr>
          <w:p>
            <w:pPr>
              <w:jc w:val="right"/>
              <w:ind w:right="13"/>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Second</w:t>
            </w:r>
          </w:p>
        </w:tc>
        <w:tc>
          <w:tcPr>
            <w:tcW w:w="18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Third</w:t>
            </w:r>
          </w:p>
        </w:tc>
        <w:tc>
          <w:tcPr>
            <w:tcW w:w="140" w:type="dxa"/>
            <w:vAlign w:val="bottom"/>
          </w:tcPr>
          <w:p>
            <w:pPr>
              <w:spacing w:after="0"/>
              <w:rPr>
                <w:sz w:val="15"/>
                <w:szCs w:val="15"/>
                <w:color w:val="auto"/>
              </w:rPr>
            </w:pPr>
          </w:p>
        </w:tc>
        <w:tc>
          <w:tcPr>
            <w:tcW w:w="760" w:type="dxa"/>
            <w:vAlign w:val="bottom"/>
            <w:gridSpan w:val="4"/>
          </w:tcPr>
          <w:p>
            <w:pPr>
              <w:ind w:left="60"/>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3"/>
                <w:szCs w:val="13"/>
                <w:color w:val="auto"/>
              </w:rPr>
              <w:t>Market price per share of common stock</w:t>
            </w:r>
            <w:r>
              <w:rPr>
                <w:rFonts w:ascii="Arial" w:cs="Arial" w:eastAsia="Arial" w:hAnsi="Arial"/>
                <w:sz w:val="19"/>
                <w:szCs w:val="19"/>
                <w:color w:val="auto"/>
                <w:vertAlign w:val="superscript"/>
              </w:rPr>
              <w:t>2</w:t>
            </w:r>
          </w:p>
        </w:tc>
        <w:tc>
          <w:tcPr>
            <w:tcW w:w="30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High sales price</w:t>
            </w:r>
          </w:p>
        </w:tc>
        <w:tc>
          <w:tcPr>
            <w:tcW w:w="3080" w:type="dxa"/>
            <w:vAlign w:val="bottom"/>
          </w:tcPr>
          <w:p>
            <w:pPr>
              <w:jc w:val="right"/>
              <w:ind w:right="13"/>
              <w:spacing w:after="0"/>
              <w:rPr>
                <w:sz w:val="20"/>
                <w:szCs w:val="20"/>
                <w:color w:val="auto"/>
              </w:rPr>
            </w:pPr>
            <w:r>
              <w:rPr>
                <w:rFonts w:ascii="Arial" w:cs="Arial" w:eastAsia="Arial" w:hAnsi="Arial"/>
                <w:sz w:val="13"/>
                <w:szCs w:val="13"/>
                <w:color w:val="auto"/>
              </w:rPr>
              <w:t>$ 33.135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$ 36.525</w:t>
            </w:r>
          </w:p>
        </w:tc>
        <w:tc>
          <w:tcPr>
            <w:tcW w:w="660" w:type="dxa"/>
            <w:vAlign w:val="bottom"/>
            <w:gridSpan w:val="2"/>
          </w:tcPr>
          <w:p>
            <w:pPr>
              <w:jc w:val="right"/>
              <w:ind w:right="13"/>
              <w:spacing w:after="0"/>
              <w:rPr>
                <w:sz w:val="20"/>
                <w:szCs w:val="20"/>
                <w:color w:val="auto"/>
              </w:rPr>
            </w:pPr>
            <w:r>
              <w:rPr>
                <w:rFonts w:ascii="Arial" w:cs="Arial" w:eastAsia="Arial" w:hAnsi="Arial"/>
                <w:sz w:val="13"/>
                <w:szCs w:val="13"/>
                <w:color w:val="auto"/>
              </w:rPr>
              <w:t>$ 40.338</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$ 42.360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Low sales price</w:t>
            </w:r>
          </w:p>
        </w:tc>
        <w:tc>
          <w:tcPr>
            <w:tcW w:w="3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25.890</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5"/>
              </w:rPr>
              <w:t>32.750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35.640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Last sales price</w:t>
            </w:r>
          </w:p>
        </w:tc>
        <w:tc>
          <w:tcPr>
            <w:tcW w:w="3080" w:type="dxa"/>
            <w:vAlign w:val="bottom"/>
          </w:tcPr>
          <w:p>
            <w:pPr>
              <w:jc w:val="right"/>
              <w:ind w:right="13"/>
              <w:spacing w:after="0"/>
              <w:rPr>
                <w:sz w:val="20"/>
                <w:szCs w:val="20"/>
                <w:color w:val="auto"/>
              </w:rPr>
            </w:pPr>
            <w:r>
              <w:rPr>
                <w:rFonts w:ascii="Arial" w:cs="Arial" w:eastAsia="Arial" w:hAnsi="Arial"/>
                <w:sz w:val="13"/>
                <w:szCs w:val="13"/>
                <w:color w:val="auto"/>
              </w:rPr>
              <w:t>32.650</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35.305</w:t>
            </w:r>
          </w:p>
        </w:tc>
        <w:tc>
          <w:tcPr>
            <w:tcW w:w="18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w w:val="95"/>
              </w:rPr>
              <w:t>37.910</w:t>
            </w:r>
          </w:p>
        </w:tc>
        <w:tc>
          <w:tcPr>
            <w:tcW w:w="1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42.220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Cash dividends per share of common stock</w:t>
            </w:r>
            <w:r>
              <w:rPr>
                <w:rFonts w:ascii="Arial" w:cs="Arial" w:eastAsia="Arial" w:hAnsi="Arial"/>
                <w:sz w:val="20"/>
                <w:szCs w:val="20"/>
                <w:color w:val="auto"/>
                <w:vertAlign w:val="superscript"/>
              </w:rPr>
              <w:t>1,2</w:t>
            </w:r>
          </w:p>
        </w:tc>
        <w:tc>
          <w:tcPr>
            <w:tcW w:w="3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0.11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0.11</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hanging="500"/>
        <w:spacing w:after="0" w:line="212" w:lineRule="auto"/>
        <w:tabs>
          <w:tab w:leader="none" w:pos="50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During fiscal 2013, our annual dividend guideline was 20 to 30 percent of our three-year average net earnings per share for the current and previous two fiscal years. In December 2013, we increased our annual dividend guideline to 30 to 40 percent of our three-year average net earnings per share. However, future cash dividends will depend upon our financial condition, capital requirements, results of operations, and other factors deemed relevant by our Board of Directors. Restrictions on our ability to pay dividends are disclosed in Item 7,</w:t>
      </w:r>
    </w:p>
    <w:tbl>
      <w:tblPr>
        <w:tblLayout w:type="fixed"/>
        <w:tblInd w:w="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10880" w:type="dxa"/>
            <w:vAlign w:val="bottom"/>
          </w:tcPr>
          <w:p>
            <w:pPr>
              <w:ind w:left="220"/>
              <w:spacing w:after="0" w:line="135" w:lineRule="exact"/>
              <w:rPr>
                <w:sz w:val="20"/>
                <w:szCs w:val="20"/>
                <w:color w:val="auto"/>
              </w:rPr>
            </w:pPr>
            <w:r>
              <w:rPr>
                <w:rFonts w:ascii="Arial" w:cs="Arial" w:eastAsia="Arial" w:hAnsi="Arial"/>
                <w:sz w:val="13"/>
                <w:szCs w:val="13"/>
                <w:color w:val="auto"/>
              </w:rPr>
              <w:t>Management's Discussion and Analysis of Financial Condition and Results of Operations and Note 6 of the Notes to Consolidated Financial Statements included in Item 8, Financial</w:t>
            </w:r>
          </w:p>
        </w:tc>
        <w:tc>
          <w:tcPr>
            <w:tcW w:w="0" w:type="dxa"/>
            <w:vAlign w:val="bottom"/>
          </w:tcPr>
          <w:p>
            <w:pPr>
              <w:spacing w:after="0"/>
              <w:rPr>
                <w:sz w:val="1"/>
                <w:szCs w:val="1"/>
                <w:color w:val="auto"/>
              </w:rPr>
            </w:pPr>
          </w:p>
        </w:tc>
      </w:tr>
      <w:tr>
        <w:trPr>
          <w:trHeight w:val="151"/>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2</w:t>
            </w:r>
          </w:p>
        </w:tc>
        <w:tc>
          <w:tcPr>
            <w:tcW w:w="10880" w:type="dxa"/>
            <w:vAlign w:val="bottom"/>
          </w:tcPr>
          <w:p>
            <w:pPr>
              <w:ind w:left="220"/>
              <w:spacing w:after="0"/>
              <w:rPr>
                <w:sz w:val="20"/>
                <w:szCs w:val="20"/>
                <w:color w:val="auto"/>
              </w:rPr>
            </w:pPr>
            <w:r>
              <w:rPr>
                <w:rFonts w:ascii="Arial" w:cs="Arial" w:eastAsia="Arial" w:hAnsi="Arial"/>
                <w:sz w:val="13"/>
                <w:szCs w:val="13"/>
                <w:color w:val="auto"/>
              </w:rPr>
              <w:t>Statements and Supplementary Data.</w:t>
            </w:r>
          </w:p>
        </w:tc>
        <w:tc>
          <w:tcPr>
            <w:tcW w:w="0" w:type="dxa"/>
            <w:vAlign w:val="bottom"/>
          </w:tcPr>
          <w:p>
            <w:pPr>
              <w:spacing w:after="0"/>
              <w:rPr>
                <w:sz w:val="1"/>
                <w:szCs w:val="1"/>
                <w:color w:val="auto"/>
              </w:rPr>
            </w:pPr>
          </w:p>
        </w:tc>
      </w:tr>
      <w:tr>
        <w:trPr>
          <w:trHeight w:val="106"/>
        </w:trPr>
        <w:tc>
          <w:tcPr>
            <w:tcW w:w="280" w:type="dxa"/>
            <w:vAlign w:val="bottom"/>
            <w:vMerge w:val="continue"/>
          </w:tcPr>
          <w:p>
            <w:pPr>
              <w:spacing w:after="0"/>
              <w:rPr>
                <w:sz w:val="9"/>
                <w:szCs w:val="9"/>
                <w:color w:val="auto"/>
              </w:rPr>
            </w:pPr>
          </w:p>
        </w:tc>
        <w:tc>
          <w:tcPr>
            <w:tcW w:w="10880" w:type="dxa"/>
            <w:vAlign w:val="bottom"/>
            <w:vMerge w:val="restart"/>
          </w:tcPr>
          <w:p>
            <w:pPr>
              <w:ind w:left="220"/>
              <w:spacing w:after="0"/>
              <w:rPr>
                <w:sz w:val="20"/>
                <w:szCs w:val="20"/>
                <w:color w:val="auto"/>
              </w:rPr>
            </w:pPr>
            <w:r>
              <w:rPr>
                <w:rFonts w:ascii="Arial" w:cs="Arial" w:eastAsia="Arial" w:hAnsi="Arial"/>
                <w:sz w:val="13"/>
                <w:szCs w:val="13"/>
                <w:color w:val="auto"/>
              </w:rPr>
              <w:t>Market prices and per share data have been adjusted for all periods presented to reflect the impact of the company's two-for-one stock split effective June 29, 2012.</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10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680"/>
        <w:spacing w:after="0" w:line="294"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175,000,000 and 100,000,000 shares authorized, $1.00 par value, as of October 31, 2013 and 2012, respectively. 56,788,723 and</w:t>
      </w:r>
      <w:r>
        <w:rPr>
          <w:rFonts w:ascii="Arial" w:cs="Arial" w:eastAsia="Arial" w:hAnsi="Arial"/>
          <w:sz w:val="16"/>
          <w:szCs w:val="16"/>
          <w:b w:val="1"/>
          <w:bCs w:val="1"/>
          <w:color w:val="auto"/>
        </w:rPr>
        <w:t xml:space="preserve"> </w:t>
      </w:r>
      <w:r>
        <w:rPr>
          <w:rFonts w:ascii="Arial" w:cs="Arial" w:eastAsia="Arial" w:hAnsi="Arial"/>
          <w:sz w:val="16"/>
          <w:szCs w:val="16"/>
          <w:color w:val="auto"/>
        </w:rPr>
        <w:t>58,266,482 shares outstanding as of October 31, 2013 and 2012, respectively.</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On March 12, 2013, following approval of our shareholders at our 2013 annual meeting of shareholders, we amended our Restated Certificate of Incorporation by filing a Certificate of Amendment to Restated Certificate of Incorporation with the Secretary of State of the State of Delaware to increase the number of authorized shares of common stock from 100,000,000 to 175,000,000.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 1,000,000 voting shares and 850,000 non-voting shares authorized, $1.00 par value, no shares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Shareholders </w:t>
      </w:r>
      <w:r>
        <w:rPr>
          <w:rFonts w:ascii="Arial" w:cs="Arial" w:eastAsia="Arial" w:hAnsi="Arial"/>
          <w:sz w:val="16"/>
          <w:szCs w:val="16"/>
          <w:color w:val="auto"/>
        </w:rPr>
        <w:t>– As of December 12, 2013, we had approximately 3,762 shareholders of record.</w:t>
      </w:r>
    </w:p>
    <w:p>
      <w:pPr>
        <w:spacing w:after="0" w:line="20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color w:val="auto"/>
        </w:rPr>
        <w:t xml:space="preserve">Purchases of Equity Securities </w:t>
      </w:r>
      <w:r>
        <w:rPr>
          <w:rFonts w:ascii="Arial" w:cs="Arial" w:eastAsia="Arial" w:hAnsi="Arial"/>
          <w:sz w:val="16"/>
          <w:szCs w:val="16"/>
          <w:color w:val="auto"/>
        </w:rPr>
        <w:t>– The following table sets forth information with respect to shares of our common stock purchased by the company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three fiscal months in our fourth quarter ended October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8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Maximum</w:t>
            </w:r>
          </w:p>
        </w:tc>
        <w:tc>
          <w:tcPr>
            <w:tcW w:w="140" w:type="dxa"/>
            <w:vAlign w:val="bottom"/>
          </w:tcPr>
          <w:p>
            <w:pPr>
              <w:spacing w:after="0"/>
              <w:rPr>
                <w:sz w:val="13"/>
                <w:szCs w:val="13"/>
                <w:color w:val="auto"/>
              </w:rPr>
            </w:pPr>
          </w:p>
        </w:tc>
      </w:tr>
      <w:tr>
        <w:trPr>
          <w:trHeight w:val="151"/>
        </w:trPr>
        <w:tc>
          <w:tcPr>
            <w:tcW w:w="5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Number of</w:t>
            </w:r>
          </w:p>
        </w:tc>
      </w:tr>
      <w:tr>
        <w:trPr>
          <w:trHeight w:val="151"/>
        </w:trPr>
        <w:tc>
          <w:tcPr>
            <w:tcW w:w="5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Number of</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Shares</w:t>
            </w:r>
          </w:p>
        </w:tc>
      </w:tr>
      <w:tr>
        <w:trPr>
          <w:trHeight w:val="151"/>
        </w:trPr>
        <w:tc>
          <w:tcPr>
            <w:tcW w:w="5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Shares</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that</w:t>
            </w:r>
          </w:p>
        </w:tc>
      </w:tr>
      <w:tr>
        <w:trPr>
          <w:trHeight w:val="151"/>
        </w:trPr>
        <w:tc>
          <w:tcPr>
            <w:tcW w:w="5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Purchased</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May Yet</w:t>
            </w:r>
          </w:p>
        </w:tc>
      </w:tr>
      <w:tr>
        <w:trPr>
          <w:trHeight w:val="162"/>
        </w:trPr>
        <w:tc>
          <w:tcPr>
            <w:tcW w:w="5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w w:val="99"/>
              </w:rPr>
              <w:t>Average</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as Part of</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be</w:t>
            </w:r>
          </w:p>
        </w:tc>
      </w:tr>
      <w:tr>
        <w:trPr>
          <w:trHeight w:val="151"/>
        </w:trPr>
        <w:tc>
          <w:tcPr>
            <w:tcW w:w="5380" w:type="dxa"/>
            <w:vAlign w:val="bottom"/>
          </w:tcPr>
          <w:p>
            <w:pPr>
              <w:spacing w:after="0"/>
              <w:rPr>
                <w:sz w:val="13"/>
                <w:szCs w:val="13"/>
                <w:color w:val="auto"/>
              </w:rPr>
            </w:pPr>
          </w:p>
        </w:tc>
        <w:tc>
          <w:tcPr>
            <w:tcW w:w="3520" w:type="dxa"/>
            <w:vAlign w:val="bottom"/>
          </w:tcPr>
          <w:p>
            <w:pPr>
              <w:jc w:val="right"/>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Price</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Publicly</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Purchased</w:t>
            </w:r>
          </w:p>
        </w:tc>
      </w:tr>
      <w:tr>
        <w:trPr>
          <w:trHeight w:val="151"/>
        </w:trPr>
        <w:tc>
          <w:tcPr>
            <w:tcW w:w="5380" w:type="dxa"/>
            <w:vAlign w:val="bottom"/>
          </w:tcPr>
          <w:p>
            <w:pPr>
              <w:spacing w:after="0"/>
              <w:rPr>
                <w:sz w:val="13"/>
                <w:szCs w:val="13"/>
                <w:color w:val="auto"/>
              </w:rPr>
            </w:pPr>
          </w:p>
        </w:tc>
        <w:tc>
          <w:tcPr>
            <w:tcW w:w="3520" w:type="dxa"/>
            <w:vAlign w:val="bottom"/>
          </w:tcPr>
          <w:p>
            <w:pPr>
              <w:jc w:val="right"/>
              <w:spacing w:after="0"/>
              <w:rPr>
                <w:sz w:val="20"/>
                <w:szCs w:val="20"/>
                <w:color w:val="auto"/>
              </w:rPr>
            </w:pPr>
            <w:r>
              <w:rPr>
                <w:rFonts w:ascii="Arial" w:cs="Arial" w:eastAsia="Arial" w:hAnsi="Arial"/>
                <w:sz w:val="13"/>
                <w:szCs w:val="13"/>
                <w:color w:val="auto"/>
              </w:rPr>
              <w:t>Number of</w:t>
            </w:r>
          </w:p>
        </w:tc>
        <w:tc>
          <w:tcPr>
            <w:tcW w:w="16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Paid</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Announced</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Under the</w:t>
            </w:r>
          </w:p>
        </w:tc>
      </w:tr>
      <w:tr>
        <w:trPr>
          <w:trHeight w:val="148"/>
        </w:trPr>
        <w:tc>
          <w:tcPr>
            <w:tcW w:w="5380" w:type="dxa"/>
            <w:vAlign w:val="bottom"/>
          </w:tcPr>
          <w:p>
            <w:pPr>
              <w:spacing w:after="0"/>
              <w:rPr>
                <w:sz w:val="12"/>
                <w:szCs w:val="12"/>
                <w:color w:val="auto"/>
              </w:rPr>
            </w:pPr>
          </w:p>
        </w:tc>
        <w:tc>
          <w:tcPr>
            <w:tcW w:w="3520" w:type="dxa"/>
            <w:vAlign w:val="bottom"/>
          </w:tcPr>
          <w:p>
            <w:pPr>
              <w:jc w:val="right"/>
              <w:spacing w:after="0" w:line="148" w:lineRule="exact"/>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2"/>
                <w:szCs w:val="12"/>
                <w:color w:val="auto"/>
              </w:rPr>
            </w:pPr>
          </w:p>
        </w:tc>
        <w:tc>
          <w:tcPr>
            <w:tcW w:w="600" w:type="dxa"/>
            <w:vAlign w:val="bottom"/>
          </w:tcPr>
          <w:p>
            <w:pPr>
              <w:jc w:val="right"/>
              <w:ind w:right="33"/>
              <w:spacing w:after="0" w:line="148" w:lineRule="exact"/>
              <w:rPr>
                <w:sz w:val="20"/>
                <w:szCs w:val="20"/>
                <w:color w:val="auto"/>
              </w:rPr>
            </w:pPr>
            <w:r>
              <w:rPr>
                <w:rFonts w:ascii="Arial" w:cs="Arial" w:eastAsia="Arial" w:hAnsi="Arial"/>
                <w:sz w:val="13"/>
                <w:szCs w:val="13"/>
                <w:color w:val="auto"/>
              </w:rPr>
              <w:t>Per</w:t>
            </w: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Plans or</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Plans or</w:t>
            </w:r>
          </w:p>
        </w:tc>
      </w:tr>
      <w:tr>
        <w:trPr>
          <w:trHeight w:val="204"/>
        </w:trPr>
        <w:tc>
          <w:tcPr>
            <w:tcW w:w="5380" w:type="dxa"/>
            <w:vAlign w:val="bottom"/>
          </w:tcPr>
          <w:p>
            <w:pPr>
              <w:spacing w:after="0"/>
              <w:rPr>
                <w:sz w:val="20"/>
                <w:szCs w:val="20"/>
                <w:color w:val="auto"/>
              </w:rPr>
            </w:pPr>
            <w:r>
              <w:rPr>
                <w:rFonts w:ascii="Arial" w:cs="Arial" w:eastAsia="Arial" w:hAnsi="Arial"/>
                <w:sz w:val="13"/>
                <w:szCs w:val="13"/>
                <w:color w:val="auto"/>
              </w:rPr>
              <w:t>Period</w:t>
            </w:r>
          </w:p>
        </w:tc>
        <w:tc>
          <w:tcPr>
            <w:tcW w:w="3520" w:type="dxa"/>
            <w:vAlign w:val="bottom"/>
          </w:tcPr>
          <w:p>
            <w:pPr>
              <w:jc w:val="right"/>
              <w:spacing w:after="0" w:line="204" w:lineRule="exact"/>
              <w:rPr>
                <w:sz w:val="20"/>
                <w:szCs w:val="20"/>
                <w:color w:val="auto"/>
              </w:rPr>
            </w:pPr>
            <w:r>
              <w:rPr>
                <w:rFonts w:ascii="Arial" w:cs="Arial" w:eastAsia="Arial" w:hAnsi="Arial"/>
                <w:sz w:val="13"/>
                <w:szCs w:val="13"/>
                <w:color w:val="auto"/>
              </w:rPr>
              <w:t>Purchased</w:t>
            </w:r>
            <w:r>
              <w:rPr>
                <w:rFonts w:ascii="Arial" w:cs="Arial" w:eastAsia="Arial" w:hAnsi="Arial"/>
                <w:sz w:val="20"/>
                <w:szCs w:val="20"/>
                <w:color w:val="auto"/>
                <w:vertAlign w:val="superscript"/>
              </w:rPr>
              <w:t>1,2,3</w:t>
            </w:r>
          </w:p>
        </w:tc>
        <w:tc>
          <w:tcPr>
            <w:tcW w:w="160" w:type="dxa"/>
            <w:vAlign w:val="bottom"/>
          </w:tcPr>
          <w:p>
            <w:pPr>
              <w:spacing w:after="0"/>
              <w:rPr>
                <w:sz w:val="17"/>
                <w:szCs w:val="17"/>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Share</w:t>
            </w:r>
          </w:p>
        </w:tc>
        <w:tc>
          <w:tcPr>
            <w:tcW w:w="880" w:type="dxa"/>
            <w:vAlign w:val="bottom"/>
            <w:gridSpan w:val="2"/>
          </w:tcPr>
          <w:p>
            <w:pPr>
              <w:jc w:val="right"/>
              <w:ind w:right="100"/>
              <w:spacing w:after="0" w:line="204" w:lineRule="exact"/>
              <w:rPr>
                <w:sz w:val="20"/>
                <w:szCs w:val="20"/>
                <w:color w:val="auto"/>
              </w:rPr>
            </w:pPr>
            <w:r>
              <w:rPr>
                <w:rFonts w:ascii="Arial" w:cs="Arial" w:eastAsia="Arial" w:hAnsi="Arial"/>
                <w:sz w:val="13"/>
                <w:szCs w:val="13"/>
                <w:color w:val="auto"/>
              </w:rPr>
              <w:t>Programs</w:t>
            </w:r>
            <w:r>
              <w:rPr>
                <w:rFonts w:ascii="Arial" w:cs="Arial" w:eastAsia="Arial" w:hAnsi="Arial"/>
                <w:sz w:val="20"/>
                <w:szCs w:val="20"/>
                <w:color w:val="auto"/>
                <w:vertAlign w:val="superscript"/>
              </w:rPr>
              <w:t>1</w:t>
            </w:r>
          </w:p>
        </w:tc>
        <w:tc>
          <w:tcPr>
            <w:tcW w:w="880" w:type="dxa"/>
            <w:vAlign w:val="bottom"/>
            <w:gridSpan w:val="2"/>
          </w:tcPr>
          <w:p>
            <w:pPr>
              <w:jc w:val="right"/>
              <w:ind w:right="140"/>
              <w:spacing w:after="0" w:line="204" w:lineRule="exact"/>
              <w:rPr>
                <w:sz w:val="20"/>
                <w:szCs w:val="20"/>
                <w:color w:val="auto"/>
              </w:rPr>
            </w:pPr>
            <w:r>
              <w:rPr>
                <w:rFonts w:ascii="Arial" w:cs="Arial" w:eastAsia="Arial" w:hAnsi="Arial"/>
                <w:sz w:val="13"/>
                <w:szCs w:val="13"/>
                <w:color w:val="auto"/>
              </w:rPr>
              <w:t>Programs</w:t>
            </w:r>
            <w:r>
              <w:rPr>
                <w:rFonts w:ascii="Arial" w:cs="Arial" w:eastAsia="Arial" w:hAnsi="Arial"/>
                <w:sz w:val="20"/>
                <w:szCs w:val="20"/>
                <w:color w:val="auto"/>
                <w:vertAlign w:val="superscript"/>
              </w:rPr>
              <w:t>1</w:t>
            </w:r>
          </w:p>
        </w:tc>
      </w:tr>
      <w:tr>
        <w:trPr>
          <w:trHeight w:val="143"/>
        </w:trPr>
        <w:tc>
          <w:tcPr>
            <w:tcW w:w="53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August 3, 2013 through August 30, 2013</w:t>
            </w:r>
          </w:p>
        </w:tc>
        <w:tc>
          <w:tcPr>
            <w:tcW w:w="35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12,309</w:t>
            </w:r>
          </w:p>
        </w:tc>
        <w:tc>
          <w:tcPr>
            <w:tcW w:w="1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49.81</w:t>
            </w:r>
          </w:p>
        </w:tc>
        <w:tc>
          <w:tcPr>
            <w:tcW w:w="7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7,141</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4,758,528</w:t>
            </w:r>
          </w:p>
        </w:tc>
        <w:tc>
          <w:tcPr>
            <w:tcW w:w="140" w:type="dxa"/>
            <w:vAlign w:val="bottom"/>
            <w:shd w:val="clear" w:color="auto" w:fill="CCEEFF"/>
          </w:tcPr>
          <w:p>
            <w:pPr>
              <w:spacing w:after="0"/>
              <w:rPr>
                <w:sz w:val="12"/>
                <w:szCs w:val="12"/>
                <w:color w:val="auto"/>
              </w:rPr>
            </w:pPr>
          </w:p>
        </w:tc>
      </w:tr>
      <w:tr>
        <w:trPr>
          <w:trHeight w:val="151"/>
        </w:trPr>
        <w:tc>
          <w:tcPr>
            <w:tcW w:w="5380" w:type="dxa"/>
            <w:vAlign w:val="bottom"/>
          </w:tcPr>
          <w:p>
            <w:pPr>
              <w:spacing w:after="0"/>
              <w:rPr>
                <w:sz w:val="20"/>
                <w:szCs w:val="20"/>
                <w:color w:val="auto"/>
              </w:rPr>
            </w:pPr>
            <w:r>
              <w:rPr>
                <w:rFonts w:ascii="Arial" w:cs="Arial" w:eastAsia="Arial" w:hAnsi="Arial"/>
                <w:sz w:val="13"/>
                <w:szCs w:val="13"/>
                <w:color w:val="auto"/>
              </w:rPr>
              <w:t>August 31, 2013 through September 27, 2013</w:t>
            </w:r>
          </w:p>
        </w:tc>
        <w:tc>
          <w:tcPr>
            <w:tcW w:w="3520" w:type="dxa"/>
            <w:vAlign w:val="bottom"/>
          </w:tcPr>
          <w:p>
            <w:pPr>
              <w:jc w:val="right"/>
              <w:spacing w:after="0"/>
              <w:rPr>
                <w:sz w:val="20"/>
                <w:szCs w:val="20"/>
                <w:color w:val="auto"/>
              </w:rPr>
            </w:pPr>
            <w:r>
              <w:rPr>
                <w:rFonts w:ascii="Arial" w:cs="Arial" w:eastAsia="Arial" w:hAnsi="Arial"/>
                <w:sz w:val="13"/>
                <w:szCs w:val="13"/>
                <w:color w:val="auto"/>
              </w:rPr>
              <w:t>755</w:t>
            </w:r>
          </w:p>
        </w:tc>
        <w:tc>
          <w:tcPr>
            <w:tcW w:w="16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54.32</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4,758,528</w:t>
            </w:r>
          </w:p>
        </w:tc>
        <w:tc>
          <w:tcPr>
            <w:tcW w:w="140" w:type="dxa"/>
            <w:vAlign w:val="bottom"/>
          </w:tcPr>
          <w:p>
            <w:pPr>
              <w:spacing w:after="0"/>
              <w:rPr>
                <w:sz w:val="13"/>
                <w:szCs w:val="13"/>
                <w:color w:val="auto"/>
              </w:rPr>
            </w:pPr>
          </w:p>
        </w:tc>
      </w:tr>
      <w:tr>
        <w:trPr>
          <w:trHeight w:val="151"/>
        </w:trPr>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September 28, 2013 through October 31, 2013</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416,399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55.19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415,466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4,343,062</w:t>
            </w:r>
          </w:p>
        </w:tc>
        <w:tc>
          <w:tcPr>
            <w:tcW w:w="140" w:type="dxa"/>
            <w:vAlign w:val="bottom"/>
            <w:shd w:val="clear" w:color="auto" w:fill="CCEEFF"/>
          </w:tcPr>
          <w:p>
            <w:pPr>
              <w:spacing w:after="0"/>
              <w:rPr>
                <w:sz w:val="13"/>
                <w:szCs w:val="13"/>
                <w:color w:val="auto"/>
              </w:rPr>
            </w:pPr>
          </w:p>
        </w:tc>
      </w:tr>
      <w:tr>
        <w:trPr>
          <w:trHeight w:val="25"/>
        </w:trPr>
        <w:tc>
          <w:tcPr>
            <w:tcW w:w="53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5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Total</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429,463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55.04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422,607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1</w:t>
            </w:r>
          </w:p>
        </w:tc>
        <w:tc>
          <w:tcPr>
            <w:tcW w:w="11100" w:type="dxa"/>
            <w:vAlign w:val="bottom"/>
          </w:tcPr>
          <w:p>
            <w:pPr>
              <w:ind w:left="220"/>
              <w:spacing w:after="0"/>
              <w:rPr>
                <w:sz w:val="20"/>
                <w:szCs w:val="20"/>
                <w:color w:val="auto"/>
              </w:rPr>
            </w:pPr>
            <w:r>
              <w:rPr>
                <w:rFonts w:ascii="Arial" w:cs="Arial" w:eastAsia="Arial" w:hAnsi="Arial"/>
                <w:sz w:val="13"/>
                <w:szCs w:val="13"/>
                <w:color w:val="auto"/>
              </w:rPr>
              <w:t>On December 11, 2012, the Board of Directors authorized the repurchase of 5,000,000 shares of our common stock in open-market or in privately negotiated transactions. This program</w:t>
            </w:r>
          </w:p>
        </w:tc>
        <w:tc>
          <w:tcPr>
            <w:tcW w:w="0" w:type="dxa"/>
            <w:vAlign w:val="bottom"/>
          </w:tcPr>
          <w:p>
            <w:pPr>
              <w:spacing w:after="0"/>
              <w:rPr>
                <w:sz w:val="1"/>
                <w:szCs w:val="1"/>
                <w:color w:val="auto"/>
              </w:rPr>
            </w:pPr>
          </w:p>
        </w:tc>
      </w:tr>
      <w:tr>
        <w:trPr>
          <w:trHeight w:val="151"/>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2</w:t>
            </w:r>
          </w:p>
        </w:tc>
        <w:tc>
          <w:tcPr>
            <w:tcW w:w="11100" w:type="dxa"/>
            <w:vAlign w:val="bottom"/>
          </w:tcPr>
          <w:p>
            <w:pPr>
              <w:ind w:left="220"/>
              <w:spacing w:after="0"/>
              <w:rPr>
                <w:sz w:val="20"/>
                <w:szCs w:val="20"/>
                <w:color w:val="auto"/>
              </w:rPr>
            </w:pPr>
            <w:r>
              <w:rPr>
                <w:rFonts w:ascii="Arial" w:cs="Arial" w:eastAsia="Arial" w:hAnsi="Arial"/>
                <w:sz w:val="13"/>
                <w:szCs w:val="13"/>
                <w:color w:val="auto"/>
              </w:rPr>
              <w:t>has no expiration date but may be terminated by the Board at any time.</w:t>
            </w:r>
          </w:p>
        </w:tc>
        <w:tc>
          <w:tcPr>
            <w:tcW w:w="0" w:type="dxa"/>
            <w:vAlign w:val="bottom"/>
          </w:tcPr>
          <w:p>
            <w:pPr>
              <w:spacing w:after="0"/>
              <w:rPr>
                <w:sz w:val="1"/>
                <w:szCs w:val="1"/>
                <w:color w:val="auto"/>
              </w:rPr>
            </w:pPr>
          </w:p>
        </w:tc>
      </w:tr>
      <w:tr>
        <w:trPr>
          <w:trHeight w:val="151"/>
        </w:trPr>
        <w:tc>
          <w:tcPr>
            <w:tcW w:w="280" w:type="dxa"/>
            <w:vAlign w:val="bottom"/>
            <w:vMerge w:val="continue"/>
          </w:tcPr>
          <w:p>
            <w:pPr>
              <w:spacing w:after="0"/>
              <w:rPr>
                <w:sz w:val="13"/>
                <w:szCs w:val="13"/>
                <w:color w:val="auto"/>
              </w:rPr>
            </w:pPr>
          </w:p>
        </w:tc>
        <w:tc>
          <w:tcPr>
            <w:tcW w:w="11100" w:type="dxa"/>
            <w:vAlign w:val="bottom"/>
          </w:tcPr>
          <w:p>
            <w:pPr>
              <w:ind w:left="220"/>
              <w:spacing w:after="0"/>
              <w:rPr>
                <w:sz w:val="20"/>
                <w:szCs w:val="20"/>
                <w:color w:val="auto"/>
              </w:rPr>
            </w:pPr>
            <w:r>
              <w:rPr>
                <w:rFonts w:ascii="Arial" w:cs="Arial" w:eastAsia="Arial" w:hAnsi="Arial"/>
                <w:sz w:val="13"/>
                <w:szCs w:val="13"/>
                <w:color w:val="auto"/>
              </w:rPr>
              <w:t>Includes 5,923 shares of our common stock surrendered by employees to satisfy minimum tax withholding obligations upon vesting of restricted stock granted under our stock-based</w:t>
            </w:r>
          </w:p>
        </w:tc>
        <w:tc>
          <w:tcPr>
            <w:tcW w:w="0" w:type="dxa"/>
            <w:vAlign w:val="bottom"/>
          </w:tcPr>
          <w:p>
            <w:pPr>
              <w:spacing w:after="0"/>
              <w:rPr>
                <w:sz w:val="1"/>
                <w:szCs w:val="1"/>
                <w:color w:val="auto"/>
              </w:rPr>
            </w:pPr>
          </w:p>
        </w:tc>
      </w:tr>
      <w:tr>
        <w:trPr>
          <w:trHeight w:val="151"/>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3</w:t>
            </w:r>
          </w:p>
        </w:tc>
        <w:tc>
          <w:tcPr>
            <w:tcW w:w="11100" w:type="dxa"/>
            <w:vAlign w:val="bottom"/>
          </w:tcPr>
          <w:p>
            <w:pPr>
              <w:ind w:left="220"/>
              <w:spacing w:after="0"/>
              <w:rPr>
                <w:sz w:val="20"/>
                <w:szCs w:val="20"/>
                <w:color w:val="auto"/>
              </w:rPr>
            </w:pPr>
            <w:r>
              <w:rPr>
                <w:rFonts w:ascii="Arial" w:cs="Arial" w:eastAsia="Arial" w:hAnsi="Arial"/>
                <w:sz w:val="13"/>
                <w:szCs w:val="13"/>
                <w:color w:val="auto"/>
              </w:rPr>
              <w:t>compensation plans. These 5,923 shares were not repurchased under our repurchase program, described in footnote 1 above.</w:t>
            </w:r>
          </w:p>
        </w:tc>
        <w:tc>
          <w:tcPr>
            <w:tcW w:w="0" w:type="dxa"/>
            <w:vAlign w:val="bottom"/>
          </w:tcPr>
          <w:p>
            <w:pPr>
              <w:spacing w:after="0"/>
              <w:rPr>
                <w:sz w:val="1"/>
                <w:szCs w:val="1"/>
                <w:color w:val="auto"/>
              </w:rPr>
            </w:pPr>
          </w:p>
        </w:tc>
      </w:tr>
      <w:tr>
        <w:trPr>
          <w:trHeight w:val="167"/>
        </w:trPr>
        <w:tc>
          <w:tcPr>
            <w:tcW w:w="280" w:type="dxa"/>
            <w:vAlign w:val="bottom"/>
            <w:vMerge w:val="continue"/>
          </w:tcPr>
          <w:p>
            <w:pPr>
              <w:spacing w:after="0"/>
              <w:rPr>
                <w:sz w:val="14"/>
                <w:szCs w:val="14"/>
                <w:color w:val="auto"/>
              </w:rPr>
            </w:pPr>
          </w:p>
        </w:tc>
        <w:tc>
          <w:tcPr>
            <w:tcW w:w="11100" w:type="dxa"/>
            <w:vAlign w:val="bottom"/>
          </w:tcPr>
          <w:p>
            <w:pPr>
              <w:ind w:left="220"/>
              <w:spacing w:after="0"/>
              <w:rPr>
                <w:sz w:val="20"/>
                <w:szCs w:val="20"/>
                <w:color w:val="auto"/>
              </w:rPr>
            </w:pPr>
            <w:r>
              <w:rPr>
                <w:rFonts w:ascii="Arial" w:cs="Arial" w:eastAsia="Arial" w:hAnsi="Arial"/>
                <w:sz w:val="13"/>
                <w:szCs w:val="13"/>
                <w:color w:val="auto"/>
              </w:rPr>
              <w:t>Includes 933 units (shares) of our common stock purchased in open-market transactions at an average price of $56.01 per share on behalf of a rabbi trust formed to pay benefit</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3"/>
          <w:szCs w:val="13"/>
          <w:color w:val="auto"/>
        </w:rPr>
        <w:t>obligations to participants in deferred compensation plans. These 933 shares were not repurchased under our repurchase program, described in footnote 1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Toro Company Common Stock Comparative Performance Graph</w:t>
      </w:r>
    </w:p>
    <w:p>
      <w:pPr>
        <w:spacing w:after="0" w:line="209"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14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graph and table depict the cumulative total shareholder return (assuming reinvestment of dividends) on $100 invested in each of Toro common stock, the S&amp;P 500 Index, and an industry peer group for the five-year period from October 31, 2008 through October 31,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Among The Toro Company, the S&amp;P 500 Index,</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128270</wp:posOffset>
            </wp:positionV>
            <wp:extent cx="5288915" cy="2461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8891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*$100 invested on 10/31/08 in stock or index, including reinvestment of dividends.</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Fiscal year ending October 31.</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Fiscal year ending October 31</w:t>
            </w:r>
          </w:p>
        </w:tc>
        <w:tc>
          <w:tcPr>
            <w:tcW w:w="15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2008</w:t>
            </w:r>
          </w:p>
        </w:tc>
        <w:tc>
          <w:tcPr>
            <w:tcW w:w="9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2009</w:t>
            </w: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2010</w:t>
            </w:r>
          </w:p>
        </w:tc>
        <w:tc>
          <w:tcPr>
            <w:tcW w:w="10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2011</w:t>
            </w:r>
          </w:p>
        </w:tc>
        <w:tc>
          <w:tcPr>
            <w:tcW w:w="9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6"/>
                <w:szCs w:val="16"/>
                <w:color w:val="auto"/>
              </w:rPr>
            </w:pPr>
          </w:p>
        </w:tc>
      </w:tr>
      <w:tr>
        <w:trPr>
          <w:trHeight w:val="143"/>
        </w:trPr>
        <w:tc>
          <w:tcPr>
            <w:tcW w:w="26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The Toro Company</w:t>
            </w:r>
          </w:p>
        </w:tc>
        <w:tc>
          <w:tcPr>
            <w:tcW w:w="1540" w:type="dxa"/>
            <w:vAlign w:val="bottom"/>
            <w:shd w:val="clear" w:color="auto" w:fill="CCEEFF"/>
          </w:tcPr>
          <w:p>
            <w:pPr>
              <w:jc w:val="right"/>
              <w:ind w:right="193"/>
              <w:spacing w:after="0" w:line="143" w:lineRule="exact"/>
              <w:rPr>
                <w:sz w:val="20"/>
                <w:szCs w:val="20"/>
                <w:color w:val="auto"/>
              </w:rPr>
            </w:pPr>
            <w:r>
              <w:rPr>
                <w:rFonts w:ascii="Arial" w:cs="Arial" w:eastAsia="Arial" w:hAnsi="Arial"/>
                <w:sz w:val="13"/>
                <w:szCs w:val="13"/>
                <w:color w:val="auto"/>
              </w:rPr>
              <w:t>$ 100.00</w:t>
            </w:r>
          </w:p>
        </w:tc>
        <w:tc>
          <w:tcPr>
            <w:tcW w:w="980" w:type="dxa"/>
            <w:vAlign w:val="bottom"/>
            <w:shd w:val="clear" w:color="auto" w:fill="CCEEFF"/>
          </w:tcPr>
          <w:p>
            <w:pPr>
              <w:jc w:val="right"/>
              <w:ind w:right="173"/>
              <w:spacing w:after="0" w:line="143" w:lineRule="exact"/>
              <w:rPr>
                <w:sz w:val="20"/>
                <w:szCs w:val="20"/>
                <w:color w:val="auto"/>
              </w:rPr>
            </w:pPr>
            <w:r>
              <w:rPr>
                <w:rFonts w:ascii="Arial" w:cs="Arial" w:eastAsia="Arial" w:hAnsi="Arial"/>
                <w:sz w:val="13"/>
                <w:szCs w:val="13"/>
                <w:color w:val="auto"/>
              </w:rPr>
              <w:t>$ 112.18</w:t>
            </w:r>
          </w:p>
        </w:tc>
        <w:tc>
          <w:tcPr>
            <w:tcW w:w="1000" w:type="dxa"/>
            <w:vAlign w:val="bottom"/>
            <w:shd w:val="clear" w:color="auto" w:fill="CCEEFF"/>
          </w:tcPr>
          <w:p>
            <w:pPr>
              <w:jc w:val="right"/>
              <w:ind w:right="193"/>
              <w:spacing w:after="0" w:line="143" w:lineRule="exact"/>
              <w:rPr>
                <w:sz w:val="20"/>
                <w:szCs w:val="20"/>
                <w:color w:val="auto"/>
              </w:rPr>
            </w:pPr>
            <w:r>
              <w:rPr>
                <w:rFonts w:ascii="Arial" w:cs="Arial" w:eastAsia="Arial" w:hAnsi="Arial"/>
                <w:sz w:val="13"/>
                <w:szCs w:val="13"/>
                <w:color w:val="auto"/>
              </w:rPr>
              <w:t>$ 174.50</w:t>
            </w:r>
          </w:p>
        </w:tc>
        <w:tc>
          <w:tcPr>
            <w:tcW w:w="1000" w:type="dxa"/>
            <w:vAlign w:val="bottom"/>
            <w:shd w:val="clear" w:color="auto" w:fill="CCEEFF"/>
          </w:tcPr>
          <w:p>
            <w:pPr>
              <w:jc w:val="right"/>
              <w:ind w:right="173"/>
              <w:spacing w:after="0" w:line="143" w:lineRule="exact"/>
              <w:rPr>
                <w:sz w:val="20"/>
                <w:szCs w:val="20"/>
                <w:color w:val="auto"/>
              </w:rPr>
            </w:pPr>
            <w:r>
              <w:rPr>
                <w:rFonts w:ascii="Arial" w:cs="Arial" w:eastAsia="Arial" w:hAnsi="Arial"/>
                <w:sz w:val="13"/>
                <w:szCs w:val="13"/>
                <w:color w:val="auto"/>
              </w:rPr>
              <w:t>$ 168.44</w:t>
            </w:r>
          </w:p>
        </w:tc>
        <w:tc>
          <w:tcPr>
            <w:tcW w:w="980" w:type="dxa"/>
            <w:vAlign w:val="bottom"/>
            <w:shd w:val="clear" w:color="auto" w:fill="CCEEFF"/>
          </w:tcPr>
          <w:p>
            <w:pPr>
              <w:jc w:val="right"/>
              <w:ind w:right="153"/>
              <w:spacing w:after="0" w:line="143" w:lineRule="exact"/>
              <w:rPr>
                <w:sz w:val="20"/>
                <w:szCs w:val="20"/>
                <w:color w:val="auto"/>
              </w:rPr>
            </w:pPr>
            <w:r>
              <w:rPr>
                <w:rFonts w:ascii="Arial" w:cs="Arial" w:eastAsia="Arial" w:hAnsi="Arial"/>
                <w:sz w:val="13"/>
                <w:szCs w:val="13"/>
                <w:color w:val="auto"/>
              </w:rPr>
              <w:t>$ 266.56</w:t>
            </w:r>
          </w:p>
        </w:tc>
        <w:tc>
          <w:tcPr>
            <w:tcW w:w="9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b w:val="1"/>
                <w:bCs w:val="1"/>
                <w:color w:val="auto"/>
              </w:rPr>
              <w:t>$ 376.59</w:t>
            </w:r>
          </w:p>
        </w:tc>
      </w:tr>
      <w:tr>
        <w:trPr>
          <w:trHeight w:val="151"/>
        </w:trPr>
        <w:tc>
          <w:tcPr>
            <w:tcW w:w="2680" w:type="dxa"/>
            <w:vAlign w:val="bottom"/>
          </w:tcPr>
          <w:p>
            <w:pPr>
              <w:spacing w:after="0"/>
              <w:rPr>
                <w:sz w:val="20"/>
                <w:szCs w:val="20"/>
                <w:color w:val="auto"/>
              </w:rPr>
            </w:pPr>
            <w:r>
              <w:rPr>
                <w:rFonts w:ascii="Arial" w:cs="Arial" w:eastAsia="Arial" w:hAnsi="Arial"/>
                <w:sz w:val="13"/>
                <w:szCs w:val="13"/>
                <w:b w:val="1"/>
                <w:bCs w:val="1"/>
                <w:color w:val="auto"/>
              </w:rPr>
              <w:t>S&amp;P 500</w:t>
            </w:r>
          </w:p>
        </w:tc>
        <w:tc>
          <w:tcPr>
            <w:tcW w:w="1540" w:type="dxa"/>
            <w:vAlign w:val="bottom"/>
          </w:tcPr>
          <w:p>
            <w:pPr>
              <w:jc w:val="right"/>
              <w:ind w:right="193"/>
              <w:spacing w:after="0"/>
              <w:rPr>
                <w:sz w:val="20"/>
                <w:szCs w:val="20"/>
                <w:color w:val="auto"/>
              </w:rPr>
            </w:pPr>
            <w:r>
              <w:rPr>
                <w:rFonts w:ascii="Arial" w:cs="Arial" w:eastAsia="Arial" w:hAnsi="Arial"/>
                <w:sz w:val="13"/>
                <w:szCs w:val="13"/>
                <w:color w:val="auto"/>
              </w:rPr>
              <w:t>100.00</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109.80</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127.94</w:t>
            </w:r>
          </w:p>
        </w:tc>
        <w:tc>
          <w:tcPr>
            <w:tcW w:w="1000" w:type="dxa"/>
            <w:vAlign w:val="bottom"/>
          </w:tcPr>
          <w:p>
            <w:pPr>
              <w:jc w:val="right"/>
              <w:ind w:right="173"/>
              <w:spacing w:after="0"/>
              <w:rPr>
                <w:sz w:val="20"/>
                <w:szCs w:val="20"/>
                <w:color w:val="auto"/>
              </w:rPr>
            </w:pPr>
            <w:r>
              <w:rPr>
                <w:rFonts w:ascii="Arial" w:cs="Arial" w:eastAsia="Arial" w:hAnsi="Arial"/>
                <w:sz w:val="13"/>
                <w:szCs w:val="13"/>
                <w:color w:val="auto"/>
              </w:rPr>
              <w:t>138.29</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159.32</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202.61</w:t>
            </w:r>
          </w:p>
        </w:tc>
      </w:tr>
      <w:tr>
        <w:trPr>
          <w:trHeight w:val="151"/>
        </w:trPr>
        <w:tc>
          <w:tcPr>
            <w:tcW w:w="2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Peer Group</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100.00</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134.59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183.72</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200.44</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213.80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266.34</w:t>
            </w:r>
          </w:p>
        </w:tc>
      </w:tr>
      <w:tr>
        <w:trPr>
          <w:trHeight w:val="25"/>
        </w:trPr>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industry peer group is based on the companies previously included in the Fortune 500 Industrial and Farm Equipment Index, which was discontinued after 2002 and includes: AGCO Corporation, The Alpine Group, Briggs &amp; Stratton Corporation, Caterpillar Inc., Crane Co., Cummins Inc., Deere &amp; Company, Dover Corporation, Flowserve Corporation, General Cable Corporation, Harsco Corporation, Illinois Tool Works Inc., International Game Technology, ITT Corporation, Kennametal Inc., Lennox International Inc., NACCO Industries, Inc., Pall Corporation, Parker-Hannifin Corporation, Pentair Ltd., Snap-On Inc., Tecumseh Products Company, Teleflex Inc., Terex Corporation, The Timken Company, and Walter Energy Inc.</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following table presents our selected financial data for each of the fiscal years in the five-year period ended October 31, 2013. The table should be read in conjunction with Item 7, "Management's Discussion and Analysis of Financial Condition and Results of Operations," and Item 8, "Financial Statements and Supplementary Data," of this Annual Report on Form 10-K.</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42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(Dollars in thousands, except per share data)</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60" w:type="dxa"/>
            <w:vAlign w:val="bottom"/>
          </w:tcPr>
          <w:p>
            <w:pPr>
              <w:ind w:left="100"/>
              <w:spacing w:after="0"/>
              <w:rPr>
                <w:sz w:val="20"/>
                <w:szCs w:val="20"/>
                <w:color w:val="auto"/>
              </w:rPr>
            </w:pPr>
            <w:r>
              <w:rPr>
                <w:rFonts w:ascii="Arial" w:cs="Arial" w:eastAsia="Arial" w:hAnsi="Arial"/>
                <w:sz w:val="13"/>
                <w:szCs w:val="13"/>
                <w:color w:val="auto"/>
              </w:rPr>
              <w:t>Fiscal years ended October 31</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2011</w:t>
            </w:r>
          </w:p>
        </w:tc>
        <w:tc>
          <w:tcPr>
            <w:tcW w:w="18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2010</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43"/>
        </w:trPr>
        <w:tc>
          <w:tcPr>
            <w:tcW w:w="42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RESULTS:</w:t>
            </w: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Net sales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2,041,431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1,958,690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1,883,953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1,690,378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1,523,447</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Net sales growth (decline) from prior year</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4.2%</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11.5%</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11.0%</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Gross profit as a percentage of net sales</w:t>
            </w:r>
          </w:p>
        </w:tc>
        <w:tc>
          <w:tcPr>
            <w:tcW w:w="22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35.5%</w:t>
            </w:r>
          </w:p>
        </w:tc>
        <w:tc>
          <w:tcPr>
            <w:tcW w:w="16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34.4%</w:t>
            </w:r>
          </w:p>
        </w:tc>
        <w:tc>
          <w:tcPr>
            <w:tcW w:w="1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33.8%</w:t>
            </w:r>
          </w:p>
        </w:tc>
        <w:tc>
          <w:tcPr>
            <w:tcW w:w="18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34.1%</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7"/>
        </w:trPr>
        <w:tc>
          <w:tcPr>
            <w:tcW w:w="4260" w:type="dxa"/>
            <w:vAlign w:val="bottom"/>
            <w:shd w:val="clear" w:color="auto" w:fill="CCEEFF"/>
          </w:tcPr>
          <w:p>
            <w:pPr>
              <w:ind w:left="100"/>
              <w:spacing w:after="0" w:line="137" w:lineRule="exact"/>
              <w:rPr>
                <w:sz w:val="20"/>
                <w:szCs w:val="20"/>
                <w:color w:val="auto"/>
              </w:rPr>
            </w:pPr>
            <w:r>
              <w:rPr>
                <w:rFonts w:ascii="Arial" w:cs="Arial" w:eastAsia="Arial" w:hAnsi="Arial"/>
                <w:sz w:val="13"/>
                <w:szCs w:val="13"/>
                <w:b w:val="1"/>
                <w:bCs w:val="1"/>
                <w:color w:val="auto"/>
              </w:rPr>
              <w:t>Selling, general, and administrative expense as a percentage of</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24.2%</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2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net sales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Operating earnings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230,662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205,613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184,487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151,266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115,197</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As a percentage of net sales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11.3%</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10.5%</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9.8%</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9.0%</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Net earnings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154,845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129,541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117,658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93,237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62,837</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As a percentage of net sales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7.6%</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5.5%</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6"/>
        </w:trPr>
        <w:tc>
          <w:tcPr>
            <w:tcW w:w="4260" w:type="dxa"/>
            <w:vAlign w:val="bottom"/>
          </w:tcPr>
          <w:p>
            <w:pPr>
              <w:spacing w:after="0" w:line="176" w:lineRule="exact"/>
              <w:rPr>
                <w:sz w:val="20"/>
                <w:szCs w:val="20"/>
                <w:color w:val="auto"/>
              </w:rPr>
            </w:pPr>
            <w:r>
              <w:rPr>
                <w:rFonts w:ascii="Arial" w:cs="Arial" w:eastAsia="Arial" w:hAnsi="Arial"/>
                <w:sz w:val="13"/>
                <w:szCs w:val="13"/>
                <w:b w:val="1"/>
                <w:bCs w:val="1"/>
                <w:color w:val="auto"/>
              </w:rPr>
              <w:t>Basic net earnings per share</w:t>
            </w:r>
            <w:r>
              <w:rPr>
                <w:rFonts w:ascii="Arial" w:cs="Arial" w:eastAsia="Arial" w:hAnsi="Arial"/>
                <w:sz w:val="20"/>
                <w:szCs w:val="20"/>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2.67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2.18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1.88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1.41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Diluted net earnings per share</w:t>
            </w:r>
            <w:r>
              <w:rPr>
                <w:rFonts w:ascii="Arial" w:cs="Arial" w:eastAsia="Arial" w:hAnsi="Arial"/>
                <w:sz w:val="20"/>
                <w:szCs w:val="20"/>
                <w:b w:val="1"/>
                <w:bCs w:val="1"/>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2.62</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2.14</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1.85</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1.39</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r>
        <w:trPr>
          <w:trHeight w:val="151"/>
        </w:trPr>
        <w:tc>
          <w:tcPr>
            <w:tcW w:w="4260" w:type="dxa"/>
            <w:vAlign w:val="bottom"/>
          </w:tcPr>
          <w:p>
            <w:pPr>
              <w:spacing w:after="0"/>
              <w:rPr>
                <w:sz w:val="20"/>
                <w:szCs w:val="20"/>
                <w:color w:val="auto"/>
              </w:rPr>
            </w:pPr>
            <w:r>
              <w:rPr>
                <w:rFonts w:ascii="Arial" w:cs="Arial" w:eastAsia="Arial" w:hAnsi="Arial"/>
                <w:sz w:val="13"/>
                <w:szCs w:val="13"/>
                <w:b w:val="1"/>
                <w:bCs w:val="1"/>
                <w:color w:val="auto"/>
              </w:rPr>
              <w:t>Return on average stockholders' equity</w:t>
            </w:r>
          </w:p>
        </w:tc>
        <w:tc>
          <w:tcPr>
            <w:tcW w:w="22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46.1%</w:t>
            </w:r>
          </w:p>
        </w:tc>
        <w:tc>
          <w:tcPr>
            <w:tcW w:w="16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44.7%</w:t>
            </w:r>
          </w:p>
        </w:tc>
        <w:tc>
          <w:tcPr>
            <w:tcW w:w="1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43.4%</w:t>
            </w:r>
          </w:p>
        </w:tc>
        <w:tc>
          <w:tcPr>
            <w:tcW w:w="18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31.6%</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SUMMARY OF FINANCIAL POSITION: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1,002,748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935,199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870,663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885,622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872,682</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100"/>
              <w:spacing w:after="0" w:line="176" w:lineRule="exact"/>
              <w:rPr>
                <w:sz w:val="20"/>
                <w:szCs w:val="20"/>
                <w:color w:val="auto"/>
              </w:rPr>
            </w:pPr>
            <w:r>
              <w:rPr>
                <w:rFonts w:ascii="Arial" w:cs="Arial" w:eastAsia="Arial" w:hAnsi="Arial"/>
                <w:sz w:val="13"/>
                <w:szCs w:val="13"/>
                <w:b w:val="1"/>
                <w:bCs w:val="1"/>
                <w:color w:val="auto"/>
              </w:rPr>
              <w:t>Average net working capital as a percentage of net sales</w:t>
            </w:r>
            <w:r>
              <w:rPr>
                <w:rFonts w:ascii="Arial" w:cs="Arial" w:eastAsia="Arial" w:hAnsi="Arial"/>
                <w:sz w:val="20"/>
                <w:szCs w:val="20"/>
                <w:b w:val="1"/>
                <w:bCs w:val="1"/>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16.6%</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15.2%</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15.0%</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13.9%</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Long-term debt, including current portion</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223,544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225,340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227,156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225,548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228,811</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Stockholders' equity</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358,738</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312,402</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266,767</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275,810</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315,212</w:t>
            </w: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Debt-to-capitalization ratio</w:t>
            </w:r>
          </w:p>
        </w:tc>
        <w:tc>
          <w:tcPr>
            <w:tcW w:w="22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38.4%</w:t>
            </w:r>
          </w:p>
        </w:tc>
        <w:tc>
          <w:tcPr>
            <w:tcW w:w="16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41.9%</w:t>
            </w:r>
          </w:p>
        </w:tc>
        <w:tc>
          <w:tcPr>
            <w:tcW w:w="1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46.0%</w:t>
            </w:r>
          </w:p>
        </w:tc>
        <w:tc>
          <w:tcPr>
            <w:tcW w:w="18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45.1%</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 DATA:</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Cash provided by operating activities</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221,876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185,798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113,877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193,507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251,470</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Repurchases of Toro common stock</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99,587</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93,395</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129,955</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135,777</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115,283</w:t>
            </w:r>
          </w:p>
        </w:tc>
        <w:tc>
          <w:tcPr>
            <w:tcW w:w="0" w:type="dxa"/>
            <w:vAlign w:val="bottom"/>
          </w:tcPr>
          <w:p>
            <w:pPr>
              <w:spacing w:after="0"/>
              <w:rPr>
                <w:sz w:val="1"/>
                <w:szCs w:val="1"/>
                <w:color w:val="auto"/>
              </w:rPr>
            </w:pPr>
          </w:p>
        </w:tc>
      </w:tr>
      <w:tr>
        <w:trPr>
          <w:trHeight w:val="176"/>
        </w:trPr>
        <w:tc>
          <w:tcPr>
            <w:tcW w:w="4260" w:type="dxa"/>
            <w:vAlign w:val="bottom"/>
          </w:tcPr>
          <w:p>
            <w:pPr>
              <w:ind w:left="100"/>
              <w:spacing w:after="0" w:line="176" w:lineRule="exact"/>
              <w:rPr>
                <w:sz w:val="20"/>
                <w:szCs w:val="20"/>
                <w:color w:val="auto"/>
              </w:rPr>
            </w:pPr>
            <w:r>
              <w:rPr>
                <w:rFonts w:ascii="Arial" w:cs="Arial" w:eastAsia="Arial" w:hAnsi="Arial"/>
                <w:sz w:val="13"/>
                <w:szCs w:val="13"/>
                <w:b w:val="1"/>
                <w:bCs w:val="1"/>
                <w:color w:val="auto"/>
              </w:rPr>
              <w:t>Cash dividends per share of Toro common stock</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0.56</w:t>
            </w: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0.44</w:t>
            </w:r>
          </w:p>
        </w:tc>
        <w:tc>
          <w:tcPr>
            <w:tcW w:w="16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0.40</w:t>
            </w:r>
          </w:p>
        </w:tc>
        <w:tc>
          <w:tcPr>
            <w:tcW w:w="18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0.36</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STATISTICAL DATA:</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60" w:type="dxa"/>
            <w:vAlign w:val="bottom"/>
          </w:tcPr>
          <w:p>
            <w:pPr>
              <w:ind w:left="100"/>
              <w:spacing w:after="0"/>
              <w:rPr>
                <w:sz w:val="20"/>
                <w:szCs w:val="20"/>
                <w:color w:val="auto"/>
              </w:rPr>
            </w:pPr>
            <w:r>
              <w:rPr>
                <w:rFonts w:ascii="Arial" w:cs="Arial" w:eastAsia="Arial" w:hAnsi="Arial"/>
                <w:sz w:val="13"/>
                <w:szCs w:val="13"/>
                <w:b w:val="1"/>
                <w:bCs w:val="1"/>
                <w:color w:val="auto"/>
              </w:rPr>
              <w:t>Market price range –</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High sales price</w:t>
            </w:r>
            <w:r>
              <w:rPr>
                <w:rFonts w:ascii="Arial" w:cs="Arial" w:eastAsia="Arial" w:hAnsi="Arial"/>
                <w:sz w:val="20"/>
                <w:szCs w:val="20"/>
                <w:b w:val="1"/>
                <w:bCs w:val="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59.500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42.360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34.215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29.250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21.015</w:t>
            </w:r>
          </w:p>
        </w:tc>
        <w:tc>
          <w:tcPr>
            <w:tcW w:w="0" w:type="dxa"/>
            <w:vAlign w:val="bottom"/>
          </w:tcPr>
          <w:p>
            <w:pPr>
              <w:spacing w:after="0"/>
              <w:rPr>
                <w:sz w:val="1"/>
                <w:szCs w:val="1"/>
                <w:color w:val="auto"/>
              </w:rPr>
            </w:pPr>
          </w:p>
        </w:tc>
      </w:tr>
      <w:tr>
        <w:trPr>
          <w:trHeight w:val="176"/>
        </w:trPr>
        <w:tc>
          <w:tcPr>
            <w:tcW w:w="4260" w:type="dxa"/>
            <w:vAlign w:val="bottom"/>
          </w:tcPr>
          <w:p>
            <w:pPr>
              <w:ind w:left="200"/>
              <w:spacing w:after="0" w:line="176" w:lineRule="exact"/>
              <w:rPr>
                <w:sz w:val="20"/>
                <w:szCs w:val="20"/>
                <w:color w:val="auto"/>
              </w:rPr>
            </w:pPr>
            <w:r>
              <w:rPr>
                <w:rFonts w:ascii="Arial" w:cs="Arial" w:eastAsia="Arial" w:hAnsi="Arial"/>
                <w:sz w:val="13"/>
                <w:szCs w:val="13"/>
                <w:b w:val="1"/>
                <w:bCs w:val="1"/>
                <w:color w:val="auto"/>
              </w:rPr>
              <w:t>Low sales price</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auto"/>
              </w:rPr>
              <w:t>40.250</w:t>
            </w: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Arial" w:cs="Arial" w:eastAsia="Arial" w:hAnsi="Arial"/>
                <w:sz w:val="13"/>
                <w:szCs w:val="13"/>
                <w:color w:val="auto"/>
              </w:rPr>
              <w:t>25.890</w:t>
            </w:r>
          </w:p>
        </w:tc>
        <w:tc>
          <w:tcPr>
            <w:tcW w:w="16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22.525</w:t>
            </w:r>
          </w:p>
        </w:tc>
        <w:tc>
          <w:tcPr>
            <w:tcW w:w="18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18.235</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10.130</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Average number of employees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5,002</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5,066</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4,947</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4,724</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4,612</w:t>
            </w:r>
          </w:p>
        </w:tc>
        <w:tc>
          <w:tcPr>
            <w:tcW w:w="0" w:type="dxa"/>
            <w:vAlign w:val="bottom"/>
          </w:tcPr>
          <w:p>
            <w:pPr>
              <w:spacing w:after="0"/>
              <w:rPr>
                <w:sz w:val="1"/>
                <w:szCs w:val="1"/>
                <w:color w:val="auto"/>
              </w:rPr>
            </w:pPr>
          </w:p>
        </w:tc>
      </w:tr>
      <w:tr>
        <w:trPr>
          <w:trHeight w:val="25"/>
        </w:trPr>
        <w:tc>
          <w:tcPr>
            <w:tcW w:w="4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hanging="500"/>
        <w:spacing w:after="0"/>
        <w:tabs>
          <w:tab w:leader="none" w:pos="500" w:val="left"/>
        </w:tabs>
        <w:numPr>
          <w:ilvl w:val="0"/>
          <w:numId w:val="13"/>
        </w:numPr>
        <w:rPr>
          <w:rFonts w:ascii="Arial" w:cs="Arial" w:eastAsia="Arial" w:hAnsi="Arial"/>
          <w:sz w:val="20"/>
          <w:szCs w:val="20"/>
          <w:color w:val="auto"/>
          <w:vertAlign w:val="superscript"/>
        </w:rPr>
      </w:pPr>
      <w:r>
        <w:rPr>
          <w:rFonts w:ascii="Arial" w:cs="Arial" w:eastAsia="Arial" w:hAnsi="Arial"/>
          <w:sz w:val="13"/>
          <w:szCs w:val="13"/>
          <w:color w:val="auto"/>
        </w:rPr>
        <w:t>Per share data and sales prices have been adjusted for all periods presented to reflect the impact of the company's two-for-one stock split effective June 29, 2012.</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3"/>
          <w:szCs w:val="13"/>
          <w:color w:val="auto"/>
        </w:rPr>
        <w:t>Average net working capital is defined as monthly average accounts receivable plus inventory less trade payables.</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design, manufacture, and market professional turf maintenance equipment and services, turf irrigation systems, landscaping equipment and lighting,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Fiscal 2013 Results</w:t>
      </w:r>
    </w:p>
    <w:p>
      <w:pPr>
        <w:spacing w:after="0" w:line="2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fiscal 2013, we achieved record net sales and crossed over the $2 billion milestone for the first time in our history. Net earnings increased at a double digit growth rate of 19.5 percent to $154.8 million compared to fiscal 2012. Our fiscal 2013 results included the following items of significance:</w:t>
      </w:r>
    </w:p>
    <w:p>
      <w:pPr>
        <w:spacing w:after="0" w:line="131" w:lineRule="exact"/>
        <w:rPr>
          <w:sz w:val="20"/>
          <w:szCs w:val="20"/>
          <w:color w:val="auto"/>
        </w:rPr>
      </w:pPr>
    </w:p>
    <w:p>
      <w:pPr>
        <w:ind w:left="500" w:right="60" w:hanging="500"/>
        <w:spacing w:after="0" w:line="253"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sales for fiscal 2013 increased by 4.2 percent compared to fiscal 2012 to a record of $2,041.4 million. This increase was primarily attributable to increased demand for our products resulting from the successful introduction of new and enhanced products that were well received by customers, particularly for landscape contractor equipment products, continued market growth and demand for our micro-irrigation products, increased sales in the rental and construction market, and incremental sales from acquisitions of $6.4 million. However, lower sales of residential products, mainly from poor weather conditions that negatively impacted sales of snow thrower and walk power mower products, hampered our overall net sales growth.</w:t>
      </w:r>
    </w:p>
    <w:p>
      <w:pPr>
        <w:spacing w:after="0" w:line="2" w:lineRule="exact"/>
        <w:rPr>
          <w:rFonts w:ascii="Arial" w:cs="Arial" w:eastAsia="Arial" w:hAnsi="Arial"/>
          <w:sz w:val="16"/>
          <w:szCs w:val="16"/>
          <w:color w:val="auto"/>
        </w:rPr>
      </w:pPr>
    </w:p>
    <w:p>
      <w:pPr>
        <w:ind w:left="500" w:right="300" w:hanging="500"/>
        <w:spacing w:after="0" w:line="24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Professional segment net sales, which represented 70 percent of our total consolidated net sales in fiscal 2013, grew 7.2 percent in fiscal 2013 compared to fiscal 2012. Shipments increased due to strong demand for our landscape contractor equipment products due mainly to the successful introduction of new products, higher global sales of our micro-irrigation products from continued market growth and demand for our drip irrigation solutions for agricultural markets, and golf renovation projects that drove higher sales of our golf irrigation systems. Additionally, price increases introduced on some products, increased sales and demand in the rental and construction market, and incremental sales of $6.4 million from acquisitions contributed to our professional segment net sales increase in fiscal 2013 compared to fiscal 2012.</w:t>
      </w:r>
    </w:p>
    <w:p>
      <w:pPr>
        <w:spacing w:after="0" w:line="3" w:lineRule="exact"/>
        <w:rPr>
          <w:rFonts w:ascii="Arial" w:cs="Arial" w:eastAsia="Arial" w:hAnsi="Arial"/>
          <w:sz w:val="16"/>
          <w:szCs w:val="16"/>
          <w:color w:val="auto"/>
        </w:rPr>
      </w:pPr>
    </w:p>
    <w:p>
      <w:pPr>
        <w:ind w:left="500" w:right="160" w:hanging="500"/>
        <w:spacing w:after="0" w:line="24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residential segment net sales were down by 2.1 percent in fiscal 2013 compared to fiscal 2012 due primarily to lower shipments and demand for snow thrower products as a result of the lack of snowfall during the past two winter seasons in key markets. Additionally, adverse spring weather conditions negatively impacted our net sales and demand for walk power mowers during the key selling period. However, sales of Pope irrigation products in Australia, zero-turn radius riding mowers, and handheld trimmer and blower products were up due to positive customer response to newly introduced and enhanced products, as well as favorable weather conditions.</w:t>
      </w:r>
    </w:p>
    <w:p>
      <w:pPr>
        <w:spacing w:after="0" w:line="1" w:lineRule="exact"/>
        <w:rPr>
          <w:rFonts w:ascii="Arial" w:cs="Arial" w:eastAsia="Arial" w:hAnsi="Arial"/>
          <w:sz w:val="16"/>
          <w:szCs w:val="16"/>
          <w:color w:val="auto"/>
        </w:rPr>
      </w:pPr>
    </w:p>
    <w:p>
      <w:pPr>
        <w:ind w:left="500" w:hanging="500"/>
        <w:spacing w:after="0" w:line="249"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International net sales for fiscal 2013 were up 3.5 percent compared to fiscal 2012 due mainly to increased demand in Europe, Middle East, and Africa ("EMEA") and Asia for our micro-irrigation and golf equipment products. However, changes in foreign currency exchange rates resulted in a reduction of our total net sales of approximately $13 million in fiscal 2013. International net sales comprised 30.1 percent of our total consolidated net sales in fiscal 2013 compared to 30.3 percent in fiscal 2012 and 32.3 percent in fiscal 2011.</w:t>
      </w:r>
    </w:p>
    <w:p>
      <w:pPr>
        <w:ind w:left="500" w:hanging="500"/>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late fiscal 2013, we completed the acquisition of a micro-irrigation company located in China.</w:t>
      </w:r>
    </w:p>
    <w:p>
      <w:pPr>
        <w:spacing w:after="0" w:line="5" w:lineRule="exact"/>
        <w:rPr>
          <w:rFonts w:ascii="Arial" w:cs="Arial" w:eastAsia="Arial" w:hAnsi="Arial"/>
          <w:sz w:val="16"/>
          <w:szCs w:val="16"/>
          <w:color w:val="auto"/>
        </w:rPr>
      </w:pPr>
    </w:p>
    <w:p>
      <w:pPr>
        <w:ind w:left="500" w:right="380" w:hanging="500"/>
        <w:spacing w:after="0" w:line="24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2013 net earnings of $154.8 million rose 19.5 percent compared to fiscal 2012, and diluted net earnings per share increased 22.4 percent in fiscal 2013 to $2.62 compared to $2.14 in fiscal 2012.</w:t>
      </w:r>
    </w:p>
    <w:p>
      <w:pPr>
        <w:jc w:val="both"/>
        <w:ind w:left="500" w:right="380" w:hanging="500"/>
        <w:spacing w:after="0" w:line="250"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Gross margin was 35.5 percent in fiscal 2013, an increase of 110 basis points from 34.4 percent in fiscal 2012. This improvement was the result of price increases on some of our products, cost reduction efforts, favorable product mix, and lower commodity prices. However, unfavorable foreign currency exchange rate movements and unabsorbed manufacturing costs hampered our gross margin growth rate in fiscal 2013.</w:t>
      </w:r>
    </w:p>
    <w:p>
      <w:pPr>
        <w:ind w:left="500" w:right="160" w:hanging="500"/>
        <w:spacing w:after="0" w:line="24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Selling, general, and administrative ("SG&amp;A") expense was up 5.7 percent in fiscal 2013 compared to fiscal 2012. SG&amp;A expense as a percentage of net sales in fiscal 2013 also increased to 24.2 percent compared to 23.9 percent in fiscal 2012. These increases reflect higher spending for marketing and warehousing, increased incentive compensation expense, investments in new product development, and incremental costs from acquisitions of $4 million, somewhat offset by lower warranty expense.</w:t>
      </w:r>
    </w:p>
    <w:p>
      <w:pPr>
        <w:spacing w:after="0" w:line="2" w:lineRule="exact"/>
        <w:rPr>
          <w:rFonts w:ascii="Arial" w:cs="Arial" w:eastAsia="Arial" w:hAnsi="Arial"/>
          <w:sz w:val="16"/>
          <w:szCs w:val="16"/>
          <w:color w:val="auto"/>
        </w:rPr>
      </w:pPr>
    </w:p>
    <w:p>
      <w:pPr>
        <w:ind w:left="500" w:right="60" w:hanging="500"/>
        <w:spacing w:after="0" w:line="246"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Receivables increased by 6.6 percent as of the end of fiscal 2013 compared to the end of fiscal 2012 as a result of higher sales volumes. Our average inventory levels were up by 14.3 percent during fiscal 2013 compared to fiscal 2012 as we built inventory in anticipation of strong demand for products impacted by Tier 4 diesel engine emission requirements, as well as higher inventory levels from the rollout of product offerings as a result of the growth of our rental and construction business. Average net working capital (accounts receivable plus inventory less trade payables) as a percent of net sales was 16.6 percent as of the end of fiscal 2013 compared to 15.2 percent as of the end of fiscal 2012. Our domestic field inventory levels were up as of the end of fiscal 2013 compared to the end of fiscal 2012 due, in part, to anticipated strong retail demand in fiscal 2014 for our professional segment products subject to Tier 4 diesel engine emission requirements, as well as the expansion of our rental and construction business from recent acquisitions.</w:t>
      </w:r>
    </w:p>
    <w:p>
      <w:pPr>
        <w:spacing w:after="0" w:line="185" w:lineRule="exact"/>
        <w:rPr>
          <w:rFonts w:ascii="Arial" w:cs="Arial" w:eastAsia="Arial" w:hAnsi="Arial"/>
          <w:sz w:val="16"/>
          <w:szCs w:val="16"/>
          <w:color w:val="auto"/>
        </w:rPr>
      </w:pPr>
    </w:p>
    <w:p>
      <w:pPr>
        <w:ind w:left="500" w:right="340" w:hanging="500"/>
        <w:spacing w:after="0" w:line="25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continued our history of paying quarterly cash dividends in fiscal 2013. We increased our fiscal 2013 quarterly cash dividend by 27.3 percent to $0.14 per share compared to our quarterly cash dividend in fiscal 2012 of $0.11 per share.</w:t>
      </w:r>
    </w:p>
    <w:p>
      <w:pPr>
        <w:spacing w:after="0" w:line="1" w:lineRule="exact"/>
        <w:rPr>
          <w:rFonts w:ascii="Arial" w:cs="Arial" w:eastAsia="Arial" w:hAnsi="Arial"/>
          <w:sz w:val="16"/>
          <w:szCs w:val="16"/>
          <w:color w:val="auto"/>
        </w:rPr>
      </w:pPr>
    </w:p>
    <w:p>
      <w:pPr>
        <w:ind w:left="500" w:right="40" w:hanging="500"/>
        <w:spacing w:after="0" w:line="256"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stock repurchase program returned nearly $100 million in cash to our shareholders during fiscal 2013, which reduced our number of shares outstanding. This reduction resulted in a benefit to our diluted net earnings per share of approximately $0.07 per share in fiscal 2013 compared to fiscal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Destination 2014</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multi-year initiative, "Destination 2014," will take us to our centennial in 2014 and into our second century. This four-year initiative, which began with our 2011 fiscal year, is intended to focus our efforts on driving our legacy of excellence through building caring relationships and engaging in innovation. Through our Destination 2014 initiative, we strive to achieve our goals by pursuing a progression of annual milestones. Each fiscal year we set forth associated organic revenue growth, operating earnings, and employee engagement goals, such as continuous improvement projects with cross-functional collaboration, and we also strive to continue to focus on the progress we made through our previous initiatives, such as working capital.</w:t>
      </w:r>
    </w:p>
    <w:p>
      <w:pPr>
        <w:spacing w:after="0" w:line="15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i w:val="1"/>
          <w:iCs w:val="1"/>
          <w:color w:val="auto"/>
        </w:rPr>
        <w:t xml:space="preserve">Organic Revenue Growth. </w:t>
      </w:r>
      <w:r>
        <w:rPr>
          <w:rFonts w:ascii="Arial" w:cs="Arial" w:eastAsia="Arial" w:hAnsi="Arial"/>
          <w:sz w:val="16"/>
          <w:szCs w:val="16"/>
          <w:color w:val="auto"/>
        </w:rPr>
        <w:t>We intend to pursue strategic growth of our existing businesses and product categories with an annual organic revenue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goal. One of our goals of our Destination 2014 initiative is to achieve $100 million in organic revenue growth in each of fiscal 2011, 2012, 2013, and 2014. We define organic revenue growth as the increase in net sales, less net sales from acquisitions that occurred in the prior twelve-month period. While we exceeded our organic revenue growth goal of $100 million for fiscal 2011, we fell short of achieving that goal in fiscal 2013 and 2012.</w:t>
      </w:r>
    </w:p>
    <w:p>
      <w:pPr>
        <w:spacing w:after="0" w:line="156"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b w:val="1"/>
          <w:bCs w:val="1"/>
          <w:i w:val="1"/>
          <w:iCs w:val="1"/>
          <w:color w:val="auto"/>
        </w:rPr>
        <w:t xml:space="preserve">Operating Earnings Growth. </w:t>
      </w:r>
      <w:r>
        <w:rPr>
          <w:rFonts w:ascii="Arial" w:cs="Arial" w:eastAsia="Arial" w:hAnsi="Arial"/>
          <w:sz w:val="16"/>
          <w:szCs w:val="16"/>
          <w:color w:val="auto"/>
        </w:rPr>
        <w:t>As part of our Destination 2014 growth goals, we also have set an earnings goal to raise operating earnings as a percentage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net sales to 12 percent by the end of fiscal 2014. In fiscal 2011, 2012, and 2013, we made progress towards this goal by achieving operating earnings as a percentage of net sales of 9.8 percent, 10.5 percent, and 11.3 percent, respectively.</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 for Fiscal 2014</w:t>
      </w:r>
    </w:p>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we approach our centennial in fiscal 2014, we intend to continue to rely on principles that have sustained our longevity, which include, among many others, the importance of remaining ever vigilant and poised to flexibly respond with innovative solutions to new challenges. We have taken, and intend to continue to take, proactive measures with investments intended to generate customer demand, gain market share, and achieve strong financial results. We believe our fiscal 2014 financial performance will include, among many others, the following main factors:</w:t>
      </w:r>
    </w:p>
    <w:p>
      <w:pPr>
        <w:spacing w:after="0" w:line="156" w:lineRule="exact"/>
        <w:rPr>
          <w:sz w:val="20"/>
          <w:szCs w:val="20"/>
          <w:color w:val="auto"/>
        </w:rPr>
      </w:pPr>
    </w:p>
    <w:p>
      <w:pPr>
        <w:ind w:left="500" w:right="40" w:hanging="500"/>
        <w:spacing w:after="0" w:line="249"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anticipate fiscal 2014 net sales in our professional segment to increase compared to fiscal 2013, led by anticipated continued growth in the worldwide micro-irrigation market. Precision irrigation products remain a long-term focus for us as we help our customers find solutions to conserve water as the need to become more efficient in water usage is expected to drive demand for our products. We also expect recent global investments in manufacturing capacity and infrastructure that expanded our market presence to contribute to sales growth of our micro-irrigation products in fiscal 2014. In late fiscal 2013, we launched our Toro branded underground utility products, and we anticipate continued growth and demand in the rental and construction market to positively impact our professional segment sales growth in fiscal 2014. Additionally, ongoing demand for our innovative landscape contractor equipment, along with the introduction of an array of new products in fiscal 2014, is expected to drive customer demand and contribute to our sales growth. Sales in the golf market are anticipated to be flat to slightly up in fiscal 2014 as golf rounds in the U.S. were down in fiscal 2013 from unfavorable weather conditions that may result in tighter budgets for golf courses to replace aged equipment in fiscal 2014.</w:t>
      </w:r>
    </w:p>
    <w:p>
      <w:pPr>
        <w:spacing w:after="0" w:line="6" w:lineRule="exact"/>
        <w:rPr>
          <w:rFonts w:ascii="Arial" w:cs="Arial" w:eastAsia="Arial" w:hAnsi="Arial"/>
          <w:sz w:val="16"/>
          <w:szCs w:val="16"/>
          <w:color w:val="auto"/>
        </w:rPr>
      </w:pPr>
    </w:p>
    <w:p>
      <w:pPr>
        <w:ind w:left="500" w:right="120" w:hanging="500"/>
        <w:spacing w:after="0" w:line="24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expect our residential segment net sales to increase in fiscal 2014 compared to fiscal 2013 as we assume weather conditions to improve in fiscal 2014 compared to the cool spring weather in fiscal 2013 that negatively impacted sales of our walk power mowers, and we anticipate the domestic economy to continue its slow rate of recovery. We anticipate new products, such as our new line of Lawn-Boy walk power mowers, to be well received by customers, and increased product placement to drive sales growth for our residential segment in fiscal 2014.</w:t>
      </w:r>
    </w:p>
    <w:p>
      <w:pPr>
        <w:spacing w:after="0" w:line="2" w:lineRule="exact"/>
        <w:rPr>
          <w:rFonts w:ascii="Arial" w:cs="Arial" w:eastAsia="Arial" w:hAnsi="Arial"/>
          <w:sz w:val="16"/>
          <w:szCs w:val="16"/>
          <w:color w:val="auto"/>
        </w:rPr>
      </w:pPr>
    </w:p>
    <w:p>
      <w:pPr>
        <w:ind w:left="500" w:hanging="500"/>
        <w:spacing w:after="0" w:line="24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intend to continue to focus on international markets to grow our revenues, and our long-term goal is for international sales to comprise a larger percentage of our total consolidated net sales. Recently, we have invested in new international markets, namely Asia and Eastern Europe for our micro-irrigation business, as we anticipate future worldwide demand to increase for our water conserving drip irrigation products for agricultural markets. We plan to continue investing in new products designed specifically for international markets and in infrastructure around the world, connecting us more closely to our customers and increasing our global presence. However, uncertainty with the economies of some European countries is expected to linger into fiscal 2014, which may hamper our international net sales growth. Additionally, recent foreign currency exchange rate trends could hinder our international net sales in fiscal 2014.</w:t>
      </w:r>
    </w:p>
    <w:p>
      <w:pPr>
        <w:spacing w:after="0" w:line="2" w:lineRule="exact"/>
        <w:rPr>
          <w:rFonts w:ascii="Arial" w:cs="Arial" w:eastAsia="Arial" w:hAnsi="Arial"/>
          <w:sz w:val="16"/>
          <w:szCs w:val="16"/>
          <w:color w:val="auto"/>
        </w:rPr>
      </w:pPr>
    </w:p>
    <w:p>
      <w:pPr>
        <w:ind w:left="500" w:right="60" w:hanging="500"/>
        <w:spacing w:after="0" w:line="250"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fiscal 2014, we anticipate our gross margin rate to improve compared to fiscal 2013 as we continue to place additional emphasis on productivity improvements intended to reduce production costs while realizing greater efficiencies in our processes. However, competitive pricing challenges are expected to restrict our gross margin growth rate along with anticipated higher commodity costs in fiscal 2014 as compared to fiscal 2013.</w:t>
      </w:r>
    </w:p>
    <w:p>
      <w:pPr>
        <w:ind w:left="500" w:right="480" w:hanging="500"/>
        <w:spacing w:after="0" w:line="256"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expect net earnings and diluted net earnings per share to be up in fiscal 2014 compared to fiscal 2013, driven mainly by our anticipated sales growth and an improvement in our gross margin rate. Additionally, we anticipate a further reduction in our diluted shares outstanding due to repurchases of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500" w:right="180" w:hanging="500"/>
        <w:spacing w:after="0" w:line="255"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announced on December 5, 2013, our Board of Directors increased our fiscal 2014 first quarter cash dividend by 42.9 percent to $0.20 per share compared to the quarterly cash dividend paid in the first quarter of fiscal 2013. Additionally, during the first quarter of fiscal 2014, we changed our annual dividend guideline from 20 to 30 percent to 30 to 40 percent of our three-year average net earnings per share for the current and previous two fiscal years.</w:t>
      </w:r>
    </w:p>
    <w:p>
      <w:pPr>
        <w:spacing w:after="0" w:line="2" w:lineRule="exact"/>
        <w:rPr>
          <w:rFonts w:ascii="Arial" w:cs="Arial" w:eastAsia="Arial" w:hAnsi="Arial"/>
          <w:sz w:val="16"/>
          <w:szCs w:val="16"/>
          <w:color w:val="auto"/>
        </w:rPr>
      </w:pPr>
    </w:p>
    <w:p>
      <w:pPr>
        <w:ind w:left="500" w:right="100" w:hanging="500"/>
        <w:spacing w:after="0" w:line="256"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fiscal 2014, we plan to place emphasis on improving asset utilization with a focus on reducing the amount of working capital in the supply chain. We anticipate average inventory levels to be slightly lower in fiscal 2014 compared to fiscal 2013, and we anticipate our average net working capital as a percentage of net sales in fiscal 2014 to be lower as compared to fiscal 2013.</w:t>
      </w:r>
    </w:p>
    <w:p>
      <w:pPr>
        <w:spacing w:after="0" w:line="158" w:lineRule="exact"/>
        <w:rPr>
          <w:sz w:val="20"/>
          <w:szCs w:val="20"/>
          <w:color w:val="auto"/>
        </w:rPr>
      </w:pPr>
    </w:p>
    <w:p>
      <w:pPr>
        <w:ind w:right="120" w:firstLine="136"/>
        <w:spacing w:after="0" w:line="268" w:lineRule="auto"/>
        <w:rPr>
          <w:sz w:val="20"/>
          <w:szCs w:val="20"/>
          <w:color w:val="auto"/>
        </w:rPr>
      </w:pPr>
      <w:r>
        <w:rPr>
          <w:rFonts w:ascii="Arial" w:cs="Arial" w:eastAsia="Arial" w:hAnsi="Arial"/>
          <w:sz w:val="16"/>
          <w:szCs w:val="16"/>
          <w:color w:val="auto"/>
        </w:rPr>
        <w:t>We will continue to keep a cautionary eye on the global economic environment, retail demand, field inventory levels, commodity prices, weather conditions, competitive actions, expenses, and other factors identified in Part I, Item 1A, "Risk Factors" of this report, which could cause our actual results to differ from our anticipated outlook.</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Fiscal 2013 net earnings were $154.8 million compared to $129.5 million in fiscal 2012, an increase of 19.5 percent. Fiscal 2013 diluted net earnings per share were $2.62, an increase of 22.4 percent from $2.14 per share in fiscal 2012. The primary factors contributing to the net earnings improvement were higher net sales, an increase in gross profit, higher other income, and a decrease in our effective tax rate, somewhat offset by an increase in SG&amp;A expense. Our net earnings per diluted share were also benefited by approximately $0.07 per share in fiscal 2013 compared to fiscal 2012 as a result of reduced shares outstanding from repurchases of our common stock.</w:t>
      </w:r>
    </w:p>
    <w:p>
      <w:pPr>
        <w:spacing w:after="0" w:line="156" w:lineRule="exact"/>
        <w:rPr>
          <w:sz w:val="20"/>
          <w:szCs w:val="20"/>
          <w:color w:val="auto"/>
        </w:rPr>
      </w:pPr>
    </w:p>
    <w:p>
      <w:pPr>
        <w:ind w:right="180" w:firstLine="136"/>
        <w:spacing w:after="0" w:line="253" w:lineRule="auto"/>
        <w:rPr>
          <w:sz w:val="20"/>
          <w:szCs w:val="20"/>
          <w:color w:val="auto"/>
        </w:rPr>
      </w:pPr>
      <w:r>
        <w:rPr>
          <w:rFonts w:ascii="Arial" w:cs="Arial" w:eastAsia="Arial" w:hAnsi="Arial"/>
          <w:sz w:val="16"/>
          <w:szCs w:val="16"/>
          <w:color w:val="auto"/>
        </w:rPr>
        <w:t>Fiscal 2012 net earnings were $129.5 million compared to $117.7 million in fiscal 2011, an increase of 10.1 percent. Fiscal 2012 diluted net earnings per share were $2.14, an increase of 15.7 percent from $1.85 per share in fiscal 2011. The primary factors contributing to the net earnings improvement were higher net sales, an increase in gross profit, leveraging of fixed SG&amp;A costs over higher sales volumes, and a pre-tax charge of $4.7 million in fiscal 2011 associated with a rework for a non-safety quality issue for our walk power mowers that was not duplicated in fiscal 2012. However, our tax rate in fiscal 2012 was higher compared to our tax rate in fiscal 2011 due to the expiration of the domestic research tax credit on December 31, 2011. Our net earnings per diluted share were also benefited by approximately $0.10 per share in fiscal 2012 compared to fiscal 2011 as a result of reduced shares outstanding from repurchases of our common stock.</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our results of operations as a percentage of our consolidated net sales.</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Fiscal years ended October 31</w:t>
            </w:r>
          </w:p>
        </w:tc>
        <w:tc>
          <w:tcPr>
            <w:tcW w:w="394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2013</w:t>
            </w:r>
          </w:p>
        </w:tc>
        <w:tc>
          <w:tcPr>
            <w:tcW w:w="540" w:type="dxa"/>
            <w:vAlign w:val="bottom"/>
            <w:tcBorders>
              <w:top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sales</w:t>
            </w:r>
          </w:p>
        </w:tc>
        <w:tc>
          <w:tcPr>
            <w:tcW w:w="39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100.0%</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100.0%</w:t>
            </w:r>
          </w:p>
        </w:tc>
        <w:tc>
          <w:tcPr>
            <w:tcW w:w="5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3"/>
                <w:szCs w:val="13"/>
                <w:b w:val="1"/>
                <w:bCs w:val="1"/>
                <w:color w:val="auto"/>
              </w:rPr>
              <w:t>Cost of sales</w:t>
            </w:r>
          </w:p>
        </w:tc>
        <w:tc>
          <w:tcPr>
            <w:tcW w:w="3940" w:type="dxa"/>
            <w:vAlign w:val="bottom"/>
          </w:tcPr>
          <w:p>
            <w:pPr>
              <w:jc w:val="right"/>
              <w:ind w:right="53"/>
              <w:spacing w:after="0"/>
              <w:rPr>
                <w:sz w:val="20"/>
                <w:szCs w:val="20"/>
                <w:color w:val="auto"/>
              </w:rPr>
            </w:pPr>
            <w:r>
              <w:rPr>
                <w:rFonts w:ascii="Arial" w:cs="Arial" w:eastAsia="Arial" w:hAnsi="Arial"/>
                <w:sz w:val="13"/>
                <w:szCs w:val="13"/>
                <w:b w:val="1"/>
                <w:bCs w:val="1"/>
                <w:color w:val="auto"/>
              </w:rPr>
              <w:t>(64.5)</w:t>
            </w: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(65.6)</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Gross margin</w:t>
            </w:r>
          </w:p>
        </w:tc>
        <w:tc>
          <w:tcPr>
            <w:tcW w:w="3940" w:type="dxa"/>
            <w:vAlign w:val="bottom"/>
            <w:shd w:val="clear" w:color="auto" w:fill="CCEEFF"/>
          </w:tcPr>
          <w:p>
            <w:pPr>
              <w:jc w:val="right"/>
              <w:ind w:right="93"/>
              <w:spacing w:after="0" w:line="143" w:lineRule="exact"/>
              <w:rPr>
                <w:sz w:val="20"/>
                <w:szCs w:val="20"/>
                <w:color w:val="auto"/>
              </w:rPr>
            </w:pPr>
            <w:r>
              <w:rPr>
                <w:rFonts w:ascii="Arial" w:cs="Arial" w:eastAsia="Arial" w:hAnsi="Arial"/>
                <w:sz w:val="13"/>
                <w:szCs w:val="13"/>
                <w:b w:val="1"/>
                <w:bCs w:val="1"/>
                <w:color w:val="auto"/>
              </w:rPr>
              <w:t>35.5</w:t>
            </w:r>
          </w:p>
        </w:tc>
        <w:tc>
          <w:tcPr>
            <w:tcW w:w="540" w:type="dxa"/>
            <w:vAlign w:val="bottom"/>
            <w:shd w:val="clear" w:color="auto" w:fill="CCEEFF"/>
          </w:tcPr>
          <w:p>
            <w:pPr>
              <w:jc w:val="right"/>
              <w:ind w:right="93"/>
              <w:spacing w:after="0" w:line="143" w:lineRule="exact"/>
              <w:rPr>
                <w:sz w:val="20"/>
                <w:szCs w:val="20"/>
                <w:color w:val="auto"/>
              </w:rPr>
            </w:pPr>
            <w:r>
              <w:rPr>
                <w:rFonts w:ascii="Arial" w:cs="Arial" w:eastAsia="Arial" w:hAnsi="Arial"/>
                <w:sz w:val="13"/>
                <w:szCs w:val="13"/>
                <w:color w:val="auto"/>
              </w:rPr>
              <w:t>34.4</w:t>
            </w:r>
          </w:p>
        </w:tc>
        <w:tc>
          <w:tcPr>
            <w:tcW w:w="5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3"/>
                <w:szCs w:val="13"/>
                <w:b w:val="1"/>
                <w:bCs w:val="1"/>
                <w:color w:val="auto"/>
              </w:rPr>
              <w:t>SG&amp;A expense</w:t>
            </w:r>
          </w:p>
        </w:tc>
        <w:tc>
          <w:tcPr>
            <w:tcW w:w="3940" w:type="dxa"/>
            <w:vAlign w:val="bottom"/>
          </w:tcPr>
          <w:p>
            <w:pPr>
              <w:jc w:val="right"/>
              <w:ind w:right="53"/>
              <w:spacing w:after="0"/>
              <w:rPr>
                <w:sz w:val="20"/>
                <w:szCs w:val="20"/>
                <w:color w:val="auto"/>
              </w:rPr>
            </w:pPr>
            <w:r>
              <w:rPr>
                <w:rFonts w:ascii="Arial" w:cs="Arial" w:eastAsia="Arial" w:hAnsi="Arial"/>
                <w:sz w:val="13"/>
                <w:szCs w:val="13"/>
                <w:b w:val="1"/>
                <w:bCs w:val="1"/>
                <w:color w:val="auto"/>
              </w:rPr>
              <w:t>(24.2)</w:t>
            </w: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(23.9)</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earnings</w:t>
            </w:r>
          </w:p>
        </w:tc>
        <w:tc>
          <w:tcPr>
            <w:tcW w:w="3940" w:type="dxa"/>
            <w:vAlign w:val="bottom"/>
            <w:tcBorders>
              <w:top w:val="single" w:sz="8" w:color="auto"/>
            </w:tcBorders>
            <w:shd w:val="clear" w:color="auto" w:fill="CCEEFF"/>
          </w:tcPr>
          <w:p>
            <w:pPr>
              <w:jc w:val="right"/>
              <w:ind w:right="93"/>
              <w:spacing w:after="0" w:line="143" w:lineRule="exact"/>
              <w:rPr>
                <w:sz w:val="20"/>
                <w:szCs w:val="20"/>
                <w:color w:val="auto"/>
              </w:rPr>
            </w:pPr>
            <w:r>
              <w:rPr>
                <w:rFonts w:ascii="Arial" w:cs="Arial" w:eastAsia="Arial" w:hAnsi="Arial"/>
                <w:sz w:val="13"/>
                <w:szCs w:val="13"/>
                <w:b w:val="1"/>
                <w:bCs w:val="1"/>
                <w:color w:val="auto"/>
              </w:rPr>
              <w:t>11.3</w:t>
            </w:r>
          </w:p>
        </w:tc>
        <w:tc>
          <w:tcPr>
            <w:tcW w:w="540" w:type="dxa"/>
            <w:vAlign w:val="bottom"/>
            <w:tcBorders>
              <w:top w:val="single" w:sz="8" w:color="auto"/>
            </w:tcBorders>
            <w:shd w:val="clear" w:color="auto" w:fill="CCEEFF"/>
          </w:tcPr>
          <w:p>
            <w:pPr>
              <w:jc w:val="right"/>
              <w:ind w:right="93"/>
              <w:spacing w:after="0" w:line="143" w:lineRule="exact"/>
              <w:rPr>
                <w:sz w:val="20"/>
                <w:szCs w:val="20"/>
                <w:color w:val="auto"/>
              </w:rPr>
            </w:pPr>
            <w:r>
              <w:rPr>
                <w:rFonts w:ascii="Arial" w:cs="Arial" w:eastAsia="Arial" w:hAnsi="Arial"/>
                <w:sz w:val="13"/>
                <w:szCs w:val="13"/>
                <w:color w:val="auto"/>
              </w:rPr>
              <w:t>10.5</w:t>
            </w:r>
          </w:p>
        </w:tc>
        <w:tc>
          <w:tcPr>
            <w:tcW w:w="3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b w:val="1"/>
                <w:bCs w:val="1"/>
                <w:color w:val="auto"/>
              </w:rPr>
              <w:t>Interest expense</w:t>
            </w:r>
          </w:p>
        </w:tc>
        <w:tc>
          <w:tcPr>
            <w:tcW w:w="3940" w:type="dxa"/>
            <w:vAlign w:val="bottom"/>
          </w:tcPr>
          <w:p>
            <w:pPr>
              <w:jc w:val="right"/>
              <w:ind w:right="53"/>
              <w:spacing w:after="0"/>
              <w:rPr>
                <w:sz w:val="20"/>
                <w:szCs w:val="20"/>
                <w:color w:val="auto"/>
              </w:rPr>
            </w:pPr>
            <w:r>
              <w:rPr>
                <w:rFonts w:ascii="Arial" w:cs="Arial" w:eastAsia="Arial" w:hAnsi="Arial"/>
                <w:sz w:val="13"/>
                <w:szCs w:val="13"/>
                <w:b w:val="1"/>
                <w:bCs w:val="1"/>
                <w:color w:val="auto"/>
              </w:rPr>
              <w:t>(0.8)</w:t>
            </w: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(0.9)</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 net</w:t>
            </w:r>
          </w:p>
        </w:tc>
        <w:tc>
          <w:tcPr>
            <w:tcW w:w="394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0.6</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0.4</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3"/>
                <w:szCs w:val="13"/>
                <w:b w:val="1"/>
                <w:bCs w:val="1"/>
                <w:color w:val="auto"/>
              </w:rPr>
              <w:t>Provision for income taxes</w:t>
            </w:r>
          </w:p>
        </w:tc>
        <w:tc>
          <w:tcPr>
            <w:tcW w:w="3940" w:type="dxa"/>
            <w:vAlign w:val="bottom"/>
          </w:tcPr>
          <w:p>
            <w:pPr>
              <w:jc w:val="right"/>
              <w:ind w:right="53"/>
              <w:spacing w:after="0"/>
              <w:rPr>
                <w:sz w:val="20"/>
                <w:szCs w:val="20"/>
                <w:color w:val="auto"/>
              </w:rPr>
            </w:pPr>
            <w:r>
              <w:rPr>
                <w:rFonts w:ascii="Arial" w:cs="Arial" w:eastAsia="Arial" w:hAnsi="Arial"/>
                <w:sz w:val="13"/>
                <w:szCs w:val="13"/>
                <w:b w:val="1"/>
                <w:bCs w:val="1"/>
                <w:color w:val="auto"/>
              </w:rPr>
              <w:t>(3.5)</w:t>
            </w: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(3.4)</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earnings</w:t>
            </w:r>
          </w:p>
        </w:tc>
        <w:tc>
          <w:tcPr>
            <w:tcW w:w="39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7.6%</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6.6%</w:t>
            </w:r>
          </w:p>
        </w:tc>
        <w:tc>
          <w:tcPr>
            <w:tcW w:w="5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2013 Compared With Fiscal 2012</w:t>
      </w:r>
    </w:p>
    <w:p>
      <w:pPr>
        <w:spacing w:after="0" w:line="20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in fiscal 2013 were $2,041.4 million compared to $1,958.7 million in fiscal 2012, an increase of 4.2 percent. This net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was attributable to the following factors:</w:t>
      </w:r>
    </w:p>
    <w:p>
      <w:pPr>
        <w:spacing w:after="0" w:line="131" w:lineRule="exact"/>
        <w:rPr>
          <w:sz w:val="20"/>
          <w:szCs w:val="20"/>
          <w:color w:val="auto"/>
        </w:rPr>
      </w:pPr>
    </w:p>
    <w:p>
      <w:pPr>
        <w:ind w:left="500" w:right="60" w:hanging="500"/>
        <w:spacing w:after="0" w:line="251"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shipments and demand for professional segment products, mainly landscape contractor equipment, the successful introduction of new and enhanced products that were well received by customers, continued acceptance and demand for our drip irrigation solutions in agricultural markets, and golf renovation projects that drove demand for our golf irrigation systems. Additionally, price increases introduced on some products, increased sales and demand in the rental market, as well as incremental sales from acquisitions of $6.4 million, contributed to our net sales growth in fiscal 2013.</w:t>
      </w:r>
    </w:p>
    <w:p>
      <w:pPr>
        <w:spacing w:after="0" w:line="2" w:lineRule="exact"/>
        <w:rPr>
          <w:rFonts w:ascii="Arial" w:cs="Arial" w:eastAsia="Arial" w:hAnsi="Arial"/>
          <w:sz w:val="16"/>
          <w:szCs w:val="16"/>
          <w:color w:val="auto"/>
        </w:rPr>
      </w:pPr>
    </w:p>
    <w:p>
      <w:pPr>
        <w:ind w:left="500" w:right="260" w:hanging="500"/>
        <w:spacing w:after="0" w:line="25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sales of Pope irrigation products in Australia, zero-turn radius riding mowers, and handheld trimmer and blower products in our residential segment due to positive customer response to newly introduced and enhanced products, as well as favorable weather conditions.</w:t>
      </w:r>
    </w:p>
    <w:p>
      <w:pPr>
        <w:spacing w:after="0" w:line="1" w:lineRule="exact"/>
        <w:rPr>
          <w:rFonts w:ascii="Arial" w:cs="Arial" w:eastAsia="Arial" w:hAnsi="Arial"/>
          <w:sz w:val="16"/>
          <w:szCs w:val="16"/>
          <w:color w:val="auto"/>
        </w:rPr>
      </w:pPr>
    </w:p>
    <w:p>
      <w:pPr>
        <w:ind w:left="500" w:right="620" w:hanging="500"/>
        <w:spacing w:after="0" w:line="267"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Higher international net sales due primarily to increased demand in the EMEA region and Asia for micro-irrigation and golf equipment products. However, changes in foreign currency exchange rates resulted in a reduction of our net sales of approximately $13 million in fiscal 2013.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sales increases were:</w:t>
      </w:r>
    </w:p>
    <w:p>
      <w:pPr>
        <w:spacing w:after="0" w:line="205" w:lineRule="exact"/>
        <w:rPr>
          <w:sz w:val="20"/>
          <w:szCs w:val="20"/>
          <w:color w:val="auto"/>
        </w:rPr>
      </w:pPr>
    </w:p>
    <w:p>
      <w:pPr>
        <w:ind w:left="500" w:right="220" w:hanging="500"/>
        <w:spacing w:after="0" w:line="254"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decline in overall residential segment net sales primarily from lower shipments of snow thrower products due to the lack of snowfall during the past two winter seasons in certain key markets. In addition, shipments of walk power mowers were down due to adverse spring weather conditions that negatively impacted demand and our sales during the key selling period.</w:t>
      </w:r>
    </w:p>
    <w:p>
      <w:pPr>
        <w:ind w:left="500" w:hanging="500"/>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Lower sales of our retail irrigation products as a result of reduced product placement at a key customer.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jc w:val="both"/>
        <w:ind w:right="300"/>
        <w:spacing w:after="0" w:line="26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represents gross profit (net sales less cost of sales) as a percentage of net sales. See Note 1 of the Notes to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 the section entitled "Cost of Sales," for a description of expenses included in cost of sales. Gross margin increased by 110 basis points to 35.5 percent in fiscal 2013 from 34.4 percent in fiscal 2012. This improvement was mainly the result of the following factors:</w:t>
      </w:r>
    </w:p>
    <w:p>
      <w:pPr>
        <w:spacing w:after="0" w:line="149" w:lineRule="exact"/>
        <w:rPr>
          <w:sz w:val="20"/>
          <w:szCs w:val="20"/>
          <w:color w:val="auto"/>
        </w:rPr>
      </w:pPr>
    </w:p>
    <w:p>
      <w:pPr>
        <w:ind w:left="500" w:hanging="50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Price increases on some of our professional segment products.</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reduction efforts from productivity and process improvement initiatives.</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Favorable product mix from increased sales of products that carry higher average gross margins.</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Lower average prices paid for commodities in fiscal 2013 compared to fiscal 2012.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positive factors were:</w:t>
      </w:r>
    </w:p>
    <w:p>
      <w:pPr>
        <w:spacing w:after="0" w:line="217" w:lineRule="exact"/>
        <w:rPr>
          <w:sz w:val="20"/>
          <w:szCs w:val="20"/>
          <w:color w:val="auto"/>
        </w:rPr>
      </w:pPr>
    </w:p>
    <w:p>
      <w:pPr>
        <w:ind w:left="500" w:hanging="500"/>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Unfavorable foreign currency exchange rate movements.</w:t>
      </w:r>
    </w:p>
    <w:p>
      <w:pPr>
        <w:spacing w:after="0" w:line="24" w:lineRule="exact"/>
        <w:rPr>
          <w:rFonts w:ascii="Arial" w:cs="Arial" w:eastAsia="Arial" w:hAnsi="Arial"/>
          <w:sz w:val="16"/>
          <w:szCs w:val="16"/>
          <w:color w:val="auto"/>
        </w:rPr>
      </w:pPr>
    </w:p>
    <w:p>
      <w:pPr>
        <w:ind w:left="500" w:hanging="500"/>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Unabsorbed manufacturing costs, mainly from lower plant utilization and plant realignment.</w:t>
      </w:r>
    </w:p>
    <w:p>
      <w:pPr>
        <w:spacing w:after="0" w:line="18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 </w:t>
      </w:r>
      <w:r>
        <w:rPr>
          <w:rFonts w:ascii="Arial" w:cs="Arial" w:eastAsia="Arial" w:hAnsi="Arial"/>
          <w:sz w:val="16"/>
          <w:szCs w:val="16"/>
          <w:color w:val="auto"/>
        </w:rPr>
        <w:t>SG&amp;A expense increased $26.7 million, or 5.7 percent, in fiscal 2013 compared to fiscal 2012. See Note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Notes to Consolidated Financial Statements, in the section entitled "Selling, General, and Administrative Expense," for a description of expenses included in SG&amp;A expense. SG&amp;A expense rate represents SG&amp;A expense as a percentage of net sales. SG&amp;A expense rate in fiscal 2013 increased by 30 basis points to 24.2 percent compared to 23.9 percent in fiscal 2012. The increase in SG&amp;A expense was driven mainly by the following factors:</w:t>
      </w:r>
    </w:p>
    <w:p>
      <w:pPr>
        <w:spacing w:after="0" w:line="156" w:lineRule="exact"/>
        <w:rPr>
          <w:sz w:val="20"/>
          <w:szCs w:val="20"/>
          <w:color w:val="auto"/>
        </w:rPr>
      </w:pPr>
    </w:p>
    <w:p>
      <w:pPr>
        <w:ind w:left="500" w:hanging="50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sales and marketing expense of $9 million.</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in warehousing costs of $6 million, mainly related to our new distribution facility in Ankeny, Iowa, plus higher inventory levels.</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incentive compensation expense of $6 million as a result of improved financial performance.</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Continued investments in new product development that resulted in higher engineering expense of $4 million.</w:t>
      </w:r>
    </w:p>
    <w:p>
      <w:pPr>
        <w:spacing w:after="0" w:line="15" w:lineRule="exact"/>
        <w:rPr>
          <w:rFonts w:ascii="Arial" w:cs="Arial" w:eastAsia="Arial" w:hAnsi="Arial"/>
          <w:sz w:val="16"/>
          <w:szCs w:val="16"/>
          <w:color w:val="auto"/>
        </w:rPr>
      </w:pPr>
    </w:p>
    <w:p>
      <w:pPr>
        <w:ind w:left="500" w:hanging="50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Incremental costs from acquisitions of approximately $4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increases in SG&amp;A expense was a decline in warranty expense of $4.5 million.</w:t>
      </w:r>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for fiscal 2013 decreased by 4.1 percent compared to fiscal 2012 as a result of higher capitalized interest from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projects and lower average debt levels.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consists mainly of our proportionate share of income or losses from equity investments (affiliates), currency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gains and losses, litigation settlements and recoveries, interest income, and retail financing revenue. Other income for fiscal 2013 was $12.3 million compared to $7.6 million in fiscal 2012, an increase of $4.7 million. This increase in other income, net was due mainly to a recovery for a litigation settlement of $3 million, an increase in income from our equity investment in Red Iron of $1 million, and lower foreign currency exchange rate losses of $1 million in fiscal 2013 compared to fiscal 2012.</w:t>
      </w:r>
    </w:p>
    <w:p>
      <w:pPr>
        <w:spacing w:after="0" w:line="1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effective tax rate for fiscal 2013 was 31.7 percent compared to 34.0 percent in fiscal 2012. The reduction in the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rate was primarily the result of the retroactive reenactment of the domestic research tax credit.</w:t>
      </w:r>
    </w:p>
    <w:p>
      <w:pPr>
        <w:spacing w:after="0" w:line="131" w:lineRule="exact"/>
        <w:rPr>
          <w:sz w:val="20"/>
          <w:szCs w:val="20"/>
          <w:color w:val="auto"/>
        </w:rPr>
      </w:pPr>
    </w:p>
    <w:p>
      <w:pPr>
        <w:ind w:right="380" w:firstLine="136"/>
        <w:spacing w:after="0" w:line="291" w:lineRule="auto"/>
        <w:rPr>
          <w:sz w:val="20"/>
          <w:szCs w:val="20"/>
          <w:color w:val="auto"/>
        </w:rPr>
      </w:pPr>
      <w:r>
        <w:rPr>
          <w:rFonts w:ascii="Arial" w:cs="Arial" w:eastAsia="Arial" w:hAnsi="Arial"/>
          <w:sz w:val="16"/>
          <w:szCs w:val="16"/>
          <w:color w:val="auto"/>
        </w:rPr>
        <w:t>We anticipate our tax rate for fiscal 2014 to be higher than our fiscal 2013 tax rate due to the expiration of the domestic research tax credit that is set to expire on December 31, 2013.</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2012 Compared With Fiscal 2011</w:t>
      </w:r>
    </w:p>
    <w:p>
      <w:pPr>
        <w:spacing w:after="0" w:line="20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in fiscal 2012 were $1,958.7 million compared to $1,884.0 million in fiscal 2011, an increase of 4.0 percent. This net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was attributable to the following factors:</w:t>
      </w:r>
    </w:p>
    <w:p>
      <w:pPr>
        <w:spacing w:after="0" w:line="131" w:lineRule="exact"/>
        <w:rPr>
          <w:sz w:val="20"/>
          <w:szCs w:val="20"/>
          <w:color w:val="auto"/>
        </w:rPr>
      </w:pPr>
    </w:p>
    <w:p>
      <w:pPr>
        <w:ind w:left="500" w:right="80" w:hanging="500"/>
        <w:spacing w:after="0" w:line="25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shipments of professional segment products largely resulting from the successful introduction of new and enhanced products that were well received by customers and resulted in increased sales, strong demand for domestic golf and landscape contractor equipment as customers replaced their aged inventory, market growth and demand for our drip irrigation solutions in agricultural markets, and incremental sales of $22.1 million from acquisitions. Additionally, a weaker average U.S. dollar compared to other currencies in which we transact business accounted for approximately</w:t>
      </w:r>
    </w:p>
    <w:p>
      <w:pPr>
        <w:spacing w:after="0" w:line="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$2 million of our overall net sales increase.</w:t>
      </w:r>
    </w:p>
    <w:p>
      <w:pPr>
        <w:spacing w:after="0" w:line="4" w:lineRule="exact"/>
        <w:rPr>
          <w:rFonts w:ascii="Arial" w:cs="Arial" w:eastAsia="Arial" w:hAnsi="Arial"/>
          <w:sz w:val="16"/>
          <w:szCs w:val="16"/>
          <w:color w:val="auto"/>
        </w:rPr>
      </w:pPr>
    </w:p>
    <w:p>
      <w:pPr>
        <w:ind w:left="500" w:right="520" w:hanging="500"/>
        <w:spacing w:after="0" w:line="255"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Higher shipments and demand of walk power mowers, zero-turn radius riding mowers, and trimmers in our residential segment due to positive customer response to newly introduced products and favorable weather conditions drove strong demand. Additionally, sales of Pope products in Australia were up due to more favorable weather conditions in fiscal 2012 as compared to fiscal 2011.</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sales increases were:</w:t>
      </w:r>
    </w:p>
    <w:p>
      <w:pPr>
        <w:spacing w:after="0" w:line="217" w:lineRule="exact"/>
        <w:rPr>
          <w:sz w:val="20"/>
          <w:szCs w:val="20"/>
          <w:color w:val="auto"/>
        </w:rPr>
      </w:pPr>
    </w:p>
    <w:p>
      <w:pPr>
        <w:ind w:left="500" w:right="180" w:hanging="500"/>
        <w:spacing w:after="0" w:line="258"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decline in overall residential segment net sales primarily from lower shipments of snow thrower products and service parts due to reduced demand resulting from the lack of snowfall during the 2011-2012 winter season.</w:t>
      </w:r>
    </w:p>
    <w:p>
      <w:pPr>
        <w:ind w:left="500" w:right="300" w:hanging="500"/>
        <w:spacing w:after="0" w:line="26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decrease in international net sales in both our professional and residential segments due mainly to lower sales in Europe as a result of economic weakness and uncertainty in that region during fiscal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increased by 60 basis points to 34.4 percent in fiscal 2012 from 33.8 percent in fiscal 2011. This improvement was mainly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the following factors:</w:t>
      </w:r>
    </w:p>
    <w:p>
      <w:pPr>
        <w:spacing w:after="0" w:line="131" w:lineRule="exact"/>
        <w:rPr>
          <w:sz w:val="20"/>
          <w:szCs w:val="20"/>
          <w:color w:val="auto"/>
        </w:rPr>
      </w:pPr>
    </w:p>
    <w:p>
      <w:pPr>
        <w:ind w:left="500" w:hanging="500"/>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 increases on some of our products.</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Lower manufacturing costs from higher plant utilization, mainly related to increased production and demand for our products.</w:t>
      </w:r>
    </w:p>
    <w:p>
      <w:pPr>
        <w:spacing w:after="0" w:line="5" w:lineRule="exact"/>
        <w:rPr>
          <w:rFonts w:ascii="Arial" w:cs="Arial" w:eastAsia="Arial" w:hAnsi="Arial"/>
          <w:sz w:val="16"/>
          <w:szCs w:val="16"/>
          <w:color w:val="auto"/>
        </w:rPr>
      </w:pPr>
    </w:p>
    <w:p>
      <w:pPr>
        <w:ind w:left="500" w:right="420" w:hanging="500"/>
        <w:spacing w:after="0" w:line="265"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Rework costs in fiscal 2011 for a non-safety quality issue that affected a large number of our residential segment walk power mowers that was not duplicated in fiscal 2012.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positive factors were:</w:t>
      </w:r>
    </w:p>
    <w:p>
      <w:pPr>
        <w:spacing w:after="0" w:line="205" w:lineRule="exact"/>
        <w:rPr>
          <w:sz w:val="20"/>
          <w:szCs w:val="20"/>
          <w:color w:val="auto"/>
        </w:rPr>
      </w:pPr>
    </w:p>
    <w:p>
      <w:pPr>
        <w:ind w:left="500" w:hanging="500"/>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average prices paid for commodities in fiscal 2012 compared to fiscal 2011.</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Unfavorable product mix and lower gross margins on product sales from acquisitions in fiscal 2012 compared to fiscal 2011.</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 </w:t>
      </w:r>
      <w:r>
        <w:rPr>
          <w:rFonts w:ascii="Arial" w:cs="Arial" w:eastAsia="Arial" w:hAnsi="Arial"/>
          <w:sz w:val="16"/>
          <w:szCs w:val="16"/>
          <w:color w:val="auto"/>
        </w:rPr>
        <w:t>SG&amp;A expense rate in fiscal 2012 decreased by 10 basis points to 23.9 percent compared to 24.0 percent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fiscal 2011 due to fixed SG&amp;A costs spread over higher sales volumes. However, the increase in SG&amp;A expense of $15.3 million was driven mainly by incremental costs from acquisitions of $7.2 million and higher self-insured health care expenses from unfavorable claims experience. Somewhat offsetting those increases in SG&amp;A expense were a decline in marketing expenses of $6.3 million due mainly to incentive programs in fiscal 2011 that were not duplicated to the same degree in fiscal 2012 and lower incentive compensation expense of $4.2 million attributable to lower than planned financial results in fiscal 2012.</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for fiscal 2012 slightly decreased by 0.4 percent compared to fiscal 2011 as a result of lower average debt levels.</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for fiscal 2012 was $7.6 million compared to $7.3 million in fiscal 2011, an increase of $0.3 million, or 3.4 percent.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other income, net was due mainly to an increase in income from our equity investment in Red Iron, somewhat offset by lower interest income in fiscal 2012 compared to fiscal 2011.</w:t>
      </w:r>
    </w:p>
    <w:p>
      <w:pPr>
        <w:spacing w:after="0" w:line="14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effective tax rate for fiscal 2012 was 34.0 percent compared to 32.7 percent in fiscal 2011. The increase in the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rate was primarily the result of the expiration of the domestic research tax credit on December 31, 2011.</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BY BUSINESS SEGMENT</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companies, corporate activities, other income, and interest expense.</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information provides perspective on our business segments' net sales and operating results.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w:t>
      </w:r>
    </w:p>
    <w:p>
      <w:pPr>
        <w:spacing w:after="0" w:line="2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Professional segment net sales represented 70 percent of consolidated net sales for fiscal 2013, 68 percent for fiscal 2012, and 66 percent for fiscal 2011. The following table shows the professional segment net sales, operating earnings, and operating earnings as a percent of net sales.</w:t>
      </w:r>
    </w:p>
    <w:p>
      <w:pPr>
        <w:spacing w:after="0" w:line="153"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30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3"/>
                <w:szCs w:val="13"/>
                <w:b w:val="1"/>
                <w:bCs w:val="1"/>
                <w:color w:val="auto"/>
              </w:rPr>
              <w:t>2012</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Fiscal years ended October 31</w:t>
            </w:r>
          </w:p>
        </w:tc>
        <w:tc>
          <w:tcPr>
            <w:tcW w:w="30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sales</w:t>
            </w:r>
          </w:p>
        </w:tc>
        <w:tc>
          <w:tcPr>
            <w:tcW w:w="3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b w:val="1"/>
                <w:bCs w:val="1"/>
                <w:color w:val="auto"/>
                <w:w w:val="96"/>
              </w:rPr>
              <w:t>1,425.3</w:t>
            </w:r>
          </w:p>
        </w:tc>
        <w:tc>
          <w:tcPr>
            <w:tcW w:w="1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w w:val="96"/>
              </w:rPr>
              <w:t>1,329.5</w:t>
            </w:r>
          </w:p>
        </w:tc>
        <w:tc>
          <w:tcPr>
            <w:tcW w:w="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1,239.1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Arial" w:cs="Arial" w:eastAsia="Arial" w:hAnsi="Arial"/>
                <w:sz w:val="13"/>
                <w:szCs w:val="13"/>
                <w:b w:val="1"/>
                <w:bCs w:val="1"/>
                <w:color w:val="auto"/>
              </w:rPr>
              <w:t>% change from prior year</w:t>
            </w:r>
          </w:p>
        </w:tc>
        <w:tc>
          <w:tcPr>
            <w:tcW w:w="30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7.2%</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earnings</w:t>
            </w:r>
          </w:p>
        </w:tc>
        <w:tc>
          <w:tcPr>
            <w:tcW w:w="3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254.4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Pr>
          <w:p>
            <w:pPr>
              <w:ind w:left="80"/>
              <w:spacing w:after="0"/>
              <w:rPr>
                <w:sz w:val="20"/>
                <w:szCs w:val="20"/>
                <w:color w:val="auto"/>
              </w:rPr>
            </w:pPr>
            <w:r>
              <w:rPr>
                <w:rFonts w:ascii="Arial" w:cs="Arial" w:eastAsia="Arial" w:hAnsi="Arial"/>
                <w:sz w:val="13"/>
                <w:szCs w:val="13"/>
                <w:b w:val="1"/>
                <w:bCs w:val="1"/>
                <w:color w:val="auto"/>
              </w:rPr>
              <w:t>As a percent of net sales</w:t>
            </w:r>
          </w:p>
        </w:tc>
        <w:tc>
          <w:tcPr>
            <w:tcW w:w="3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17.9%</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for the professional segment in fiscal 2013 were up by 7.2 percent compared to fiscal 2012 primarily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factors:</w:t>
      </w:r>
    </w:p>
    <w:p>
      <w:pPr>
        <w:spacing w:after="0" w:line="131" w:lineRule="exact"/>
        <w:rPr>
          <w:sz w:val="20"/>
          <w:szCs w:val="20"/>
          <w:color w:val="auto"/>
        </w:rPr>
      </w:pPr>
    </w:p>
    <w:p>
      <w:pPr>
        <w:ind w:left="500" w:right="120" w:hanging="500"/>
        <w:spacing w:after="0" w:line="258"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introduction of new and enhanced products that were well received by customers and resulted in increased sales and demand, particularly for landscape contractor equipment.</w:t>
      </w:r>
    </w:p>
    <w:p>
      <w:pPr>
        <w:ind w:left="500" w:right="180" w:hanging="500"/>
        <w:spacing w:after="0" w:line="25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Higher global sales of our micro-irrigation products from continued market growth and demand for our drip irrigation solutions for agricultural markets, as well as additional manufacturing capacity that increased production and enabled higher sales of our micro-irrigation products.</w:t>
      </w:r>
    </w:p>
    <w:p>
      <w:pPr>
        <w:spacing w:after="0" w:line="1" w:lineRule="exact"/>
        <w:rPr>
          <w:rFonts w:ascii="Arial" w:cs="Arial" w:eastAsia="Arial" w:hAnsi="Arial"/>
          <w:sz w:val="16"/>
          <w:szCs w:val="16"/>
          <w:color w:val="auto"/>
        </w:rPr>
      </w:pPr>
    </w:p>
    <w:p>
      <w:pPr>
        <w:ind w:left="500" w:right="560" w:hanging="500"/>
        <w:spacing w:after="0" w:line="24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sales and demand in the rental and construction market from broadening our customer base as part of our acquisitions in fiscal 2012, improved market conditions, and new product introductions.</w:t>
      </w:r>
    </w:p>
    <w:p>
      <w:pPr>
        <w:ind w:left="500" w:hanging="500"/>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Incremental sales of $6.4 million from acquisitions.</w:t>
      </w:r>
    </w:p>
    <w:p>
      <w:pPr>
        <w:spacing w:after="0" w:line="4" w:lineRule="exact"/>
        <w:rPr>
          <w:rFonts w:ascii="Arial" w:cs="Arial" w:eastAsia="Arial" w:hAnsi="Arial"/>
          <w:sz w:val="16"/>
          <w:szCs w:val="16"/>
          <w:color w:val="auto"/>
        </w:rPr>
      </w:pPr>
    </w:p>
    <w:p>
      <w:pPr>
        <w:ind w:left="500" w:right="60" w:hanging="500"/>
        <w:spacing w:after="0" w:line="25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sales of golf and grounds equipment and irrigation systems as a result of price increases, higher demand, and golf renovation projects in the U.S., as well as golf projects in Asia and the EMEA region. Additionally, our domestic field inventory levels were up as of the end of fiscal 2013 compared to the end of fiscal 2012 due, in part, to anticipated strong retail demand in fiscal 2014 for our professional segment products subject to Tier 4 diesel engine emission requirements, as well as the expansion of our rental and construction business from recent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sales increases were lower sales of our retail irrigation products as a result of reduced product placement at a key customer.</w:t>
      </w:r>
    </w:p>
    <w:p>
      <w:pPr>
        <w:spacing w:after="0" w:line="205" w:lineRule="exact"/>
        <w:rPr>
          <w:sz w:val="20"/>
          <w:szCs w:val="20"/>
          <w:color w:val="auto"/>
        </w:rPr>
      </w:pPr>
    </w:p>
    <w:p>
      <w:pPr>
        <w:ind w:right="80" w:firstLine="136"/>
        <w:spacing w:after="0" w:line="291" w:lineRule="auto"/>
        <w:rPr>
          <w:sz w:val="20"/>
          <w:szCs w:val="20"/>
          <w:color w:val="auto"/>
        </w:rPr>
      </w:pPr>
      <w:r>
        <w:rPr>
          <w:rFonts w:ascii="Arial" w:cs="Arial" w:eastAsia="Arial" w:hAnsi="Arial"/>
          <w:sz w:val="16"/>
          <w:szCs w:val="16"/>
          <w:color w:val="auto"/>
        </w:rPr>
        <w:t>Worldwide net sales for the professional segment in fiscal 2012 were up by 7.3 percent compared to fiscal 2011 primarily from the successful introduction of new and enhanced products, and higher</w:t>
      </w:r>
    </w:p>
    <w:p>
      <w:pPr>
        <w:sectPr>
          <w:pgSz w:w="11900" w:h="16838" w:orient="portrait"/>
          <w:cols w:equalWidth="0" w:num="1">
            <w:col w:w="11420"/>
          </w:cols>
          <w:pgMar w:left="240" w:top="122"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shipments and demand for domestic golf and landscape contractor equipment as customers replaced their aged inventory. Additionally, golf rounds played were up in fiscal 2012 compared to fiscal 2011 resulting in increased revenue for golf courses and related investments in equipment. Net sales of micro-irrigation products also increased due to acceptance and demand for our drip irrigation solutions for agricultural markets, additional manufacturing capacity that increased production and enabled higher sales of our micro-irrigation products, and dealer expansion that assisted us to better meet the growing market demand for agricultural irrigation products. Incremental sales of $22.1 million from acquisitions also benefited our professional segment net sales for fiscal 2012. Somewhat offsetting those sales increases were lower sales in Europe as a result of economic weakness and uncertainty in that region during fiscal 2012.</w:t>
      </w:r>
    </w:p>
    <w:p>
      <w:pPr>
        <w:spacing w:after="0" w:line="160"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 xml:space="preserve">Operating Earnings. </w:t>
      </w:r>
      <w:r>
        <w:rPr>
          <w:rFonts w:ascii="Arial" w:cs="Arial" w:eastAsia="Arial" w:hAnsi="Arial"/>
          <w:sz w:val="16"/>
          <w:szCs w:val="16"/>
          <w:color w:val="auto"/>
        </w:rPr>
        <w:t>Operating earnings for the professional segment in fiscal 2013 increased 9.6 percent compared to fiscal 2012 due primarily to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volumes and an improvement in gross margin. Expressed as a percentage of net sales, professional segment operating margins increased 40 basis points to 17.9 percent in fiscal 2013 compared to 17.5 percent in fiscal 2012. The following factors impacted professional segment operating earnings:</w:t>
      </w:r>
    </w:p>
    <w:p>
      <w:pPr>
        <w:spacing w:after="0" w:line="149" w:lineRule="exact"/>
        <w:rPr>
          <w:sz w:val="20"/>
          <w:szCs w:val="20"/>
          <w:color w:val="auto"/>
        </w:rPr>
      </w:pPr>
    </w:p>
    <w:p>
      <w:pPr>
        <w:ind w:left="500" w:hanging="500"/>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Higher gross margin in fiscal 2013 compared to fiscal 2012 as a result of the same factors discussed previously in the Gross Margin section.</w:t>
      </w:r>
    </w:p>
    <w:p>
      <w:pPr>
        <w:spacing w:after="0" w:line="35" w:lineRule="exact"/>
        <w:rPr>
          <w:rFonts w:ascii="Arial" w:cs="Arial" w:eastAsia="Arial" w:hAnsi="Arial"/>
          <w:sz w:val="16"/>
          <w:szCs w:val="16"/>
          <w:color w:val="auto"/>
        </w:rPr>
      </w:pPr>
    </w:p>
    <w:p>
      <w:pPr>
        <w:ind w:left="500" w:hanging="500"/>
        <w:spacing w:after="0" w:line="267"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slight decline in SG&amp;A expense rate in fiscal 2013 compared to fiscal 2012 due mainly to leveraging fixed SG&amp;A costs over higher sales volumes and lower warranty expense.</w:t>
      </w:r>
    </w:p>
    <w:p>
      <w:pPr>
        <w:spacing w:after="0" w:line="149" w:lineRule="exact"/>
        <w:rPr>
          <w:sz w:val="20"/>
          <w:szCs w:val="20"/>
          <w:color w:val="auto"/>
        </w:rPr>
      </w:pPr>
    </w:p>
    <w:p>
      <w:pPr>
        <w:ind w:right="60" w:firstLine="136"/>
        <w:spacing w:after="0" w:line="253" w:lineRule="auto"/>
        <w:rPr>
          <w:sz w:val="20"/>
          <w:szCs w:val="20"/>
          <w:color w:val="auto"/>
        </w:rPr>
      </w:pPr>
      <w:r>
        <w:rPr>
          <w:rFonts w:ascii="Arial" w:cs="Arial" w:eastAsia="Arial" w:hAnsi="Arial"/>
          <w:sz w:val="16"/>
          <w:szCs w:val="16"/>
          <w:color w:val="auto"/>
        </w:rPr>
        <w:t>Operating earnings for the professional segment in fiscal 2012 increased 13.2 percent compared to fiscal 2011 due primarily to higher sales volumes. Expressed as a percentage of net sales, professional segment operating margins increased 100 basis points to 17.5 percent in fiscal 2012 compared to 16.5 percent in fiscal 2011. The operating profit improvement was due to higher gross margin as a result of price increases on some products and manufacturing efficiencies from higher plant utilization, mainly related to increased production and demand for our products. Those gross margin improvements were somewhat offset by higher average commodity prices and lower gross margins on product sales from acquisitions. Additionally, a decline in SG&amp;A expense rate due mainly to leveraging fixed SG&amp;A costs over higher sales volumes and a decline in marketing expenses, somewhat offset by higher warranty expense, contributed to our professional segment operating margin improvement in fiscal 2012 compared to fiscal 2011.</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Residential</w:t>
      </w:r>
    </w:p>
    <w:p>
      <w:pPr>
        <w:spacing w:after="0" w:line="2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Residential segment net sales represented 29 percent of consolidated net sales for fiscal 2013, 31 percent for fiscal 2012, and 33 percent for fiscal 2011. The following table shows the residential segment net sales, operating earnings, and operating earnings as a percent of net sales.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3820" w:type="dxa"/>
            <w:vAlign w:val="bottom"/>
            <w:tcBorders>
              <w:top w:val="single" w:sz="8" w:color="auto"/>
            </w:tcBorders>
            <w:gridSpan w:val="2"/>
            <w:vMerge w:val="restart"/>
          </w:tcPr>
          <w:p>
            <w:pPr>
              <w:jc w:val="right"/>
              <w:ind w:right="153"/>
              <w:spacing w:after="0"/>
              <w:rPr>
                <w:sz w:val="20"/>
                <w:szCs w:val="20"/>
                <w:color w:val="auto"/>
              </w:rPr>
            </w:pPr>
            <w:r>
              <w:rPr>
                <w:rFonts w:ascii="Arial" w:cs="Arial" w:eastAsia="Arial" w:hAnsi="Arial"/>
                <w:sz w:val="13"/>
                <w:szCs w:val="13"/>
                <w:b w:val="1"/>
                <w:bCs w:val="1"/>
                <w:color w:val="auto"/>
              </w:rPr>
              <w:t>2013</w:t>
            </w:r>
          </w:p>
        </w:tc>
        <w:tc>
          <w:tcPr>
            <w:tcW w:w="620" w:type="dxa"/>
            <w:vAlign w:val="bottom"/>
            <w:tcBorders>
              <w:top w:val="single" w:sz="8" w:color="auto"/>
            </w:tcBorders>
            <w:gridSpan w:val="2"/>
            <w:vMerge w:val="restart"/>
          </w:tcPr>
          <w:p>
            <w:pPr>
              <w:jc w:val="right"/>
              <w:ind w:right="173"/>
              <w:spacing w:after="0"/>
              <w:rPr>
                <w:sz w:val="20"/>
                <w:szCs w:val="20"/>
                <w:color w:val="auto"/>
              </w:rPr>
            </w:pPr>
            <w:r>
              <w:rPr>
                <w:rFonts w:ascii="Arial" w:cs="Arial" w:eastAsia="Arial" w:hAnsi="Arial"/>
                <w:sz w:val="13"/>
                <w:szCs w:val="13"/>
                <w:b w:val="1"/>
                <w:bCs w:val="1"/>
                <w:color w:val="auto"/>
              </w:rPr>
              <w:t>2012</w:t>
            </w:r>
          </w:p>
        </w:tc>
        <w:tc>
          <w:tcPr>
            <w:tcW w:w="4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Fiscal years ended October 31</w:t>
            </w:r>
          </w:p>
        </w:tc>
        <w:tc>
          <w:tcPr>
            <w:tcW w:w="38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sales</w:t>
            </w:r>
          </w:p>
        </w:tc>
        <w:tc>
          <w:tcPr>
            <w:tcW w:w="33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shd w:val="clear" w:color="auto" w:fill="CCEEFF"/>
          </w:tcPr>
          <w:p>
            <w:pPr>
              <w:jc w:val="right"/>
              <w:ind w:right="93"/>
              <w:spacing w:after="0" w:line="143" w:lineRule="exact"/>
              <w:rPr>
                <w:sz w:val="20"/>
                <w:szCs w:val="20"/>
                <w:color w:val="auto"/>
              </w:rPr>
            </w:pPr>
            <w:r>
              <w:rPr>
                <w:rFonts w:ascii="Arial" w:cs="Arial" w:eastAsia="Arial" w:hAnsi="Arial"/>
                <w:sz w:val="13"/>
                <w:szCs w:val="13"/>
                <w:b w:val="1"/>
                <w:bCs w:val="1"/>
                <w:color w:val="auto"/>
                <w:w w:val="98"/>
              </w:rPr>
              <w:t>594.4</w:t>
            </w:r>
          </w:p>
        </w:tc>
        <w:tc>
          <w:tcPr>
            <w:tcW w:w="1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113"/>
              <w:spacing w:after="0" w:line="143" w:lineRule="exact"/>
              <w:rPr>
                <w:sz w:val="20"/>
                <w:szCs w:val="20"/>
                <w:color w:val="auto"/>
              </w:rPr>
            </w:pPr>
            <w:r>
              <w:rPr>
                <w:rFonts w:ascii="Arial" w:cs="Arial" w:eastAsia="Arial" w:hAnsi="Arial"/>
                <w:sz w:val="13"/>
                <w:szCs w:val="13"/>
                <w:color w:val="auto"/>
                <w:w w:val="98"/>
              </w:rPr>
              <w:t>607.4</w:t>
            </w:r>
          </w:p>
        </w:tc>
        <w:tc>
          <w:tcPr>
            <w:tcW w:w="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8"/>
              </w:rPr>
              <w:t>623.9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20" w:type="dxa"/>
            <w:vAlign w:val="bottom"/>
          </w:tcPr>
          <w:p>
            <w:pPr>
              <w:ind w:left="80"/>
              <w:spacing w:after="0"/>
              <w:rPr>
                <w:sz w:val="20"/>
                <w:szCs w:val="20"/>
                <w:color w:val="auto"/>
              </w:rPr>
            </w:pPr>
            <w:r>
              <w:rPr>
                <w:rFonts w:ascii="Arial" w:cs="Arial" w:eastAsia="Arial" w:hAnsi="Arial"/>
                <w:sz w:val="13"/>
                <w:szCs w:val="13"/>
                <w:b w:val="1"/>
                <w:bCs w:val="1"/>
                <w:color w:val="auto"/>
              </w:rPr>
              <w:t>% change from prior year</w:t>
            </w:r>
          </w:p>
        </w:tc>
        <w:tc>
          <w:tcPr>
            <w:tcW w:w="3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(2.1)%</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earnings</w:t>
            </w:r>
          </w:p>
        </w:tc>
        <w:tc>
          <w:tcPr>
            <w:tcW w:w="3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62.0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57.9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ind w:left="80"/>
              <w:spacing w:after="0"/>
              <w:rPr>
                <w:sz w:val="20"/>
                <w:szCs w:val="20"/>
                <w:color w:val="auto"/>
              </w:rPr>
            </w:pPr>
            <w:r>
              <w:rPr>
                <w:rFonts w:ascii="Arial" w:cs="Arial" w:eastAsia="Arial" w:hAnsi="Arial"/>
                <w:sz w:val="13"/>
                <w:szCs w:val="13"/>
                <w:b w:val="1"/>
                <w:bCs w:val="1"/>
                <w:color w:val="auto"/>
              </w:rPr>
              <w:t>As a percent of net sales</w:t>
            </w:r>
          </w:p>
        </w:tc>
        <w:tc>
          <w:tcPr>
            <w:tcW w:w="3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10.4%</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for the residential segment in fiscal 2013 were down by 2.1 percent compared to fiscal 2012 primarily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factors:</w:t>
      </w:r>
    </w:p>
    <w:p>
      <w:pPr>
        <w:spacing w:after="0" w:line="131" w:lineRule="exact"/>
        <w:rPr>
          <w:sz w:val="20"/>
          <w:szCs w:val="20"/>
          <w:color w:val="auto"/>
        </w:rPr>
      </w:pPr>
    </w:p>
    <w:p>
      <w:pPr>
        <w:ind w:left="500" w:hanging="50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Lower shipments and demand for snow thrower products due to the lack of snowfall during the past two winter seasons in certain key markets.</w:t>
      </w:r>
    </w:p>
    <w:p>
      <w:pPr>
        <w:spacing w:after="0" w:line="24" w:lineRule="exact"/>
        <w:rPr>
          <w:rFonts w:ascii="Arial" w:cs="Arial" w:eastAsia="Arial" w:hAnsi="Arial"/>
          <w:sz w:val="16"/>
          <w:szCs w:val="16"/>
          <w:color w:val="auto"/>
        </w:rPr>
      </w:pPr>
    </w:p>
    <w:p>
      <w:pPr>
        <w:ind w:left="500" w:right="280" w:hanging="500"/>
        <w:spacing w:after="0" w:line="265"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decrease in sales of walk power mowers due to adverse spring weather conditions that negatively impacted demand and our sales during the key selling period.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the decrease in residential segment net sales were:</w:t>
      </w:r>
    </w:p>
    <w:p>
      <w:pPr>
        <w:spacing w:after="0" w:line="217" w:lineRule="exact"/>
        <w:rPr>
          <w:sz w:val="20"/>
          <w:szCs w:val="20"/>
          <w:color w:val="auto"/>
        </w:rPr>
      </w:pPr>
    </w:p>
    <w:p>
      <w:pPr>
        <w:ind w:left="500" w:hanging="50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sales of Pope irrigation products in Australia as a result of dry weather conditions in that region.</w:t>
      </w:r>
    </w:p>
    <w:p>
      <w:pPr>
        <w:spacing w:after="0" w:line="24" w:lineRule="exact"/>
        <w:rPr>
          <w:rFonts w:ascii="Arial" w:cs="Arial" w:eastAsia="Arial" w:hAnsi="Arial"/>
          <w:sz w:val="16"/>
          <w:szCs w:val="16"/>
          <w:color w:val="auto"/>
        </w:rPr>
      </w:pPr>
    </w:p>
    <w:p>
      <w:pPr>
        <w:ind w:left="500" w:right="80" w:hanging="500"/>
        <w:spacing w:after="0" w:line="265"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Higher shipments and demand of zero-turn radius riding mowers and handheld trimmer and blower products due mainly to positive customer response to newly introduced and enhanced products, as well as favorable fall weather conditions.</w:t>
      </w:r>
    </w:p>
    <w:p>
      <w:pPr>
        <w:spacing w:after="0" w:line="151" w:lineRule="exact"/>
        <w:rPr>
          <w:sz w:val="20"/>
          <w:szCs w:val="20"/>
          <w:color w:val="auto"/>
        </w:rPr>
      </w:pPr>
    </w:p>
    <w:p>
      <w:pPr>
        <w:ind w:firstLine="136"/>
        <w:spacing w:after="0" w:line="257" w:lineRule="auto"/>
        <w:rPr>
          <w:sz w:val="20"/>
          <w:szCs w:val="20"/>
          <w:color w:val="auto"/>
        </w:rPr>
      </w:pPr>
      <w:r>
        <w:rPr>
          <w:rFonts w:ascii="Arial" w:cs="Arial" w:eastAsia="Arial" w:hAnsi="Arial"/>
          <w:sz w:val="16"/>
          <w:szCs w:val="16"/>
          <w:color w:val="auto"/>
        </w:rPr>
        <w:t>Worldwide net sales for the residential segment in fiscal 2012 were down by 2.6 percent compared to fiscal 2011 primarily as a result of lower shipments and demand for our snow thrower products and service parts due to the lack of snowfall during the 2011-2012 winter season. Somewhat offsetting the decrease in residential segment net sales included higher shipments and demand of walk power mowers, zero-turn radius riding mowers, and trimmers due to positive customer response to newly introduced products and favorable weather conditions that drove strong demand. Sales of Pope products in Australia were also up due to more favorable weather conditions in fiscal 2012 compared to fiscal 2011.</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Operating Earnings. </w:t>
      </w:r>
      <w:r>
        <w:rPr>
          <w:rFonts w:ascii="Arial" w:cs="Arial" w:eastAsia="Arial" w:hAnsi="Arial"/>
          <w:sz w:val="16"/>
          <w:szCs w:val="16"/>
          <w:color w:val="auto"/>
        </w:rPr>
        <w:t>Operating earnings for the residential segment in fiscal 2013 increased 7.2 percent compared to fiscal 2012. Expressed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net sales, residential segment operating margins increased 90 basis points to 10.4 percent in fiscal 2013 compared to 9.5 percent in fiscal 2012. The following factors impacted residential segment operating earnings:</w:t>
      </w:r>
    </w:p>
    <w:p>
      <w:pPr>
        <w:spacing w:after="0" w:line="149" w:lineRule="exact"/>
        <w:rPr>
          <w:sz w:val="20"/>
          <w:szCs w:val="20"/>
          <w:color w:val="auto"/>
        </w:rPr>
      </w:pPr>
    </w:p>
    <w:p>
      <w:pPr>
        <w:ind w:left="500" w:right="320" w:hanging="500"/>
        <w:spacing w:after="0" w:line="29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Higher gross margins from cost reduction efforts and lower commodity costs, somewhat offset by unabsorbed manufacturing costs from lower plant utilization as we cut production due to lower sales volumes of snow thrower products and walk power mowers.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500" w:hanging="50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Higher SG&amp;A expense rate due to fixed SG&amp;A costs over lower sales volumes, somewhat offset by lower warranty expense.</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Higher other income due to a recovery from a litigation settlement.</w:t>
      </w:r>
    </w:p>
    <w:p>
      <w:pPr>
        <w:spacing w:after="0" w:line="186" w:lineRule="exact"/>
        <w:rPr>
          <w:sz w:val="20"/>
          <w:szCs w:val="20"/>
          <w:color w:val="auto"/>
        </w:rPr>
      </w:pPr>
    </w:p>
    <w:p>
      <w:pPr>
        <w:ind w:right="100" w:firstLine="136"/>
        <w:spacing w:after="0" w:line="254" w:lineRule="auto"/>
        <w:rPr>
          <w:sz w:val="20"/>
          <w:szCs w:val="20"/>
          <w:color w:val="auto"/>
        </w:rPr>
      </w:pPr>
      <w:r>
        <w:rPr>
          <w:rFonts w:ascii="Arial" w:cs="Arial" w:eastAsia="Arial" w:hAnsi="Arial"/>
          <w:sz w:val="16"/>
          <w:szCs w:val="16"/>
          <w:color w:val="auto"/>
        </w:rPr>
        <w:t>Operating earnings for the residential segment in fiscal 2012 increased 6.4 percent compared to fiscal 2011. Expressed as a percentage of net sales, residential segment operating margins increased 80 basis points to 9.5 percent in fiscal 2012 compared to 8.7 percent in fiscal 2011 due to higher gross margins from costs incurred in fiscal 2011 associated with a rework for a non-safety quality issue that affected a large number of our walk power mowers that was not duplicated in fiscal 2012, somewhat offset by unfavorable product mix and higher commodity costs. Additionally, lower SG&amp;A expense, mainly from a decrease in marketing and warranty expense related to costs incurred in fiscal 2011 for incentive programs and special warranty modifications, respectively, that were not duplicated in fiscal 2012, contributed to our residential segment operating margin improvement in fiscal 2012 as compared to fiscal 2011.</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3840" w:type="dxa"/>
            <w:vAlign w:val="bottom"/>
            <w:tcBorders>
              <w:top w:val="single" w:sz="8" w:color="auto"/>
            </w:tcBorders>
            <w:gridSpan w:val="2"/>
            <w:vMerge w:val="restart"/>
          </w:tcPr>
          <w:p>
            <w:pPr>
              <w:jc w:val="right"/>
              <w:ind w:right="113"/>
              <w:spacing w:after="0"/>
              <w:rPr>
                <w:sz w:val="20"/>
                <w:szCs w:val="20"/>
                <w:color w:val="auto"/>
              </w:rPr>
            </w:pPr>
            <w:r>
              <w:rPr>
                <w:rFonts w:ascii="Arial" w:cs="Arial" w:eastAsia="Arial" w:hAnsi="Arial"/>
                <w:sz w:val="13"/>
                <w:szCs w:val="13"/>
                <w:b w:val="1"/>
                <w:bCs w:val="1"/>
                <w:color w:val="auto"/>
              </w:rPr>
              <w:t>2013</w:t>
            </w:r>
          </w:p>
        </w:tc>
        <w:tc>
          <w:tcPr>
            <w:tcW w:w="580" w:type="dxa"/>
            <w:vAlign w:val="bottom"/>
            <w:tcBorders>
              <w:top w:val="single" w:sz="8" w:color="auto"/>
            </w:tcBorders>
            <w:gridSpan w:val="2"/>
            <w:vMerge w:val="restart"/>
          </w:tcPr>
          <w:p>
            <w:pPr>
              <w:jc w:val="right"/>
              <w:ind w:right="133"/>
              <w:spacing w:after="0"/>
              <w:rPr>
                <w:sz w:val="20"/>
                <w:szCs w:val="20"/>
                <w:color w:val="auto"/>
              </w:rPr>
            </w:pPr>
            <w:r>
              <w:rPr>
                <w:rFonts w:ascii="Arial" w:cs="Arial" w:eastAsia="Arial" w:hAnsi="Arial"/>
                <w:sz w:val="13"/>
                <w:szCs w:val="13"/>
                <w:b w:val="1"/>
                <w:bCs w:val="1"/>
                <w:color w:val="auto"/>
              </w:rPr>
              <w:t>2012</w:t>
            </w:r>
          </w:p>
        </w:tc>
        <w:tc>
          <w:tcPr>
            <w:tcW w:w="4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Fiscal years ended October 31</w:t>
            </w:r>
          </w:p>
        </w:tc>
        <w:tc>
          <w:tcPr>
            <w:tcW w:w="3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sales</w:t>
            </w:r>
          </w:p>
        </w:tc>
        <w:tc>
          <w:tcPr>
            <w:tcW w:w="34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3"/>
                <w:szCs w:val="13"/>
                <w:b w:val="1"/>
                <w:bCs w:val="1"/>
                <w:color w:val="auto"/>
              </w:rPr>
              <w:t>21.8</w:t>
            </w:r>
          </w:p>
        </w:tc>
        <w:tc>
          <w:tcPr>
            <w:tcW w:w="1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21.8</w:t>
            </w:r>
          </w:p>
        </w:tc>
        <w:tc>
          <w:tcPr>
            <w:tcW w:w="1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ind w:left="80"/>
              <w:spacing w:after="0"/>
              <w:rPr>
                <w:sz w:val="20"/>
                <w:szCs w:val="20"/>
                <w:color w:val="auto"/>
              </w:rPr>
            </w:pPr>
            <w:r>
              <w:rPr>
                <w:rFonts w:ascii="Arial" w:cs="Arial" w:eastAsia="Arial" w:hAnsi="Arial"/>
                <w:sz w:val="13"/>
                <w:szCs w:val="13"/>
                <w:b w:val="1"/>
                <w:bCs w:val="1"/>
                <w:color w:val="auto"/>
              </w:rPr>
              <w:t>% change from prior year</w:t>
            </w:r>
          </w:p>
        </w:tc>
        <w:tc>
          <w:tcPr>
            <w:tcW w:w="34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0.0%</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loss</w:t>
            </w:r>
          </w:p>
        </w:tc>
        <w:tc>
          <w:tcPr>
            <w:tcW w:w="3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99"/>
              </w:rPr>
              <w:t>(89.7)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99"/>
              </w:rPr>
              <w:t>(93.7)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(84.6)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other segment includes sales from our wholly owned domestic distribution companies less sales from the professional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residential segments to those distribution companies. The other segment net sales in fiscal 2013 were even at $21.8 million compared to fiscal 2012.</w:t>
      </w:r>
    </w:p>
    <w:p>
      <w:pPr>
        <w:spacing w:after="0" w:line="131" w:lineRule="exact"/>
        <w:rPr>
          <w:sz w:val="20"/>
          <w:szCs w:val="20"/>
          <w:color w:val="auto"/>
        </w:rPr>
      </w:pPr>
    </w:p>
    <w:p>
      <w:pPr>
        <w:ind w:right="140" w:firstLine="133"/>
        <w:spacing w:after="0" w:line="291" w:lineRule="auto"/>
        <w:rPr>
          <w:sz w:val="20"/>
          <w:szCs w:val="20"/>
          <w:color w:val="auto"/>
        </w:rPr>
      </w:pPr>
      <w:r>
        <w:rPr>
          <w:rFonts w:ascii="Arial" w:cs="Arial" w:eastAsia="Arial" w:hAnsi="Arial"/>
          <w:sz w:val="16"/>
          <w:szCs w:val="16"/>
          <w:color w:val="auto"/>
        </w:rPr>
        <w:t>The other segment net sales in fiscal 2012 increased 3.6 percent compared to fiscal 2011 due to increased sales at our U.S. Midwestern-based distribution company.</w:t>
      </w:r>
    </w:p>
    <w:p>
      <w:pPr>
        <w:spacing w:after="0" w:line="131" w:lineRule="exact"/>
        <w:rPr>
          <w:sz w:val="20"/>
          <w:szCs w:val="20"/>
          <w:color w:val="auto"/>
        </w:rPr>
      </w:pPr>
    </w:p>
    <w:p>
      <w:pPr>
        <w:jc w:val="both"/>
        <w:ind w:right="300"/>
        <w:spacing w:after="0" w:line="268" w:lineRule="auto"/>
        <w:rPr>
          <w:sz w:val="20"/>
          <w:szCs w:val="20"/>
          <w:color w:val="auto"/>
        </w:rPr>
      </w:pPr>
      <w:r>
        <w:rPr>
          <w:rFonts w:ascii="Arial" w:cs="Arial" w:eastAsia="Arial" w:hAnsi="Arial"/>
          <w:sz w:val="16"/>
          <w:szCs w:val="16"/>
          <w:b w:val="1"/>
          <w:bCs w:val="1"/>
          <w:i w:val="1"/>
          <w:iCs w:val="1"/>
          <w:color w:val="auto"/>
        </w:rPr>
        <w:t xml:space="preserve">Operating Loss. </w:t>
      </w:r>
      <w:r>
        <w:rPr>
          <w:rFonts w:ascii="Arial" w:cs="Arial" w:eastAsia="Arial" w:hAnsi="Arial"/>
          <w:sz w:val="16"/>
          <w:szCs w:val="16"/>
          <w:color w:val="auto"/>
        </w:rPr>
        <w:t>Operating loss for the other segment in fiscal 2013 decreased by 4.3 percent compared to fiscal 2012. This loss decrease was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attributable to litigation recovery in fiscal 2013, lower foreign currency exchange rate losses, and an increase in income from our equity investment in Red Iron.</w:t>
      </w:r>
    </w:p>
    <w:p>
      <w:pPr>
        <w:spacing w:after="0" w:line="149" w:lineRule="exact"/>
        <w:rPr>
          <w:sz w:val="20"/>
          <w:szCs w:val="20"/>
          <w:color w:val="auto"/>
        </w:rPr>
      </w:pPr>
    </w:p>
    <w:p>
      <w:pPr>
        <w:ind w:right="100" w:firstLine="136"/>
        <w:spacing w:after="0" w:line="268" w:lineRule="auto"/>
        <w:rPr>
          <w:sz w:val="20"/>
          <w:szCs w:val="20"/>
          <w:color w:val="auto"/>
        </w:rPr>
      </w:pPr>
      <w:r>
        <w:rPr>
          <w:rFonts w:ascii="Arial" w:cs="Arial" w:eastAsia="Arial" w:hAnsi="Arial"/>
          <w:sz w:val="16"/>
          <w:szCs w:val="16"/>
          <w:color w:val="auto"/>
        </w:rPr>
        <w:t>Operating loss for the other segment in fiscal 2012 increased by 10.8 percent compared to fiscal 2011. This loss increase was primarily attributable to an increase in our self-insured health care costs and higher bad debt expense, somewhat offset by an increase in income from our equity investment in Red Iron and lower incentive compensation expense.</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w:t>
      </w:r>
    </w:p>
    <w:p>
      <w:pPr>
        <w:spacing w:after="0" w:line="20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Throughout fiscal 2013, our average net working capital increased primarily from higher average inventory levels as we built inventory in anticipation of higher demand for our products prior to the phase-in of applicable Tier 4 diesel engine emission requirements, as well as higher inventory levels from the rollout of product offerings due to the growth of our rental and construction business. Additionally, average inventory levels were up for our residential segment due to lower sales volumes as a result of unfavorable weather conditions in the first half of fiscal 2013.</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highlights several key measures of our working capital performance.</w:t>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151"/>
        </w:trPr>
        <w:tc>
          <w:tcPr>
            <w:tcW w:w="5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(Dollars in millions)</w:t>
            </w:r>
          </w:p>
        </w:tc>
        <w:tc>
          <w:tcPr>
            <w:tcW w:w="3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362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Average cash and cash equivalents</w:t>
            </w:r>
          </w:p>
        </w:tc>
        <w:tc>
          <w:tcPr>
            <w:tcW w:w="362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$ 123.0</w:t>
            </w: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$ 104.3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b w:val="1"/>
                <w:bCs w:val="1"/>
                <w:color w:val="auto"/>
              </w:rPr>
              <w:t>Average receivables, net</w:t>
            </w:r>
          </w:p>
        </w:tc>
        <w:tc>
          <w:tcPr>
            <w:tcW w:w="3620" w:type="dxa"/>
            <w:vAlign w:val="bottom"/>
          </w:tcPr>
          <w:p>
            <w:pPr>
              <w:jc w:val="right"/>
              <w:ind w:right="13"/>
              <w:spacing w:after="0"/>
              <w:rPr>
                <w:sz w:val="20"/>
                <w:szCs w:val="20"/>
                <w:color w:val="auto"/>
              </w:rPr>
            </w:pPr>
            <w:r>
              <w:rPr>
                <w:rFonts w:ascii="Arial" w:cs="Arial" w:eastAsia="Arial" w:hAnsi="Arial"/>
                <w:sz w:val="13"/>
                <w:szCs w:val="13"/>
                <w:b w:val="1"/>
                <w:bCs w:val="1"/>
                <w:color w:val="auto"/>
              </w:rPr>
              <w:t>198.9</w:t>
            </w:r>
          </w:p>
        </w:tc>
        <w:tc>
          <w:tcPr>
            <w:tcW w:w="500" w:type="dxa"/>
            <w:vAlign w:val="bottom"/>
          </w:tcPr>
          <w:p>
            <w:pPr>
              <w:jc w:val="right"/>
              <w:spacing w:after="0"/>
              <w:rPr>
                <w:sz w:val="20"/>
                <w:szCs w:val="20"/>
                <w:color w:val="auto"/>
              </w:rPr>
            </w:pPr>
            <w:r>
              <w:rPr>
                <w:rFonts w:ascii="Arial" w:cs="Arial" w:eastAsia="Arial" w:hAnsi="Arial"/>
                <w:sz w:val="13"/>
                <w:szCs w:val="13"/>
                <w:color w:val="auto"/>
              </w:rPr>
              <w:t>185.2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Average inventories</w:t>
            </w:r>
          </w:p>
        </w:tc>
        <w:tc>
          <w:tcPr>
            <w:tcW w:w="36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298.0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b w:val="1"/>
                <w:bCs w:val="1"/>
                <w:color w:val="auto"/>
              </w:rPr>
              <w:t>Average accounts payable</w:t>
            </w:r>
          </w:p>
        </w:tc>
        <w:tc>
          <w:tcPr>
            <w:tcW w:w="3620" w:type="dxa"/>
            <w:vAlign w:val="bottom"/>
          </w:tcPr>
          <w:p>
            <w:pPr>
              <w:jc w:val="right"/>
              <w:ind w:right="13"/>
              <w:spacing w:after="0"/>
              <w:rPr>
                <w:sz w:val="20"/>
                <w:szCs w:val="20"/>
                <w:color w:val="auto"/>
              </w:rPr>
            </w:pPr>
            <w:r>
              <w:rPr>
                <w:rFonts w:ascii="Arial" w:cs="Arial" w:eastAsia="Arial" w:hAnsi="Arial"/>
                <w:sz w:val="13"/>
                <w:szCs w:val="13"/>
                <w:b w:val="1"/>
                <w:bCs w:val="1"/>
                <w:color w:val="auto"/>
              </w:rPr>
              <w:t>158.3</w:t>
            </w:r>
          </w:p>
        </w:tc>
        <w:tc>
          <w:tcPr>
            <w:tcW w:w="500" w:type="dxa"/>
            <w:vAlign w:val="bottom"/>
          </w:tcPr>
          <w:p>
            <w:pPr>
              <w:jc w:val="right"/>
              <w:spacing w:after="0"/>
              <w:rPr>
                <w:sz w:val="20"/>
                <w:szCs w:val="20"/>
                <w:color w:val="auto"/>
              </w:rPr>
            </w:pPr>
            <w:r>
              <w:rPr>
                <w:rFonts w:ascii="Arial" w:cs="Arial" w:eastAsia="Arial" w:hAnsi="Arial"/>
                <w:sz w:val="13"/>
                <w:szCs w:val="13"/>
                <w:color w:val="auto"/>
              </w:rPr>
              <w:t>149.0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Average days outstanding for receivables</w:t>
            </w:r>
          </w:p>
        </w:tc>
        <w:tc>
          <w:tcPr>
            <w:tcW w:w="36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Average inventory turnover (times)</w:t>
            </w:r>
          </w:p>
        </w:tc>
        <w:tc>
          <w:tcPr>
            <w:tcW w:w="3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4.42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127"/>
        <w:spacing w:after="0" w:line="257" w:lineRule="auto"/>
        <w:rPr>
          <w:sz w:val="20"/>
          <w:szCs w:val="20"/>
          <w:color w:val="auto"/>
        </w:rPr>
      </w:pPr>
      <w:r>
        <w:rPr>
          <w:rFonts w:ascii="Arial" w:cs="Arial" w:eastAsia="Arial" w:hAnsi="Arial"/>
          <w:sz w:val="16"/>
          <w:szCs w:val="16"/>
          <w:color w:val="auto"/>
        </w:rPr>
        <w:t>Average net receivables increased by 7.4 percent in fiscal 2013 compared to fiscal 2012 and our average days outstanding for receivables were slightly up, to 36 days in fiscal 2013 compared to 35 days in fiscal 2012 primarily as a result of customer mix. Average inventories increased by 14.3 percent in fiscal 2013 compared to fiscal 2012, as described above. Additionally, average trade payables increased by 6.2 percent due mainly to higher volume of purchases and our supply chain initiatives. As a result of higher average inventory levels and receivables, our average net working capital (accounts receivable plus inventory less trade payables) as a percentage of net sales increased to 16.6 percent as of the end of fiscal 2013 compared to 15.2 percent as of the end of fiscal 2012.</w:t>
      </w:r>
    </w:p>
    <w:p>
      <w:pPr>
        <w:spacing w:after="0" w:line="156" w:lineRule="exact"/>
        <w:rPr>
          <w:sz w:val="20"/>
          <w:szCs w:val="20"/>
          <w:color w:val="auto"/>
        </w:rPr>
      </w:pPr>
    </w:p>
    <w:p>
      <w:pPr>
        <w:ind w:right="20" w:firstLine="136"/>
        <w:spacing w:after="0" w:line="253" w:lineRule="auto"/>
        <w:rPr>
          <w:sz w:val="20"/>
          <w:szCs w:val="20"/>
          <w:color w:val="auto"/>
        </w:rPr>
      </w:pPr>
      <w:r>
        <w:rPr>
          <w:rFonts w:ascii="Arial" w:cs="Arial" w:eastAsia="Arial" w:hAnsi="Arial"/>
          <w:sz w:val="16"/>
          <w:szCs w:val="16"/>
          <w:color w:val="auto"/>
        </w:rPr>
        <w:t>In fiscal 2014, we intend to place emphasis on improving asset utilization, with an increased focus on reducing the amount of working capital in the supply chain, adjusting production plans, and maintaining or improving order replenishment and service levels to end users. Notwithstanding these efforts, we expect average receivables to increase in fiscal 2014 compared to fiscal 2013 due to anticipated higher sales volumes. We anticipate average inventory turnover to improve and average inventory levels to be slightly lower in fiscal 2014 as compared to fiscal 2013 due, in part, to increasing emphasis on improving asset management. Additionally, inventory levels in fiscal 2013 were higher for products impacted by Tier 4 diesel engine emission requirements, discussed previously, that will not be duplicated to the same extent in fiscal 2014. We also anticipate average accounts payable to increase in fiscal 2014 as compared to fiscal 2013, driven by continued focus on our supply chain initiatives.</w:t>
      </w:r>
    </w:p>
    <w:p>
      <w:pPr>
        <w:sectPr>
          <w:pgSz w:w="11900" w:h="16838" w:orient="portrait"/>
          <w:cols w:equalWidth="0" w:num="1">
            <w:col w:w="11420"/>
          </w:cols>
          <w:pgMar w:left="240" w:top="122"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Long-Term Assets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Fiscal 2013 capital expenditures of $49.4 million were higher by 14.3 percent compared to fiscal 2012. This increase was primarily attributable to capital expenditures for new product tooling, replacement production equipment, implementation of new information systems, and expansion of facilities. Capital expenditures for fiscal 2014 are planned to be approximately $65 million as we expect to continue to invest in new product tooling and replacement production equipment, as well as expansion and construction of facilities, including the expansion of our corporate facilities located in Bloomington, Minnesota, which includes the construction of a new corporate facility to accommodate our need to expand space available for our product development and test capacities.</w:t>
      </w:r>
    </w:p>
    <w:p>
      <w:pPr>
        <w:spacing w:after="0" w:line="156" w:lineRule="exact"/>
        <w:rPr>
          <w:sz w:val="20"/>
          <w:szCs w:val="20"/>
          <w:color w:val="auto"/>
        </w:rPr>
      </w:pPr>
    </w:p>
    <w:p>
      <w:pPr>
        <w:ind w:right="120" w:firstLine="136"/>
        <w:spacing w:after="0" w:line="257" w:lineRule="auto"/>
        <w:rPr>
          <w:sz w:val="20"/>
          <w:szCs w:val="20"/>
          <w:color w:val="auto"/>
        </w:rPr>
      </w:pPr>
      <w:r>
        <w:rPr>
          <w:rFonts w:ascii="Arial" w:cs="Arial" w:eastAsia="Arial" w:hAnsi="Arial"/>
          <w:sz w:val="16"/>
          <w:szCs w:val="16"/>
          <w:color w:val="auto"/>
        </w:rPr>
        <w:t>Long-term assets as of October 31, 2013 were $349.5 million compared to $323.1 million as of October 31, 2012, an increase of 8.2 percent. This increase was due primarily to a higher amount of capital expenditures in fiscal 2013 compared to fiscal 2012, as discussed above, and an increase in long-term deferred income taxes. Included in long-term assets as of October 31, 2013 and 2012 was goodwill in the amount of $91.9 million and $92.0 million, respectively. Based on our annual impairment analysis, we determined there was no goodwill impairment for any of our reporting units as their related fair values were substantially in excess of their carrying values.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components of our total capitalization and debt-to-capitalization ratio.</w:t>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151"/>
        </w:trPr>
        <w:tc>
          <w:tcPr>
            <w:tcW w:w="5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(Dollars in millions)</w:t>
            </w:r>
          </w:p>
        </w:tc>
        <w:tc>
          <w:tcPr>
            <w:tcW w:w="36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60" w:type="dxa"/>
            <w:vAlign w:val="bottom"/>
            <w:gridSpan w:val="2"/>
          </w:tcPr>
          <w:p>
            <w:pPr>
              <w:spacing w:after="0"/>
              <w:rPr>
                <w:sz w:val="20"/>
                <w:szCs w:val="20"/>
                <w:color w:val="auto"/>
              </w:rPr>
            </w:pPr>
            <w:r>
              <w:rPr>
                <w:rFonts w:ascii="Arial" w:cs="Arial" w:eastAsia="Arial" w:hAnsi="Arial"/>
                <w:sz w:val="13"/>
                <w:szCs w:val="13"/>
                <w:color w:val="auto"/>
              </w:rPr>
              <w:t>October 31</w:t>
            </w:r>
          </w:p>
        </w:tc>
        <w:tc>
          <w:tcPr>
            <w:tcW w:w="3680" w:type="dxa"/>
            <w:vAlign w:val="bottom"/>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Long-term debt, including current portion</w:t>
            </w:r>
          </w:p>
        </w:tc>
        <w:tc>
          <w:tcPr>
            <w:tcW w:w="368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b w:val="1"/>
                <w:bCs w:val="1"/>
                <w:color w:val="auto"/>
              </w:rPr>
              <w:t>$ 223.5</w:t>
            </w:r>
          </w:p>
        </w:tc>
        <w:tc>
          <w:tcPr>
            <w:tcW w:w="4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6"/>
              </w:rPr>
              <w:t>$ 225.3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3680" w:type="dxa"/>
            <w:vAlign w:val="bottom"/>
          </w:tcPr>
          <w:p>
            <w:pPr>
              <w:jc w:val="right"/>
              <w:ind w:right="73"/>
              <w:spacing w:after="0"/>
              <w:rPr>
                <w:sz w:val="20"/>
                <w:szCs w:val="20"/>
                <w:color w:val="auto"/>
              </w:rPr>
            </w:pPr>
            <w:r>
              <w:rPr>
                <w:rFonts w:ascii="Arial" w:cs="Arial" w:eastAsia="Arial" w:hAnsi="Arial"/>
                <w:sz w:val="13"/>
                <w:szCs w:val="13"/>
                <w:b w:val="1"/>
                <w:bCs w:val="1"/>
                <w:color w:val="auto"/>
              </w:rPr>
              <w:t>358.7</w:t>
            </w:r>
          </w:p>
        </w:tc>
        <w:tc>
          <w:tcPr>
            <w:tcW w:w="440" w:type="dxa"/>
            <w:vAlign w:val="bottom"/>
          </w:tcPr>
          <w:p>
            <w:pPr>
              <w:jc w:val="right"/>
              <w:spacing w:after="0"/>
              <w:rPr>
                <w:sz w:val="20"/>
                <w:szCs w:val="20"/>
                <w:color w:val="auto"/>
              </w:rPr>
            </w:pPr>
            <w:r>
              <w:rPr>
                <w:rFonts w:ascii="Arial" w:cs="Arial" w:eastAsia="Arial" w:hAnsi="Arial"/>
                <w:sz w:val="13"/>
                <w:szCs w:val="13"/>
                <w:color w:val="auto"/>
              </w:rPr>
              <w:t>312.4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Debt-to-capitalization ratio</w:t>
            </w:r>
          </w:p>
        </w:tc>
        <w:tc>
          <w:tcPr>
            <w:tcW w:w="3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680" w:firstLine="136"/>
        <w:spacing w:after="0" w:line="291" w:lineRule="auto"/>
        <w:rPr>
          <w:sz w:val="20"/>
          <w:szCs w:val="20"/>
          <w:color w:val="auto"/>
        </w:rPr>
      </w:pPr>
      <w:r>
        <w:rPr>
          <w:rFonts w:ascii="Arial" w:cs="Arial" w:eastAsia="Arial" w:hAnsi="Arial"/>
          <w:sz w:val="16"/>
          <w:szCs w:val="16"/>
          <w:color w:val="auto"/>
        </w:rPr>
        <w:t>Our debt-to-capitalization ratio decreased in fiscal 2013 compared to fiscal 2012 due to an increase in stockholders' equity from higher net earnings somewhat offset by an increase in dividends paid and repurchases of shares of our common stock in fiscal 2013 as compared to fiscal 2012.</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October 31, 2013, cash and short-term investments held by our foreign subsidiaries that are not available to fund domestic operations unless repatriated were $24.8 million. We currently do not intend to repatriate this cash held by our foreign subsidiaries; however, if circumstances changed and these funds were needed for our U.S. operations, we would be required to accrue and pay U.S. taxes to repatriate these funds.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Dividends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Each quarter in fiscal 2013, our Board of Directors declared a cash dividend of $0.14 per share, which was a 27.3 percent increase over our cash dividend of $0.11 per share paid each quarter in fiscal 2012. As announced on December 5, 2013, our Board of Directors recently increased our fiscal 2014 first quarter cash dividend by 42.9 percent to $0.20 per share from the quarterly cash dividend paid in the first quarter of fiscal 2013. Additionally, during the first quarter of fiscal 2014, we changed our annual dividend guideline from 20 to 30 percent to 30 to 40 percent of our three-year average net earnings per share for the current and previous two fiscal years.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 of Common Stock</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On March 12, 2013, following approval by our shareholders at our 2013 annual meeting of shareholders, we amended our Restated Certificate of Incorporation by filing a Certificate of Amendment to Restated Certificate of Incorporation to increase the number of authorized shares of common stock from 100 million to 175 million.</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Cash flows provided by (used in) operating, investing, and financing activities during the past three fiscal years are shown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color w:val="auto"/>
              </w:rPr>
              <w:t>Cash Provided by</w:t>
            </w:r>
          </w:p>
        </w:tc>
        <w:tc>
          <w:tcPr>
            <w:tcW w:w="120" w:type="dxa"/>
            <w:vAlign w:val="bottom"/>
          </w:tcPr>
          <w:p>
            <w:pPr>
              <w:spacing w:after="0"/>
              <w:rPr>
                <w:sz w:val="16"/>
                <w:szCs w:val="16"/>
                <w:color w:val="auto"/>
              </w:rPr>
            </w:pPr>
          </w:p>
        </w:tc>
      </w:tr>
      <w:tr>
        <w:trPr>
          <w:trHeight w:val="197"/>
        </w:trPr>
        <w:tc>
          <w:tcPr>
            <w:tcW w:w="9620" w:type="dxa"/>
            <w:vAlign w:val="bottom"/>
          </w:tcPr>
          <w:p>
            <w:pPr>
              <w:spacing w:after="0"/>
              <w:rPr>
                <w:sz w:val="20"/>
                <w:szCs w:val="20"/>
                <w:color w:val="auto"/>
              </w:rPr>
            </w:pPr>
            <w:r>
              <w:rPr>
                <w:rFonts w:ascii="Arial" w:cs="Arial" w:eastAsia="Arial" w:hAnsi="Arial"/>
                <w:sz w:val="13"/>
                <w:szCs w:val="13"/>
                <w:color w:val="auto"/>
              </w:rPr>
              <w:t>(Dollars in millions)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3"/>
                <w:szCs w:val="13"/>
                <w:color w:val="auto"/>
              </w:rPr>
              <w:t>(Used in)</w:t>
            </w:r>
          </w:p>
        </w:tc>
      </w:tr>
      <w:tr>
        <w:trPr>
          <w:trHeight w:val="168"/>
        </w:trPr>
        <w:tc>
          <w:tcPr>
            <w:tcW w:w="9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2012</w:t>
            </w:r>
          </w:p>
        </w:tc>
        <w:tc>
          <w:tcPr>
            <w:tcW w:w="1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activities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221.9</w:t>
            </w:r>
          </w:p>
        </w:tc>
        <w:tc>
          <w:tcPr>
            <w:tcW w:w="14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w w:val="98"/>
              </w:rPr>
              <w:t>185.8</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113.9</w:t>
            </w:r>
          </w:p>
        </w:tc>
        <w:tc>
          <w:tcPr>
            <w:tcW w:w="120" w:type="dxa"/>
            <w:vAlign w:val="bottom"/>
            <w:shd w:val="clear" w:color="auto" w:fill="CCEEFF"/>
          </w:tcPr>
          <w:p>
            <w:pPr>
              <w:spacing w:after="0"/>
              <w:rPr>
                <w:sz w:val="12"/>
                <w:szCs w:val="12"/>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(44.8)</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(47.3)</w:t>
            </w:r>
          </w:p>
        </w:tc>
        <w:tc>
          <w:tcPr>
            <w:tcW w:w="14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(69.3)</w:t>
            </w:r>
          </w:p>
        </w:tc>
      </w:tr>
      <w:tr>
        <w:trPr>
          <w:trHeight w:val="151"/>
        </w:trPr>
        <w:tc>
          <w:tcPr>
            <w:tcW w:w="9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(118.3)</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1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7"/>
              </w:rPr>
              <w:t>(140.1)</w:t>
            </w:r>
          </w:p>
        </w:tc>
      </w:tr>
      <w:tr>
        <w:trPr>
          <w:trHeight w:val="176"/>
        </w:trPr>
        <w:tc>
          <w:tcPr>
            <w:tcW w:w="9620" w:type="dxa"/>
            <w:vAlign w:val="bottom"/>
          </w:tcPr>
          <w:p>
            <w:pPr>
              <w:spacing w:after="0"/>
              <w:rPr>
                <w:sz w:val="20"/>
                <w:szCs w:val="20"/>
                <w:color w:val="auto"/>
              </w:rPr>
            </w:pPr>
            <w:r>
              <w:rPr>
                <w:rFonts w:ascii="Arial" w:cs="Arial" w:eastAsia="Arial" w:hAnsi="Arial"/>
                <w:sz w:val="13"/>
                <w:szCs w:val="13"/>
                <w:b w:val="1"/>
                <w:bCs w:val="1"/>
                <w:color w:val="auto"/>
              </w:rPr>
              <w:t>Effect of exchange rates on cash</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(1.7)</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9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cash provided (used)</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57.1</w:t>
            </w:r>
          </w:p>
        </w:tc>
        <w:tc>
          <w:tcPr>
            <w:tcW w:w="14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45.0</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(96.5)</w:t>
            </w:r>
          </w:p>
        </w:tc>
      </w:tr>
      <w:tr>
        <w:trPr>
          <w:trHeight w:val="25"/>
        </w:trPr>
        <w:tc>
          <w:tcPr>
            <w:tcW w:w="9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168"/>
        </w:trPr>
        <w:tc>
          <w:tcPr>
            <w:tcW w:w="9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Cash and cash equivalents as of fiscal year end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183.0</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98"/>
              </w:rPr>
              <w:t>125.9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80.9</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bl>
    <w:p>
      <w:pPr>
        <w:spacing w:after="0" w:line="184" w:lineRule="exact"/>
        <w:rPr>
          <w:sz w:val="20"/>
          <w:szCs w:val="20"/>
          <w:color w:val="auto"/>
        </w:rPr>
      </w:pP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b w:val="1"/>
          <w:bCs w:val="1"/>
          <w:i w:val="1"/>
          <w:iCs w:val="1"/>
          <w:color w:val="auto"/>
        </w:rPr>
        <w:t xml:space="preserve">Cash Flows From Operating Activities. </w:t>
      </w:r>
      <w:r>
        <w:rPr>
          <w:rFonts w:ascii="Arial" w:cs="Arial" w:eastAsia="Arial" w:hAnsi="Arial"/>
          <w:sz w:val="16"/>
          <w:szCs w:val="16"/>
          <w:color w:val="auto"/>
        </w:rPr>
        <w:t>Our primary source of funds is cash generated from operations. In fiscal 2013, cash provided by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increased $36.1 million, or 19.4 percent, from fiscal 2012. This improvement was due to a decrease in inventory levels and higher net earnings, somewhat offset by an increase in accounts receivable.</w:t>
      </w:r>
    </w:p>
    <w:p>
      <w:pPr>
        <w:spacing w:after="0" w:line="149" w:lineRule="exact"/>
        <w:rPr>
          <w:sz w:val="20"/>
          <w:szCs w:val="20"/>
          <w:color w:val="auto"/>
        </w:rPr>
      </w:pPr>
    </w:p>
    <w:p>
      <w:pPr>
        <w:ind w:firstLine="136"/>
        <w:spacing w:after="0" w:line="291" w:lineRule="auto"/>
        <w:rPr>
          <w:sz w:val="20"/>
          <w:szCs w:val="20"/>
          <w:color w:val="auto"/>
        </w:rPr>
      </w:pPr>
      <w:r>
        <w:rPr>
          <w:rFonts w:ascii="Arial" w:cs="Arial" w:eastAsia="Arial" w:hAnsi="Arial"/>
          <w:sz w:val="16"/>
          <w:szCs w:val="16"/>
          <w:color w:val="auto"/>
        </w:rPr>
        <w:t>In fiscal 2012, cash provided by operating activities increased $71.9 million, or 63.2 percent, from fiscal 2011. This increase was due mainly to an increase in accounts payable and accrued liabilities as of the end of fiscal 2012 compared to the end of fiscal 2011, as well as higher net earnings.</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auto"/>
        </w:rPr>
        <w:t xml:space="preserve">Cash Flows From Investing Activities. </w:t>
      </w:r>
      <w:r>
        <w:rPr>
          <w:rFonts w:ascii="Arial" w:cs="Arial" w:eastAsia="Arial" w:hAnsi="Arial"/>
          <w:sz w:val="16"/>
          <w:szCs w:val="16"/>
          <w:color w:val="auto"/>
        </w:rPr>
        <w:t>Capital expenditures and acquisitions are a significant use of our capital resources. These investments are intended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sales growth for expanding markets and in new markets, help us to meet product demand, and increase our manufacturing efficiencies and capacity. Cash used in investing activities in fiscal 2013 decreased $2.6 million, or 5.4 percent, from fiscal 2012 due to lower amounts of cash utilized for acquisitions, somewhat offset by an increase in purchases of property, plant, and equipment.</w:t>
      </w:r>
    </w:p>
    <w:p>
      <w:pPr>
        <w:spacing w:after="0" w:line="156" w:lineRule="exact"/>
        <w:rPr>
          <w:sz w:val="20"/>
          <w:szCs w:val="20"/>
          <w:color w:val="auto"/>
        </w:rPr>
      </w:pPr>
    </w:p>
    <w:p>
      <w:pPr>
        <w:ind w:right="300" w:firstLine="136"/>
        <w:spacing w:after="0" w:line="291" w:lineRule="auto"/>
        <w:rPr>
          <w:sz w:val="20"/>
          <w:szCs w:val="20"/>
          <w:color w:val="auto"/>
        </w:rPr>
      </w:pPr>
      <w:r>
        <w:rPr>
          <w:rFonts w:ascii="Arial" w:cs="Arial" w:eastAsia="Arial" w:hAnsi="Arial"/>
          <w:sz w:val="16"/>
          <w:szCs w:val="16"/>
          <w:color w:val="auto"/>
        </w:rPr>
        <w:t>Cash used in investing activities was down 31.7 percent in fiscal 2012 compared to fiscal 2011 due mainly to lower levels of purchases of property, plant, and equipment and cash used for acquisitions.</w:t>
      </w:r>
    </w:p>
    <w:p>
      <w:pPr>
        <w:spacing w:after="0" w:line="131"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b w:val="1"/>
          <w:bCs w:val="1"/>
          <w:i w:val="1"/>
          <w:iCs w:val="1"/>
          <w:color w:val="auto"/>
        </w:rPr>
        <w:t xml:space="preserve">Cash Flows From Financing Activities. </w:t>
      </w:r>
      <w:r>
        <w:rPr>
          <w:rFonts w:ascii="Arial" w:cs="Arial" w:eastAsia="Arial" w:hAnsi="Arial"/>
          <w:sz w:val="16"/>
          <w:szCs w:val="16"/>
          <w:color w:val="auto"/>
        </w:rPr>
        <w:t>Cash used in financing activities increased $25.3 million, or 27.1 percent, in fiscal 2013 compared to fiscal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higher amounts of cash paid for dividends and repurchases of our common stock, as well as lower amounts of proceeds from exercises of stock options.</w:t>
      </w:r>
    </w:p>
    <w:p>
      <w:pPr>
        <w:spacing w:after="0" w:line="149" w:lineRule="exact"/>
        <w:rPr>
          <w:sz w:val="20"/>
          <w:szCs w:val="20"/>
          <w:color w:val="auto"/>
        </w:rPr>
      </w:pPr>
    </w:p>
    <w:p>
      <w:pPr>
        <w:ind w:right="40" w:firstLine="136"/>
        <w:spacing w:after="0" w:line="268" w:lineRule="auto"/>
        <w:rPr>
          <w:sz w:val="20"/>
          <w:szCs w:val="20"/>
          <w:color w:val="auto"/>
        </w:rPr>
      </w:pPr>
      <w:r>
        <w:rPr>
          <w:rFonts w:ascii="Arial" w:cs="Arial" w:eastAsia="Arial" w:hAnsi="Arial"/>
          <w:sz w:val="16"/>
          <w:szCs w:val="16"/>
          <w:color w:val="auto"/>
        </w:rPr>
        <w:t>Cash used in financing activities decreased by 33.6 percent in fiscal 2012 compared to fiscal 2011. This decrease was primarily attributable to lower amounts of cash utilized to repurchase our common stock in fiscal 2012 compared to fiscal 2011, plus an increase in proceeds from exercises of stock options and tax benefits from stock-based awards.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Lines and Other Capital Resources</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businesses are seasonal, with accounts receivable balances historically increasing between January and 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four-year revolving credit facility that expires in July 2015.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w:t>
      </w:r>
    </w:p>
    <w:p>
      <w:pPr>
        <w:ind w:right="180"/>
        <w:spacing w:after="0" w:line="250" w:lineRule="auto"/>
        <w:rPr>
          <w:sz w:val="20"/>
          <w:szCs w:val="20"/>
          <w:color w:val="auto"/>
        </w:rPr>
      </w:pPr>
      <w:r>
        <w:rPr>
          <w:rFonts w:ascii="Arial" w:cs="Arial" w:eastAsia="Arial" w:hAnsi="Arial"/>
          <w:sz w:val="16"/>
          <w:szCs w:val="16"/>
          <w:color w:val="auto"/>
        </w:rPr>
        <w:t>$12.5 million. These facilities bear interest at various rates depending on the rates in their respective countries of operation. As of October 31, 2013, we had no outstanding short-term debt under these lines of credit. As of October 31, 2013, we had $14.6 million of outstanding letters of credit and $147.9 million of unutilized availability under our credit agreements. Additionally, as of October 31, 2013, we had $223.5 million outstanding in long-term debt that includes $100 million in aggregate principal amount of 7.8% debentures due June 15, 2027 and $125.0 million in aggregate principal amount of 6.625% senior notes due May 1, 2037.</w:t>
      </w:r>
    </w:p>
    <w:p>
      <w:pPr>
        <w:spacing w:after="0" w:line="163" w:lineRule="exact"/>
        <w:rPr>
          <w:sz w:val="20"/>
          <w:szCs w:val="20"/>
          <w:color w:val="auto"/>
        </w:rPr>
      </w:pPr>
    </w:p>
    <w:p>
      <w:pPr>
        <w:ind w:right="80" w:firstLine="136"/>
        <w:spacing w:after="0" w:line="249" w:lineRule="auto"/>
        <w:rPr>
          <w:sz w:val="20"/>
          <w:szCs w:val="20"/>
          <w:color w:val="auto"/>
        </w:rPr>
      </w:pPr>
      <w:r>
        <w:rPr>
          <w:rFonts w:ascii="Arial" w:cs="Arial" w:eastAsia="Arial" w:hAnsi="Arial"/>
          <w:sz w:val="16"/>
          <w:szCs w:val="16"/>
          <w:color w:val="auto"/>
        </w:rPr>
        <w:t>Our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EBITDA ratio from the previous quarter compliance certificate is less than or equal to 2.75; however, we are limited to $50 million per fiscal year if our debt to EBITDA ratio from the previous quarter compliance certificate is greater than 2.75. As of October 31, 2013, we are not limited in the amount for payments of cash dividends and stock repurchases as our debt to EBITDA ratio was below 2.75. We were in compliance with all covenants related to our credit agreement for our revolving credit facility as of October 31, 2013, and we expect to be in compliance with all covenants during fiscal 2014.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fiscal 2013 by Standard and Poor's Ratings Group at BBB and by Moody's Investors Service at Baa3.</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Plan</w:t>
      </w:r>
    </w:p>
    <w:p>
      <w:pPr>
        <w:spacing w:after="0" w:line="20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During fiscal 2013, we continued repurchasing shares of our common stock in the open market, thereby reducing our shares outstanding. In addition, our repurchase programs provided shares for use in connection with our equity compensation programs. As of October 31, 2013, 4,343,062 shares remained available for repurchase under our Board authorization. We expect to continue repurchasing shares of our common stock in fiscal 2014 depending upon market conditions and our cash position.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provides information with respect to repurchases of our common stock during the past three fiscal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(Dollars in millions, except per share data)</w:t>
            </w:r>
          </w:p>
        </w:tc>
        <w:tc>
          <w:tcPr>
            <w:tcW w:w="3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3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20" w:type="dxa"/>
            <w:vAlign w:val="bottom"/>
            <w:shd w:val="clear" w:color="auto" w:fill="CCEEFF"/>
          </w:tcPr>
          <w:p>
            <w:pPr>
              <w:spacing w:after="0" w:line="168" w:lineRule="exact"/>
              <w:rPr>
                <w:sz w:val="20"/>
                <w:szCs w:val="20"/>
                <w:color w:val="auto"/>
              </w:rPr>
            </w:pPr>
            <w:r>
              <w:rPr>
                <w:rFonts w:ascii="Arial" w:cs="Arial" w:eastAsia="Arial" w:hAnsi="Arial"/>
                <w:sz w:val="13"/>
                <w:szCs w:val="13"/>
                <w:b w:val="1"/>
                <w:bCs w:val="1"/>
                <w:color w:val="auto"/>
              </w:rPr>
              <w:t>Shares of common stock purchased</w:t>
            </w:r>
            <w:r>
              <w:rPr>
                <w:rFonts w:ascii="Arial" w:cs="Arial" w:eastAsia="Arial" w:hAnsi="Arial"/>
                <w:sz w:val="19"/>
                <w:szCs w:val="19"/>
                <w:b w:val="1"/>
                <w:bCs w:val="1"/>
                <w:color w:val="auto"/>
                <w:vertAlign w:val="superscript"/>
              </w:rPr>
              <w:t>1</w:t>
            </w:r>
          </w:p>
        </w:tc>
        <w:tc>
          <w:tcPr>
            <w:tcW w:w="33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2,131,615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6"/>
              </w:rPr>
              <w:t>2,591,039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4,592,760</w:t>
            </w:r>
          </w:p>
        </w:tc>
        <w:tc>
          <w:tcPr>
            <w:tcW w:w="0" w:type="dxa"/>
            <w:vAlign w:val="bottom"/>
          </w:tcPr>
          <w:p>
            <w:pPr>
              <w:spacing w:after="0"/>
              <w:rPr>
                <w:sz w:val="1"/>
                <w:szCs w:val="1"/>
                <w:color w:val="auto"/>
              </w:rPr>
            </w:pPr>
          </w:p>
        </w:tc>
      </w:tr>
      <w:tr>
        <w:trPr>
          <w:trHeight w:val="151"/>
        </w:trPr>
        <w:tc>
          <w:tcPr>
            <w:tcW w:w="5720" w:type="dxa"/>
            <w:vAlign w:val="bottom"/>
          </w:tcPr>
          <w:p>
            <w:pPr>
              <w:spacing w:after="0"/>
              <w:rPr>
                <w:sz w:val="20"/>
                <w:szCs w:val="20"/>
                <w:color w:val="auto"/>
              </w:rPr>
            </w:pPr>
            <w:r>
              <w:rPr>
                <w:rFonts w:ascii="Arial" w:cs="Arial" w:eastAsia="Arial" w:hAnsi="Arial"/>
                <w:sz w:val="13"/>
                <w:szCs w:val="13"/>
                <w:b w:val="1"/>
                <w:bCs w:val="1"/>
                <w:color w:val="auto"/>
              </w:rPr>
              <w:t>Cost to repurchase common stock</w:t>
            </w:r>
          </w:p>
        </w:tc>
        <w:tc>
          <w:tcPr>
            <w:tcW w:w="3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98.8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92.7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129.9</w:t>
            </w:r>
          </w:p>
        </w:tc>
        <w:tc>
          <w:tcPr>
            <w:tcW w:w="0" w:type="dxa"/>
            <w:vAlign w:val="bottom"/>
          </w:tcPr>
          <w:p>
            <w:pPr>
              <w:spacing w:after="0"/>
              <w:rPr>
                <w:sz w:val="1"/>
                <w:szCs w:val="1"/>
                <w:color w:val="auto"/>
              </w:rPr>
            </w:pPr>
          </w:p>
        </w:tc>
      </w:tr>
      <w:tr>
        <w:trPr>
          <w:trHeight w:val="151"/>
        </w:trPr>
        <w:tc>
          <w:tcPr>
            <w:tcW w:w="5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Average price paid per share</w:t>
            </w:r>
          </w:p>
        </w:tc>
        <w:tc>
          <w:tcPr>
            <w:tcW w:w="3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46.37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35.78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28.30</w:t>
            </w:r>
          </w:p>
        </w:tc>
        <w:tc>
          <w:tcPr>
            <w:tcW w:w="0" w:type="dxa"/>
            <w:vAlign w:val="bottom"/>
          </w:tcPr>
          <w:p>
            <w:pPr>
              <w:spacing w:after="0"/>
              <w:rPr>
                <w:sz w:val="1"/>
                <w:szCs w:val="1"/>
                <w:color w:val="auto"/>
              </w:rPr>
            </w:pPr>
          </w:p>
        </w:tc>
      </w:tr>
      <w:tr>
        <w:trPr>
          <w:trHeight w:val="25"/>
        </w:trPr>
        <w:tc>
          <w:tcPr>
            <w:tcW w:w="5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right="100" w:hanging="500"/>
        <w:spacing w:after="0" w:line="208" w:lineRule="auto"/>
        <w:tabs>
          <w:tab w:leader="none" w:pos="500" w:val="left"/>
        </w:tabs>
        <w:numPr>
          <w:ilvl w:val="0"/>
          <w:numId w:val="32"/>
        </w:numPr>
        <w:rPr>
          <w:rFonts w:ascii="Arial" w:cs="Arial" w:eastAsia="Arial" w:hAnsi="Arial"/>
          <w:sz w:val="20"/>
          <w:szCs w:val="20"/>
          <w:color w:val="auto"/>
          <w:vertAlign w:val="superscript"/>
        </w:rPr>
      </w:pPr>
      <w:r>
        <w:rPr>
          <w:rFonts w:ascii="Arial" w:cs="Arial" w:eastAsia="Arial" w:hAnsi="Arial"/>
          <w:sz w:val="13"/>
          <w:szCs w:val="13"/>
          <w:color w:val="auto"/>
        </w:rPr>
        <w:t>Does not include shares of our common stock surrendered by employees to satisfy minimum tax withholding obligations upon vesting of restricted stock granted under our stock-based compensation plans.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Financing Arrangements</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In fiscal 2009, we established our Red Iron joint venture with TCFIF. The purpose of Red Iron is to provide inventory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floor plan and open account receivable financing, to distributors and dealers of our products in the U.S. and select distributors of our products in Canada to enable our distributors and dealers to carry representative inventories of our products. Under a separate arrangement,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$1,211.5 million of new receivables for dealers and distributors during fiscal 2013, of which $260.9 million was outstanding as of October 31, 2013.</w:t>
      </w:r>
    </w:p>
    <w:p>
      <w:pPr>
        <w:spacing w:after="0" w:line="166" w:lineRule="exact"/>
        <w:rPr>
          <w:sz w:val="20"/>
          <w:szCs w:val="20"/>
          <w:color w:val="auto"/>
        </w:rPr>
      </w:pPr>
    </w:p>
    <w:p>
      <w:pPr>
        <w:ind w:right="740" w:firstLine="136"/>
        <w:spacing w:after="0" w:line="291" w:lineRule="auto"/>
        <w:rPr>
          <w:sz w:val="20"/>
          <w:szCs w:val="20"/>
          <w:color w:val="auto"/>
        </w:rPr>
      </w:pPr>
      <w:r>
        <w:rPr>
          <w:rFonts w:ascii="Arial" w:cs="Arial" w:eastAsia="Arial" w:hAnsi="Arial"/>
          <w:sz w:val="16"/>
          <w:szCs w:val="16"/>
          <w:color w:val="auto"/>
        </w:rPr>
        <w:t>Some independent international dealers continue to finance their products with a third party financing company. This third party financing company purchased $26.5 million of receivables from us during fiscal 2013, of which $13.3 million was outstanding as of October 31, 2013.</w:t>
      </w:r>
    </w:p>
    <w:p>
      <w:pPr>
        <w:spacing w:after="0" w:line="131" w:lineRule="exact"/>
        <w:rPr>
          <w:sz w:val="20"/>
          <w:szCs w:val="20"/>
          <w:color w:val="auto"/>
        </w:rPr>
      </w:pPr>
    </w:p>
    <w:p>
      <w:pPr>
        <w:ind w:right="200" w:firstLine="136"/>
        <w:spacing w:after="0" w:line="257" w:lineRule="auto"/>
        <w:rPr>
          <w:sz w:val="20"/>
          <w:szCs w:val="20"/>
          <w:color w:val="auto"/>
        </w:rPr>
      </w:pPr>
      <w:r>
        <w:rPr>
          <w:rFonts w:ascii="Arial" w:cs="Arial" w:eastAsia="Arial" w:hAnsi="Arial"/>
          <w:sz w:val="16"/>
          <w:szCs w:val="16"/>
          <w:color w:val="auto"/>
        </w:rPr>
        <w:t>We also enter into limited inventory repurchase agreements with third party financing companies and Red Iron for receivables financed by them. As of October 31, 2013, we were contingently liable to repurchase up to a maximum amount of $10.2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 to but not exceeding our limited obligation, which could have an adverse effect on our operating results.</w:t>
      </w:r>
    </w:p>
    <w:p>
      <w:pPr>
        <w:spacing w:after="0" w:line="156" w:lineRule="exact"/>
        <w:rPr>
          <w:sz w:val="20"/>
          <w:szCs w:val="20"/>
          <w:color w:val="auto"/>
        </w:rPr>
      </w:pPr>
    </w:p>
    <w:p>
      <w:pPr>
        <w:ind w:right="380" w:firstLine="136"/>
        <w:spacing w:after="0" w:line="268" w:lineRule="auto"/>
        <w:rPr>
          <w:sz w:val="20"/>
          <w:szCs w:val="20"/>
          <w:color w:val="auto"/>
        </w:rPr>
      </w:pPr>
      <w:r>
        <w:rPr>
          <w:rFonts w:ascii="Arial" w:cs="Arial" w:eastAsia="Arial" w:hAnsi="Arial"/>
          <w:sz w:val="16"/>
          <w:szCs w:val="16"/>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b w:val="1"/>
          <w:bCs w:val="1"/>
          <w:i w:val="1"/>
          <w:iCs w:val="1"/>
          <w:color w:val="auto"/>
        </w:rPr>
        <w:t xml:space="preserve">End-User Financing. </w:t>
      </w:r>
      <w:r>
        <w:rPr>
          <w:rFonts w:ascii="Arial" w:cs="Arial" w:eastAsia="Arial" w:hAnsi="Arial"/>
          <w:sz w:val="16"/>
          <w:szCs w:val="16"/>
          <w:color w:val="auto"/>
        </w:rPr>
        <w:t>We have agreements with third party financing companies to provide lease-financing options to golf course and sports fields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grounds equipment customers in the U.S. and select countries in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156" w:lineRule="exact"/>
        <w:rPr>
          <w:sz w:val="20"/>
          <w:szCs w:val="20"/>
          <w:color w:val="auto"/>
        </w:rPr>
      </w:pPr>
    </w:p>
    <w:p>
      <w:pPr>
        <w:ind w:right="80" w:firstLine="136"/>
        <w:spacing w:after="0" w:line="291" w:lineRule="auto"/>
        <w:rPr>
          <w:sz w:val="20"/>
          <w:szCs w:val="20"/>
          <w:color w:val="auto"/>
        </w:rPr>
      </w:pPr>
      <w:r>
        <w:rPr>
          <w:rFonts w:ascii="Arial" w:cs="Arial" w:eastAsia="Arial" w:hAnsi="Arial"/>
          <w:sz w:val="16"/>
          <w:szCs w:val="16"/>
          <w:color w:val="auto"/>
        </w:rPr>
        <w:t>From time to time, we enter into agreements where we provide recourse to third party finance companies in the event of default by the customer for lease payments to the third party finance company. Our maximum exposure for credit collection under those arrangements as of October 31, 2013 was $1.7 million.</w:t>
      </w:r>
    </w:p>
    <w:p>
      <w:pPr>
        <w:spacing w:after="0" w:line="131" w:lineRule="exact"/>
        <w:rPr>
          <w:sz w:val="20"/>
          <w:szCs w:val="20"/>
          <w:color w:val="auto"/>
        </w:rPr>
      </w:pPr>
    </w:p>
    <w:p>
      <w:pPr>
        <w:ind w:right="200" w:firstLine="133"/>
        <w:spacing w:after="0" w:line="268" w:lineRule="auto"/>
        <w:rPr>
          <w:sz w:val="20"/>
          <w:szCs w:val="20"/>
          <w:color w:val="auto"/>
        </w:rPr>
      </w:pPr>
      <w:r>
        <w:rPr>
          <w:rFonts w:ascii="Arial" w:cs="Arial" w:eastAsia="Arial" w:hAnsi="Arial"/>
          <w:sz w:val="16"/>
          <w:szCs w:val="16"/>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4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 xml:space="preserve">Distributor Financing. </w:t>
      </w:r>
      <w:r>
        <w:rPr>
          <w:rFonts w:ascii="Arial" w:cs="Arial" w:eastAsia="Arial" w:hAnsi="Arial"/>
          <w:sz w:val="16"/>
          <w:szCs w:val="16"/>
          <w:color w:val="auto"/>
        </w:rPr>
        <w:t>From time to time, we enter into long-term loan agreements with some distributors. These transactions are used for expansion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businesses, acquisitions, refinancing working capital agreements, or facilitation of ownership changes. As of October 31, 2013, we had outstanding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note receivables in the aggregate of $1.1 million from two companies, which is included in other current assets on our consolidated balance sheet.</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as of October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6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Payments Due By Period</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Less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More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4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Than</w:t>
            </w:r>
          </w:p>
        </w:tc>
        <w:tc>
          <w:tcPr>
            <w:tcW w:w="16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3-5</w:t>
            </w:r>
          </w:p>
        </w:tc>
        <w:tc>
          <w:tcPr>
            <w:tcW w:w="700" w:type="dxa"/>
            <w:vAlign w:val="bottom"/>
          </w:tcPr>
          <w:p>
            <w:pPr>
              <w:jc w:val="right"/>
              <w:spacing w:after="0"/>
              <w:rPr>
                <w:sz w:val="20"/>
                <w:szCs w:val="20"/>
                <w:color w:val="auto"/>
              </w:rPr>
            </w:pPr>
            <w:r>
              <w:rPr>
                <w:rFonts w:ascii="Arial" w:cs="Arial" w:eastAsia="Arial" w:hAnsi="Arial"/>
                <w:sz w:val="13"/>
                <w:szCs w:val="13"/>
                <w:color w:val="auto"/>
              </w:rPr>
              <w:t>than</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Contractual Obligation</w:t>
            </w:r>
          </w:p>
        </w:tc>
        <w:tc>
          <w:tcPr>
            <w:tcW w:w="1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Year</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Years</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Years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 Years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00" w:type="dxa"/>
            <w:vAlign w:val="bottom"/>
            <w:gridSpan w:val="2"/>
            <w:shd w:val="clear" w:color="auto" w:fill="CCEEFF"/>
          </w:tcPr>
          <w:p>
            <w:pPr>
              <w:spacing w:after="0" w:line="173" w:lineRule="exact"/>
              <w:rPr>
                <w:sz w:val="20"/>
                <w:szCs w:val="20"/>
                <w:color w:val="auto"/>
              </w:rPr>
            </w:pPr>
            <w:r>
              <w:rPr>
                <w:rFonts w:ascii="Arial" w:cs="Arial" w:eastAsia="Arial" w:hAnsi="Arial"/>
                <w:sz w:val="13"/>
                <w:szCs w:val="13"/>
                <w:b w:val="1"/>
                <w:bCs w:val="1"/>
                <w:color w:val="auto"/>
              </w:rPr>
              <w:t>Long-term debt</w:t>
            </w:r>
            <w:r>
              <w:rPr>
                <w:rFonts w:ascii="Arial" w:cs="Arial" w:eastAsia="Arial" w:hAnsi="Arial"/>
                <w:sz w:val="19"/>
                <w:szCs w:val="19"/>
                <w:b w:val="1"/>
                <w:bCs w:val="1"/>
                <w:color w:val="auto"/>
                <w:vertAlign w:val="superscript"/>
              </w:rPr>
              <w:t>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$225,000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$225,000</w:t>
            </w:r>
          </w:p>
        </w:tc>
        <w:tc>
          <w:tcPr>
            <w:tcW w:w="0" w:type="dxa"/>
            <w:vAlign w:val="bottom"/>
          </w:tcPr>
          <w:p>
            <w:pPr>
              <w:spacing w:after="0"/>
              <w:rPr>
                <w:sz w:val="1"/>
                <w:szCs w:val="1"/>
                <w:color w:val="auto"/>
              </w:rPr>
            </w:pPr>
          </w:p>
        </w:tc>
      </w:tr>
      <w:tr>
        <w:trPr>
          <w:trHeight w:val="151"/>
        </w:trPr>
        <w:tc>
          <w:tcPr>
            <w:tcW w:w="6400" w:type="dxa"/>
            <w:vAlign w:val="bottom"/>
            <w:gridSpan w:val="2"/>
          </w:tcPr>
          <w:p>
            <w:pPr>
              <w:spacing w:after="0"/>
              <w:rPr>
                <w:sz w:val="20"/>
                <w:szCs w:val="20"/>
                <w:color w:val="auto"/>
              </w:rPr>
            </w:pPr>
            <w:r>
              <w:rPr>
                <w:rFonts w:ascii="Arial" w:cs="Arial" w:eastAsia="Arial" w:hAnsi="Arial"/>
                <w:sz w:val="13"/>
                <w:szCs w:val="13"/>
                <w:b w:val="1"/>
                <w:bCs w:val="1"/>
                <w:color w:val="auto"/>
              </w:rPr>
              <w:t>Interest payments</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16,081</w:t>
            </w:r>
          </w:p>
        </w:tc>
        <w:tc>
          <w:tcPr>
            <w:tcW w:w="160" w:type="dxa"/>
            <w:vAlign w:val="bottom"/>
          </w:tcPr>
          <w:p>
            <w:pPr>
              <w:spacing w:after="0"/>
              <w:rPr>
                <w:sz w:val="13"/>
                <w:szCs w:val="13"/>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b w:val="1"/>
                <w:bCs w:val="1"/>
                <w:color w:val="auto"/>
                <w:w w:val="95"/>
              </w:rPr>
              <w:t>32,162</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32,163</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228,254</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308,660</w:t>
            </w:r>
          </w:p>
        </w:tc>
        <w:tc>
          <w:tcPr>
            <w:tcW w:w="0" w:type="dxa"/>
            <w:vAlign w:val="bottom"/>
          </w:tcPr>
          <w:p>
            <w:pPr>
              <w:spacing w:after="0"/>
              <w:rPr>
                <w:sz w:val="1"/>
                <w:szCs w:val="1"/>
                <w:color w:val="auto"/>
              </w:rPr>
            </w:pPr>
          </w:p>
        </w:tc>
      </w:tr>
      <w:tr>
        <w:trPr>
          <w:trHeight w:val="176"/>
        </w:trPr>
        <w:tc>
          <w:tcPr>
            <w:tcW w:w="64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Deferred compensation arrangements</w:t>
            </w:r>
            <w:r>
              <w:rPr>
                <w:rFonts w:ascii="Arial" w:cs="Arial" w:eastAsia="Arial" w:hAnsi="Arial"/>
                <w:sz w:val="20"/>
                <w:szCs w:val="20"/>
                <w:b w:val="1"/>
                <w:bCs w:val="1"/>
                <w:color w:val="auto"/>
                <w:vertAlign w:val="superscript"/>
              </w:rPr>
              <w:t>2</w:t>
            </w: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665</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1,014</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2,777</w:t>
            </w:r>
          </w:p>
        </w:tc>
        <w:tc>
          <w:tcPr>
            <w:tcW w:w="0" w:type="dxa"/>
            <w:vAlign w:val="bottom"/>
          </w:tcPr>
          <w:p>
            <w:pPr>
              <w:spacing w:after="0"/>
              <w:rPr>
                <w:sz w:val="1"/>
                <w:szCs w:val="1"/>
                <w:color w:val="auto"/>
              </w:rPr>
            </w:pP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Purchase obligations</w:t>
            </w:r>
            <w:r>
              <w:rPr>
                <w:rFonts w:ascii="Arial" w:cs="Arial" w:eastAsia="Arial" w:hAnsi="Arial"/>
                <w:sz w:val="20"/>
                <w:szCs w:val="20"/>
                <w:b w:val="1"/>
                <w:bCs w:val="1"/>
                <w:color w:val="auto"/>
                <w:vertAlign w:val="superscript"/>
              </w:rPr>
              <w:t>3</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26,997</w:t>
            </w:r>
          </w:p>
        </w:tc>
        <w:tc>
          <w:tcPr>
            <w:tcW w:w="1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26,997</w:t>
            </w:r>
          </w:p>
        </w:tc>
        <w:tc>
          <w:tcPr>
            <w:tcW w:w="0" w:type="dxa"/>
            <w:vAlign w:val="bottom"/>
          </w:tcPr>
          <w:p>
            <w:pPr>
              <w:spacing w:after="0"/>
              <w:rPr>
                <w:sz w:val="1"/>
                <w:szCs w:val="1"/>
                <w:color w:val="auto"/>
              </w:rPr>
            </w:pPr>
          </w:p>
        </w:tc>
      </w:tr>
      <w:tr>
        <w:trPr>
          <w:trHeight w:val="176"/>
        </w:trPr>
        <w:tc>
          <w:tcPr>
            <w:tcW w:w="64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Operating leases</w:t>
            </w:r>
            <w:r>
              <w:rPr>
                <w:rFonts w:ascii="Arial" w:cs="Arial" w:eastAsia="Arial" w:hAnsi="Arial"/>
                <w:sz w:val="20"/>
                <w:szCs w:val="20"/>
                <w:b w:val="1"/>
                <w:bCs w:val="1"/>
                <w:color w:val="auto"/>
                <w:vertAlign w:val="superscript"/>
              </w:rPr>
              <w:t>4</w:t>
            </w: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14,632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95"/>
              </w:rPr>
              <w:t>21,851</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9,495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73,165</w:t>
            </w:r>
          </w:p>
        </w:tc>
        <w:tc>
          <w:tcPr>
            <w:tcW w:w="0" w:type="dxa"/>
            <w:vAlign w:val="bottom"/>
          </w:tcPr>
          <w:p>
            <w:pPr>
              <w:spacing w:after="0"/>
              <w:rPr>
                <w:sz w:val="1"/>
                <w:szCs w:val="1"/>
                <w:color w:val="auto"/>
              </w:rPr>
            </w:pPr>
          </w:p>
        </w:tc>
      </w:tr>
      <w:tr>
        <w:trPr>
          <w:trHeight w:val="201"/>
        </w:trPr>
        <w:tc>
          <w:tcPr>
            <w:tcW w:w="460" w:type="dxa"/>
            <w:vAlign w:val="bottom"/>
            <w:tcBorders>
              <w:bottom w:val="single" w:sz="8" w:color="auto"/>
            </w:tcBorders>
          </w:tcPr>
          <w:p>
            <w:pPr>
              <w:spacing w:after="0" w:line="201" w:lineRule="exact"/>
              <w:rPr>
                <w:sz w:val="20"/>
                <w:szCs w:val="20"/>
                <w:color w:val="auto"/>
              </w:rPr>
            </w:pPr>
            <w:r>
              <w:rPr>
                <w:rFonts w:ascii="Arial" w:cs="Arial" w:eastAsia="Arial" w:hAnsi="Arial"/>
                <w:sz w:val="13"/>
                <w:szCs w:val="13"/>
                <w:b w:val="1"/>
                <w:bCs w:val="1"/>
                <w:color w:val="auto"/>
              </w:rPr>
              <w:t>Other</w:t>
            </w:r>
            <w:r>
              <w:rPr>
                <w:rFonts w:ascii="Arial" w:cs="Arial" w:eastAsia="Arial" w:hAnsi="Arial"/>
                <w:sz w:val="20"/>
                <w:szCs w:val="20"/>
                <w:b w:val="1"/>
                <w:bCs w:val="1"/>
                <w:color w:val="auto"/>
                <w:vertAlign w:val="superscript"/>
              </w:rPr>
              <w:t>5</w:t>
            </w:r>
          </w:p>
        </w:tc>
        <w:tc>
          <w:tcPr>
            <w:tcW w:w="59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1,395</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59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59,770</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w w:val="95"/>
              </w:rPr>
              <w:t>55,027</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42,672</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$480,525</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b w:val="1"/>
                <w:bCs w:val="1"/>
                <w:color w:val="auto"/>
              </w:rPr>
              <w:t>$637,994</w:t>
            </w:r>
          </w:p>
        </w:tc>
        <w:tc>
          <w:tcPr>
            <w:tcW w:w="0" w:type="dxa"/>
            <w:vAlign w:val="bottom"/>
          </w:tcPr>
          <w:p>
            <w:pPr>
              <w:spacing w:after="0"/>
              <w:rPr>
                <w:sz w:val="1"/>
                <w:szCs w:val="1"/>
                <w:color w:val="auto"/>
              </w:rPr>
            </w:pPr>
          </w:p>
        </w:tc>
      </w:tr>
      <w:tr>
        <w:trPr>
          <w:trHeight w:val="25"/>
        </w:trPr>
        <w:tc>
          <w:tcPr>
            <w:tcW w:w="46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0" w:type="dxa"/>
            <w:vAlign w:val="bottom"/>
          </w:tcPr>
          <w:p>
            <w:pPr>
              <w:spacing w:after="0"/>
              <w:rPr>
                <w:sz w:val="20"/>
                <w:szCs w:val="20"/>
                <w:color w:val="auto"/>
              </w:rPr>
            </w:pPr>
            <w:r>
              <w:rPr>
                <w:rFonts w:ascii="Arial" w:cs="Arial" w:eastAsia="Arial" w:hAnsi="Arial"/>
                <w:sz w:val="10"/>
                <w:szCs w:val="10"/>
                <w:color w:val="auto"/>
              </w:rPr>
              <w:t>1</w:t>
            </w:r>
          </w:p>
        </w:tc>
        <w:tc>
          <w:tcPr>
            <w:tcW w:w="5940" w:type="dxa"/>
            <w:vAlign w:val="bottom"/>
            <w:vMerge w:val="restart"/>
          </w:tcPr>
          <w:p>
            <w:pPr>
              <w:ind w:left="40"/>
              <w:spacing w:after="0"/>
              <w:rPr>
                <w:sz w:val="20"/>
                <w:szCs w:val="20"/>
                <w:color w:val="auto"/>
              </w:rPr>
            </w:pPr>
            <w:r>
              <w:rPr>
                <w:rFonts w:ascii="Arial" w:cs="Arial" w:eastAsia="Arial" w:hAnsi="Arial"/>
                <w:sz w:val="13"/>
                <w:szCs w:val="13"/>
                <w:color w:val="auto"/>
              </w:rPr>
              <w:t>Principal payments in accordance with our long-term debt agreements.</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0" w:type="dxa"/>
            <w:vAlign w:val="bottom"/>
            <w:vMerge w:val="restart"/>
          </w:tcPr>
          <w:p>
            <w:pPr>
              <w:spacing w:after="0"/>
              <w:rPr>
                <w:sz w:val="20"/>
                <w:szCs w:val="20"/>
                <w:color w:val="auto"/>
              </w:rPr>
            </w:pPr>
            <w:r>
              <w:rPr>
                <w:rFonts w:ascii="Arial" w:cs="Arial" w:eastAsia="Arial" w:hAnsi="Arial"/>
                <w:sz w:val="10"/>
                <w:szCs w:val="10"/>
                <w:color w:val="auto"/>
              </w:rPr>
              <w:t>2</w:t>
            </w:r>
          </w:p>
        </w:tc>
        <w:tc>
          <w:tcPr>
            <w:tcW w:w="594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60" w:type="dxa"/>
            <w:vAlign w:val="bottom"/>
            <w:vMerge w:val="continue"/>
          </w:tcPr>
          <w:p>
            <w:pPr>
              <w:spacing w:after="0"/>
              <w:rPr>
                <w:sz w:val="14"/>
                <w:szCs w:val="14"/>
                <w:color w:val="auto"/>
              </w:rPr>
            </w:pPr>
          </w:p>
        </w:tc>
        <w:tc>
          <w:tcPr>
            <w:tcW w:w="10960" w:type="dxa"/>
            <w:vAlign w:val="bottom"/>
            <w:gridSpan w:val="11"/>
          </w:tcPr>
          <w:p>
            <w:pPr>
              <w:ind w:left="40"/>
              <w:spacing w:after="0"/>
              <w:rPr>
                <w:sz w:val="20"/>
                <w:szCs w:val="20"/>
                <w:color w:val="auto"/>
              </w:rPr>
            </w:pPr>
            <w:r>
              <w:rPr>
                <w:rFonts w:ascii="Arial" w:cs="Arial" w:eastAsia="Arial" w:hAnsi="Arial"/>
                <w:sz w:val="13"/>
                <w:szCs w:val="13"/>
                <w:color w:val="auto"/>
              </w:rPr>
              <w:t>The unfunded deferred compensation arrangements, covering certain current and retired management employees, consists primarily of salary and bonus deferrals under our deferred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10860" w:type="dxa"/>
            <w:vAlign w:val="bottom"/>
          </w:tcPr>
          <w:p>
            <w:pPr>
              <w:ind w:left="220"/>
              <w:spacing w:after="0" w:line="134" w:lineRule="exact"/>
              <w:rPr>
                <w:sz w:val="20"/>
                <w:szCs w:val="20"/>
                <w:color w:val="auto"/>
              </w:rPr>
            </w:pPr>
            <w:r>
              <w:rPr>
                <w:rFonts w:ascii="Arial" w:cs="Arial" w:eastAsia="Arial" w:hAnsi="Arial"/>
                <w:sz w:val="13"/>
                <w:szCs w:val="13"/>
                <w:color w:val="auto"/>
              </w:rPr>
              <w:t>compensation plans. Our estimated distributions in the contractual obligations table are based upon a number of assumptions, including termination dates and participant elections.</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10860" w:type="dxa"/>
            <w:vAlign w:val="bottom"/>
          </w:tcPr>
          <w:p>
            <w:pPr>
              <w:ind w:left="220"/>
              <w:spacing w:after="0"/>
              <w:rPr>
                <w:sz w:val="20"/>
                <w:szCs w:val="20"/>
                <w:color w:val="auto"/>
              </w:rPr>
            </w:pPr>
            <w:r>
              <w:rPr>
                <w:rFonts w:ascii="Arial" w:cs="Arial" w:eastAsia="Arial" w:hAnsi="Arial"/>
                <w:sz w:val="13"/>
                <w:szCs w:val="13"/>
                <w:color w:val="auto"/>
              </w:rPr>
              <w:t>Deferred compensation balances are invested according to the election of the participant in an array of funds that is substantially similar to the array of funds offered under The Toro</w:t>
            </w:r>
          </w:p>
        </w:tc>
        <w:tc>
          <w:tcPr>
            <w:tcW w:w="0" w:type="dxa"/>
            <w:vAlign w:val="bottom"/>
          </w:tcPr>
          <w:p>
            <w:pPr>
              <w:spacing w:after="0"/>
              <w:rPr>
                <w:sz w:val="1"/>
                <w:szCs w:val="1"/>
                <w:color w:val="auto"/>
              </w:rPr>
            </w:pPr>
          </w:p>
        </w:tc>
      </w:tr>
      <w:tr>
        <w:trPr>
          <w:trHeight w:val="151"/>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3</w:t>
            </w:r>
          </w:p>
        </w:tc>
        <w:tc>
          <w:tcPr>
            <w:tcW w:w="10860" w:type="dxa"/>
            <w:vAlign w:val="bottom"/>
          </w:tcPr>
          <w:p>
            <w:pPr>
              <w:ind w:left="220"/>
              <w:spacing w:after="0"/>
              <w:rPr>
                <w:sz w:val="20"/>
                <w:szCs w:val="20"/>
                <w:color w:val="auto"/>
              </w:rPr>
            </w:pPr>
            <w:r>
              <w:rPr>
                <w:rFonts w:ascii="Arial" w:cs="Arial" w:eastAsia="Arial" w:hAnsi="Arial"/>
                <w:sz w:val="13"/>
                <w:szCs w:val="13"/>
                <w:color w:val="auto"/>
              </w:rPr>
              <w:t>Company Investment, Savings and Employee Stock Ownership Plan, and are payable at the election of the participant.</w:t>
            </w:r>
          </w:p>
        </w:tc>
        <w:tc>
          <w:tcPr>
            <w:tcW w:w="0" w:type="dxa"/>
            <w:vAlign w:val="bottom"/>
          </w:tcPr>
          <w:p>
            <w:pPr>
              <w:spacing w:after="0"/>
              <w:rPr>
                <w:sz w:val="1"/>
                <w:szCs w:val="1"/>
                <w:color w:val="auto"/>
              </w:rPr>
            </w:pPr>
          </w:p>
        </w:tc>
      </w:tr>
      <w:tr>
        <w:trPr>
          <w:trHeight w:val="106"/>
        </w:trPr>
        <w:tc>
          <w:tcPr>
            <w:tcW w:w="280" w:type="dxa"/>
            <w:vAlign w:val="bottom"/>
            <w:vMerge w:val="continue"/>
          </w:tcPr>
          <w:p>
            <w:pPr>
              <w:spacing w:after="0"/>
              <w:rPr>
                <w:sz w:val="9"/>
                <w:szCs w:val="9"/>
                <w:color w:val="auto"/>
              </w:rPr>
            </w:pPr>
          </w:p>
        </w:tc>
        <w:tc>
          <w:tcPr>
            <w:tcW w:w="10860" w:type="dxa"/>
            <w:vAlign w:val="bottom"/>
            <w:vMerge w:val="restart"/>
          </w:tcPr>
          <w:p>
            <w:pPr>
              <w:ind w:left="220"/>
              <w:spacing w:after="0"/>
              <w:rPr>
                <w:sz w:val="20"/>
                <w:szCs w:val="20"/>
                <w:color w:val="auto"/>
              </w:rPr>
            </w:pPr>
            <w:r>
              <w:rPr>
                <w:rFonts w:ascii="Arial" w:cs="Arial" w:eastAsia="Arial" w:hAnsi="Arial"/>
                <w:sz w:val="13"/>
                <w:szCs w:val="13"/>
                <w:color w:val="auto"/>
              </w:rPr>
              <w:t>Purchase obligations represent contracts or commitments for the purchase of raw materials and capital expenditures, including expansion of our corporate facilities.</w:t>
            </w:r>
          </w:p>
        </w:tc>
        <w:tc>
          <w:tcPr>
            <w:tcW w:w="0" w:type="dxa"/>
            <w:vAlign w:val="bottom"/>
          </w:tcPr>
          <w:p>
            <w:pPr>
              <w:spacing w:after="0"/>
              <w:rPr>
                <w:sz w:val="1"/>
                <w:szCs w:val="1"/>
                <w:color w:val="auto"/>
              </w:rPr>
            </w:pPr>
          </w:p>
        </w:tc>
      </w:tr>
      <w:tr>
        <w:trPr>
          <w:trHeight w:val="44"/>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4</w:t>
            </w:r>
          </w:p>
        </w:tc>
        <w:tc>
          <w:tcPr>
            <w:tcW w:w="10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80" w:type="dxa"/>
            <w:vAlign w:val="bottom"/>
            <w:vMerge w:val="continue"/>
          </w:tcPr>
          <w:p>
            <w:pPr>
              <w:spacing w:after="0"/>
              <w:rPr>
                <w:sz w:val="9"/>
                <w:szCs w:val="9"/>
                <w:color w:val="auto"/>
              </w:rPr>
            </w:pPr>
          </w:p>
        </w:tc>
        <w:tc>
          <w:tcPr>
            <w:tcW w:w="10860" w:type="dxa"/>
            <w:vAlign w:val="bottom"/>
            <w:vMerge w:val="restart"/>
          </w:tcPr>
          <w:p>
            <w:pPr>
              <w:ind w:left="220"/>
              <w:spacing w:after="0" w:line="134" w:lineRule="exact"/>
              <w:rPr>
                <w:sz w:val="20"/>
                <w:szCs w:val="20"/>
                <w:color w:val="auto"/>
              </w:rPr>
            </w:pPr>
            <w:r>
              <w:rPr>
                <w:rFonts w:ascii="Arial" w:cs="Arial" w:eastAsia="Arial" w:hAnsi="Arial"/>
                <w:sz w:val="13"/>
                <w:szCs w:val="13"/>
                <w:color w:val="auto"/>
              </w:rPr>
              <w:t>Operating lease obligations do not include payments to property owners covering real estate taxes and common area maintenance.</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10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00" w:hanging="500"/>
        <w:spacing w:after="0" w:line="204" w:lineRule="auto"/>
        <w:tabs>
          <w:tab w:leader="none" w:pos="500" w:val="left"/>
        </w:tabs>
        <w:numPr>
          <w:ilvl w:val="0"/>
          <w:numId w:val="33"/>
        </w:numPr>
        <w:rPr>
          <w:rFonts w:ascii="Arial" w:cs="Arial" w:eastAsia="Arial" w:hAnsi="Arial"/>
          <w:sz w:val="20"/>
          <w:szCs w:val="20"/>
          <w:color w:val="auto"/>
          <w:vertAlign w:val="superscript"/>
        </w:rPr>
      </w:pPr>
      <w:r>
        <w:rPr>
          <w:rFonts w:ascii="Arial" w:cs="Arial" w:eastAsia="Arial" w:hAnsi="Arial"/>
          <w:sz w:val="13"/>
          <w:szCs w:val="13"/>
          <w:color w:val="auto"/>
        </w:rPr>
        <w:t>Payment obligation issued in connection with an acquisition.</w:t>
      </w:r>
    </w:p>
    <w:p>
      <w:pPr>
        <w:spacing w:after="0" w:line="167" w:lineRule="exact"/>
        <w:rPr>
          <w:sz w:val="20"/>
          <w:szCs w:val="20"/>
          <w:color w:val="auto"/>
        </w:rPr>
      </w:pPr>
    </w:p>
    <w:p>
      <w:pPr>
        <w:ind w:right="460" w:firstLine="127"/>
        <w:spacing w:after="0" w:line="258" w:lineRule="auto"/>
        <w:rPr>
          <w:sz w:val="20"/>
          <w:szCs w:val="20"/>
          <w:color w:val="auto"/>
        </w:rPr>
      </w:pPr>
      <w:r>
        <w:rPr>
          <w:rFonts w:ascii="Arial" w:cs="Arial" w:eastAsia="Arial" w:hAnsi="Arial"/>
          <w:sz w:val="16"/>
          <w:szCs w:val="16"/>
          <w:color w:val="auto"/>
        </w:rPr>
        <w:t>As of October 31, 2013, we also had $12.7 million in outstanding letters of credit issued, including standby letters of credit, during the normal course of business, as required by some vendor contracts. In addition to the above contractual obligations, we may be obligated for additional cash outflows of</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$4.6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are subject to the effects of inflation, deflation, and changing prices. During fiscal 2013, we experienced lower average commodity costs compared to the average prices paid for commodities in fiscal 2012, which benefited our gross margin growth rate in fiscal 2013 as compared to fiscal 2012. We will continue to closely follow commodities that affect our product lines, and we anticipate average prices paid for some commodities to be higher in fiscal 2014 as compared to fiscal 2013. Historically, we have mitigated, and we currently expect to continue to mitigate, commodity cost increases, in part, by collaborating with suppliers, reviewing alternative sourcing options, substituting materials, engaging in internal cost reduction efforts, and increasing prices on some of our products, all as appropriate.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September 30, 2013, during the fourth quarter of fiscal 2013, we completed the acquisition of certain assets and assumed certain liabilities for a company in China that manufactures water-efficient drip irrigation products, sprinklers, emitters, and filters for agriculture, landscaping, and green house production. The purchase price of this acquisition was $3.5 million.</w:t>
      </w:r>
    </w:p>
    <w:p>
      <w:pPr>
        <w:spacing w:after="0" w:line="149" w:lineRule="exact"/>
        <w:rPr>
          <w:sz w:val="20"/>
          <w:szCs w:val="20"/>
          <w:color w:val="auto"/>
        </w:rPr>
      </w:pPr>
    </w:p>
    <w:p>
      <w:pPr>
        <w:ind w:right="200" w:firstLine="136"/>
        <w:spacing w:after="0" w:line="254" w:lineRule="auto"/>
        <w:rPr>
          <w:sz w:val="20"/>
          <w:szCs w:val="20"/>
          <w:color w:val="auto"/>
        </w:rPr>
      </w:pPr>
      <w:r>
        <w:rPr>
          <w:rFonts w:ascii="Arial" w:cs="Arial" w:eastAsia="Arial" w:hAnsi="Arial"/>
          <w:sz w:val="16"/>
          <w:szCs w:val="16"/>
          <w:color w:val="auto"/>
        </w:rPr>
        <w:t>On April 25, 2012, during the second quarter of fiscal 2012, we completed the acquisition of certain assets for an equipment line of concrete and mortar mixers, material handlers, compaction equipment, and other concrete power tools for the rental and construction market. On February 10, 2012, also during the second quarter of fiscal 2012, we completed the acquisition of certain assets and assumed certain liabilities for an equipment line of vibratory plows, trenchers, and horizontal directional drills for the construction market. On December 9, 2011, during the first quarter of fiscal 2012, we completed the acquisition of certain assets and assumed certain liabilities for a greens roller product line for the golf course market. The aggregate purchase price of these acquisitions was $11.1 million.</w:t>
      </w:r>
    </w:p>
    <w:p>
      <w:pPr>
        <w:spacing w:after="0" w:line="161" w:lineRule="exact"/>
        <w:rPr>
          <w:sz w:val="20"/>
          <w:szCs w:val="20"/>
          <w:color w:val="auto"/>
        </w:rPr>
      </w:pPr>
    </w:p>
    <w:p>
      <w:pPr>
        <w:ind w:right="740" w:firstLine="133"/>
        <w:spacing w:after="0" w:line="291" w:lineRule="auto"/>
        <w:rPr>
          <w:sz w:val="20"/>
          <w:szCs w:val="20"/>
          <w:color w:val="auto"/>
        </w:rPr>
      </w:pPr>
      <w:r>
        <w:rPr>
          <w:rFonts w:ascii="Arial" w:cs="Arial" w:eastAsia="Arial" w:hAnsi="Arial"/>
          <w:sz w:val="16"/>
          <w:szCs w:val="16"/>
          <w:color w:val="auto"/>
        </w:rPr>
        <w:t>These acquisitions were immaterial based on our consolidated financial condition and results of operations and all were accounted for as business combinations.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7"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56" w:lineRule="exact"/>
        <w:rPr>
          <w:sz w:val="20"/>
          <w:szCs w:val="20"/>
          <w:color w:val="auto"/>
        </w:rPr>
      </w:pPr>
    </w:p>
    <w:p>
      <w:pPr>
        <w:ind w:right="80" w:firstLine="136"/>
        <w:spacing w:after="0" w:line="291" w:lineRule="auto"/>
        <w:rPr>
          <w:sz w:val="20"/>
          <w:szCs w:val="20"/>
          <w:color w:val="auto"/>
        </w:rPr>
      </w:pPr>
      <w:r>
        <w:rPr>
          <w:rFonts w:ascii="Arial" w:cs="Arial" w:eastAsia="Arial" w:hAnsi="Arial"/>
          <w:sz w:val="16"/>
          <w:szCs w:val="16"/>
          <w:color w:val="auto"/>
        </w:rPr>
        <w:t>Our significant accounting policies are described in Note 1 of the Notes to Consolidated Financial Statements. Some of those significant accounting policies require us to make difficult subjective or</w:t>
      </w:r>
    </w:p>
    <w:p>
      <w:pPr>
        <w:sectPr>
          <w:pgSz w:w="11900" w:h="16838" w:orient="portrait"/>
          <w:cols w:equalWidth="0" w:num="1">
            <w:col w:w="11420"/>
          </w:cols>
          <w:pgMar w:left="240" w:top="122" w:right="239" w:bottom="664"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664"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 xml:space="preserve">Warranty Reserve. </w:t>
      </w:r>
      <w:r>
        <w:rPr>
          <w:rFonts w:ascii="Arial" w:cs="Arial" w:eastAsia="Arial" w:hAnsi="Arial"/>
          <w:sz w:val="16"/>
          <w:szCs w:val="16"/>
          <w:color w:val="auto"/>
        </w:rPr>
        <w:t>Warranty coverage on our products is generally for specified periods of time and on select products hours of usage, and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covers parts, labor, and 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i w:val="1"/>
          <w:iCs w:val="1"/>
          <w:color w:val="auto"/>
        </w:rPr>
        <w:t xml:space="preserve">Sales Promotions and Incentives. </w:t>
      </w:r>
      <w:r>
        <w:rPr>
          <w:rFonts w:ascii="Arial" w:cs="Arial" w:eastAsia="Arial" w:hAnsi="Arial"/>
          <w:sz w:val="16"/>
          <w:szCs w:val="16"/>
          <w:color w:val="auto"/>
        </w:rPr>
        <w:t>At the time of sale to a customer, we record an estimate for sales promotion and incentive costs that are classified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6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i w:val="1"/>
          <w:iCs w:val="1"/>
          <w:color w:val="auto"/>
        </w:rPr>
        <w:t xml:space="preserve">Inventory Valuation. </w:t>
      </w:r>
      <w:r>
        <w:rPr>
          <w:rFonts w:ascii="Arial" w:cs="Arial" w:eastAsia="Arial" w:hAnsi="Arial"/>
          <w:sz w:val="16"/>
          <w:szCs w:val="16"/>
          <w:color w:val="auto"/>
        </w:rPr>
        <w:t>We value our inventories at the lower of the cost of inventory or net realizable value, with cost determined by either the last-in, first-out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160" w:lineRule="exact"/>
        <w:rPr>
          <w:sz w:val="20"/>
          <w:szCs w:val="20"/>
          <w:color w:val="auto"/>
        </w:rPr>
      </w:pPr>
    </w:p>
    <w:p>
      <w:pPr>
        <w:ind w:right="80" w:firstLine="136"/>
        <w:spacing w:after="0" w:line="291" w:lineRule="auto"/>
        <w:rPr>
          <w:sz w:val="20"/>
          <w:szCs w:val="20"/>
          <w:color w:val="auto"/>
        </w:rPr>
      </w:pPr>
      <w:r>
        <w:rPr>
          <w:rFonts w:ascii="Arial" w:cs="Arial" w:eastAsia="Arial" w:hAnsi="Arial"/>
          <w:sz w:val="16"/>
          <w:szCs w:val="16"/>
          <w:color w:val="auto"/>
        </w:rPr>
        <w:t>We also record a reserve for inventory shrinkage. Our inventory shrinkage reserve represents anticipated physical inventory losses that are recorded based on historical loss trends, ongoing cycle-count and periodic testing adjustments, and inventory levels.</w:t>
      </w:r>
    </w:p>
    <w:p>
      <w:pPr>
        <w:spacing w:after="0" w:line="131" w:lineRule="exact"/>
        <w:rPr>
          <w:sz w:val="20"/>
          <w:szCs w:val="20"/>
          <w:color w:val="auto"/>
        </w:rPr>
      </w:pPr>
    </w:p>
    <w:p>
      <w:pPr>
        <w:ind w:right="40" w:firstLine="133"/>
        <w:spacing w:after="0" w:line="291" w:lineRule="auto"/>
        <w:rPr>
          <w:sz w:val="20"/>
          <w:szCs w:val="20"/>
          <w:color w:val="auto"/>
        </w:rPr>
      </w:pPr>
      <w:r>
        <w:rPr>
          <w:rFonts w:ascii="Arial" w:cs="Arial" w:eastAsia="Arial" w:hAnsi="Arial"/>
          <w:sz w:val="16"/>
          <w:szCs w:val="16"/>
          <w:color w:val="auto"/>
        </w:rPr>
        <w:t>Though management considers reserve balances adequate and proper, changes in economic conditions in specific markets in which we operate could have an effect on the reserve balances required.</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i w:val="1"/>
          <w:iCs w:val="1"/>
          <w:color w:val="auto"/>
        </w:rPr>
        <w:t xml:space="preserve">Accounts and Notes Receivable Valuation. </w:t>
      </w:r>
      <w:r>
        <w:rPr>
          <w:rFonts w:ascii="Arial" w:cs="Arial" w:eastAsia="Arial" w:hAnsi="Arial"/>
          <w:sz w:val="16"/>
          <w:szCs w:val="16"/>
          <w:color w:val="auto"/>
        </w:rPr>
        <w:t>We value accounts and notes receivable net of an allowance for doubtful accounts. Each fiscal quarter,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A deterioration in the financial condition of any key customer, inability of customers to obtain bank credit lines,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 to be Adopted</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In December 2011, the Financial Accounting Standards Board issued Accounting Standards Update ("ASU") No. 2011-11, </w:t>
      </w:r>
      <w:r>
        <w:rPr>
          <w:rFonts w:ascii="Arial" w:cs="Arial" w:eastAsia="Arial" w:hAnsi="Arial"/>
          <w:sz w:val="16"/>
          <w:szCs w:val="16"/>
          <w:i w:val="1"/>
          <w:iCs w:val="1"/>
          <w:color w:val="auto"/>
        </w:rPr>
        <w:t>Disclosures about Offsetting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Liabilities</w:t>
      </w:r>
      <w:r>
        <w:rPr>
          <w:rFonts w:ascii="Arial" w:cs="Arial" w:eastAsia="Arial" w:hAnsi="Arial"/>
          <w:sz w:val="16"/>
          <w:szCs w:val="16"/>
          <w:color w:val="auto"/>
        </w:rPr>
        <w:t>. ASU No. 2011-11 requires entities to disclose gross and net information about both instruments and transactions eligible for offset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position and those subject to an agreement similar to a master netting arrangement. This would include derivatives and other financial securities arrangements. We will adopt this guidance in our first quarter of fiscal 2014, as required. The adoption of this guidance is not expected to have a material impact on our consolidated financial statements.</w:t>
      </w:r>
    </w:p>
    <w:p>
      <w:pPr>
        <w:spacing w:after="0" w:line="156" w:lineRule="exact"/>
        <w:rPr>
          <w:sz w:val="20"/>
          <w:szCs w:val="20"/>
          <w:color w:val="auto"/>
        </w:rPr>
      </w:pPr>
    </w:p>
    <w:p>
      <w:pPr>
        <w:ind w:right="500" w:firstLine="136"/>
        <w:spacing w:after="0" w:line="291" w:lineRule="auto"/>
        <w:rPr>
          <w:sz w:val="20"/>
          <w:szCs w:val="20"/>
          <w:color w:val="auto"/>
        </w:rPr>
      </w:pPr>
      <w:r>
        <w:rPr>
          <w:rFonts w:ascii="Arial" w:cs="Arial" w:eastAsia="Arial" w:hAnsi="Arial"/>
          <w:sz w:val="16"/>
          <w:szCs w:val="16"/>
          <w:color w:val="auto"/>
        </w:rPr>
        <w:t>No other new accounting pronouncement that has been issued but not yet effective for us during fiscal 2013 has had or is expected to have a material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4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exchange rate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66" w:lineRule="exact"/>
        <w:rPr>
          <w:sz w:val="20"/>
          <w:szCs w:val="20"/>
          <w:color w:val="auto"/>
        </w:rPr>
      </w:pPr>
    </w:p>
    <w:p>
      <w:pPr>
        <w:ind w:right="20" w:firstLine="136"/>
        <w:spacing w:after="0" w:line="253"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Further information regarding gains and losses on our derivative instruments is presented in Note 14 of the Notes to Consolidated Financial Statements.</w:t>
      </w:r>
    </w:p>
    <w:p>
      <w:pPr>
        <w:spacing w:after="0" w:line="160" w:lineRule="exact"/>
        <w:rPr>
          <w:sz w:val="20"/>
          <w:szCs w:val="20"/>
          <w:color w:val="auto"/>
        </w:rPr>
      </w:pPr>
    </w:p>
    <w:p>
      <w:pPr>
        <w:ind w:right="220" w:firstLine="133"/>
        <w:spacing w:after="0" w:line="260" w:lineRule="auto"/>
        <w:rPr>
          <w:sz w:val="20"/>
          <w:szCs w:val="20"/>
          <w:color w:val="auto"/>
        </w:rPr>
      </w:pPr>
      <w:r>
        <w:rPr>
          <w:rFonts w:ascii="Arial" w:cs="Arial" w:eastAsia="Arial" w:hAnsi="Arial"/>
          <w:sz w:val="16"/>
          <w:szCs w:val="16"/>
          <w:color w:val="auto"/>
        </w:rPr>
        <w:t>The following foreign currency exchange contracts held by us have maturity dates in fiscal 2014 and 2015. All items are non-trading and stated in U.S. dollars. Some derivative instruments we enter into do not meet cash flow hedge accounting criteria;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2013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0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3"/>
                <w:szCs w:val="13"/>
                <w:color w:val="auto"/>
              </w:rPr>
            </w:pPr>
          </w:p>
        </w:tc>
      </w:tr>
      <w:tr>
        <w:trPr>
          <w:trHeight w:val="151"/>
        </w:trPr>
        <w:tc>
          <w:tcPr>
            <w:tcW w:w="54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Value in</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Value</w:t>
            </w:r>
          </w:p>
        </w:tc>
      </w:tr>
      <w:tr>
        <w:trPr>
          <w:trHeight w:val="151"/>
        </w:trPr>
        <w:tc>
          <w:tcPr>
            <w:tcW w:w="5400" w:type="dxa"/>
            <w:vAlign w:val="bottom"/>
          </w:tcPr>
          <w:p>
            <w:pPr>
              <w:spacing w:after="0"/>
              <w:rPr>
                <w:sz w:val="13"/>
                <w:szCs w:val="13"/>
                <w:color w:val="auto"/>
              </w:rPr>
            </w:pPr>
          </w:p>
        </w:tc>
        <w:tc>
          <w:tcPr>
            <w:tcW w:w="3980" w:type="dxa"/>
            <w:vAlign w:val="bottom"/>
          </w:tcPr>
          <w:p>
            <w:pPr>
              <w:jc w:val="right"/>
              <w:spacing w:after="0"/>
              <w:rPr>
                <w:sz w:val="20"/>
                <w:szCs w:val="20"/>
                <w:color w:val="auto"/>
              </w:rPr>
            </w:pPr>
            <w:r>
              <w:rPr>
                <w:rFonts w:ascii="Arial" w:cs="Arial" w:eastAsia="Arial" w:hAnsi="Arial"/>
                <w:sz w:val="13"/>
                <w:szCs w:val="13"/>
                <w:color w:val="auto"/>
              </w:rPr>
              <w:t>Average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AOCL</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Impact</w:t>
            </w:r>
          </w:p>
        </w:tc>
      </w:tr>
      <w:tr>
        <w:trPr>
          <w:trHeight w:val="151"/>
        </w:trPr>
        <w:tc>
          <w:tcPr>
            <w:tcW w:w="5400" w:type="dxa"/>
            <w:vAlign w:val="bottom"/>
          </w:tcPr>
          <w:p>
            <w:pPr>
              <w:spacing w:after="0"/>
              <w:rPr>
                <w:sz w:val="20"/>
                <w:szCs w:val="20"/>
                <w:color w:val="auto"/>
              </w:rPr>
            </w:pPr>
            <w:r>
              <w:rPr>
                <w:rFonts w:ascii="Arial" w:cs="Arial" w:eastAsia="Arial" w:hAnsi="Arial"/>
                <w:sz w:val="13"/>
                <w:szCs w:val="13"/>
                <w:color w:val="auto"/>
              </w:rPr>
              <w:t>Dollars in thousands</w:t>
            </w:r>
          </w:p>
        </w:tc>
        <w:tc>
          <w:tcPr>
            <w:tcW w:w="3980" w:type="dxa"/>
            <w:vAlign w:val="bottom"/>
          </w:tcPr>
          <w:p>
            <w:pPr>
              <w:jc w:val="right"/>
              <w:spacing w:after="0"/>
              <w:rPr>
                <w:sz w:val="20"/>
                <w:szCs w:val="20"/>
                <w:color w:val="auto"/>
              </w:rPr>
            </w:pPr>
            <w:r>
              <w:rPr>
                <w:rFonts w:ascii="Arial" w:cs="Arial" w:eastAsia="Arial" w:hAnsi="Arial"/>
                <w:sz w:val="13"/>
                <w:szCs w:val="13"/>
                <w:color w:val="auto"/>
              </w:rPr>
              <w:t>Contracted</w:t>
            </w:r>
          </w:p>
        </w:tc>
        <w:tc>
          <w:tcPr>
            <w:tcW w:w="700" w:type="dxa"/>
            <w:vAlign w:val="bottom"/>
          </w:tcPr>
          <w:p>
            <w:pPr>
              <w:jc w:val="right"/>
              <w:spacing w:after="0"/>
              <w:rPr>
                <w:sz w:val="20"/>
                <w:szCs w:val="20"/>
                <w:color w:val="auto"/>
              </w:rPr>
            </w:pPr>
            <w:r>
              <w:rPr>
                <w:rFonts w:ascii="Arial" w:cs="Arial" w:eastAsia="Arial" w:hAnsi="Arial"/>
                <w:sz w:val="13"/>
                <w:szCs w:val="13"/>
                <w:color w:val="auto"/>
              </w:rPr>
              <w:t>Notional</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Gain</w:t>
            </w:r>
          </w:p>
        </w:tc>
      </w:tr>
      <w:tr>
        <w:trPr>
          <w:trHeight w:val="183"/>
        </w:trPr>
        <w:tc>
          <w:tcPr>
            <w:tcW w:w="5400" w:type="dxa"/>
            <w:vAlign w:val="bottom"/>
          </w:tcPr>
          <w:p>
            <w:pPr>
              <w:spacing w:after="0"/>
              <w:rPr>
                <w:sz w:val="20"/>
                <w:szCs w:val="20"/>
                <w:color w:val="auto"/>
              </w:rPr>
            </w:pPr>
            <w:r>
              <w:rPr>
                <w:rFonts w:ascii="Arial" w:cs="Arial" w:eastAsia="Arial" w:hAnsi="Arial"/>
                <w:sz w:val="13"/>
                <w:szCs w:val="13"/>
                <w:color w:val="auto"/>
              </w:rPr>
              <w:t>(except average contracted rate)</w:t>
            </w:r>
          </w:p>
        </w:tc>
        <w:tc>
          <w:tcPr>
            <w:tcW w:w="3980" w:type="dxa"/>
            <w:vAlign w:val="bottom"/>
          </w:tcPr>
          <w:p>
            <w:pPr>
              <w:jc w:val="right"/>
              <w:spacing w:after="0"/>
              <w:rPr>
                <w:sz w:val="20"/>
                <w:szCs w:val="20"/>
                <w:color w:val="auto"/>
              </w:rPr>
            </w:pPr>
            <w:r>
              <w:rPr>
                <w:rFonts w:ascii="Arial" w:cs="Arial" w:eastAsia="Arial" w:hAnsi="Arial"/>
                <w:sz w:val="13"/>
                <w:szCs w:val="13"/>
                <w:color w:val="auto"/>
              </w:rPr>
              <w:t>Rate</w:t>
            </w:r>
          </w:p>
        </w:tc>
        <w:tc>
          <w:tcPr>
            <w:tcW w:w="700" w:type="dxa"/>
            <w:vAlign w:val="bottom"/>
          </w:tcPr>
          <w:p>
            <w:pPr>
              <w:jc w:val="right"/>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(Loss)</w:t>
            </w:r>
          </w:p>
        </w:tc>
      </w:tr>
      <w:tr>
        <w:trPr>
          <w:trHeight w:val="147"/>
        </w:trPr>
        <w:tc>
          <w:tcPr>
            <w:tcW w:w="54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Buy U.S. $/Sell Australian dollar</w:t>
            </w:r>
          </w:p>
        </w:tc>
        <w:tc>
          <w:tcPr>
            <w:tcW w:w="39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0.9294</w:t>
            </w: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$79,155.2</w:t>
            </w:r>
          </w:p>
        </w:tc>
        <w:tc>
          <w:tcPr>
            <w:tcW w:w="1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(336.0)</w:t>
            </w:r>
          </w:p>
        </w:tc>
        <w:tc>
          <w:tcPr>
            <w:tcW w:w="1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707.1</w:t>
            </w:r>
          </w:p>
        </w:tc>
        <w:tc>
          <w:tcPr>
            <w:tcW w:w="80" w:type="dxa"/>
            <w:vAlign w:val="bottom"/>
            <w:shd w:val="clear" w:color="auto" w:fill="CCEEFF"/>
          </w:tcPr>
          <w:p>
            <w:pPr>
              <w:spacing w:after="0"/>
              <w:rPr>
                <w:sz w:val="12"/>
                <w:szCs w:val="12"/>
                <w:color w:val="auto"/>
              </w:rPr>
            </w:pPr>
          </w:p>
        </w:tc>
      </w:tr>
      <w:tr>
        <w:trPr>
          <w:trHeight w:val="151"/>
        </w:trPr>
        <w:tc>
          <w:tcPr>
            <w:tcW w:w="5400" w:type="dxa"/>
            <w:vAlign w:val="bottom"/>
          </w:tcPr>
          <w:p>
            <w:pPr>
              <w:spacing w:after="0"/>
              <w:rPr>
                <w:sz w:val="20"/>
                <w:szCs w:val="20"/>
                <w:color w:val="auto"/>
              </w:rPr>
            </w:pPr>
            <w:r>
              <w:rPr>
                <w:rFonts w:ascii="Arial" w:cs="Arial" w:eastAsia="Arial" w:hAnsi="Arial"/>
                <w:sz w:val="13"/>
                <w:szCs w:val="13"/>
                <w:b w:val="1"/>
                <w:bCs w:val="1"/>
                <w:color w:val="auto"/>
              </w:rPr>
              <w:t>Buy U.S. $/Sell Canadian dollar</w:t>
            </w:r>
          </w:p>
        </w:tc>
        <w:tc>
          <w:tcPr>
            <w:tcW w:w="3980" w:type="dxa"/>
            <w:vAlign w:val="bottom"/>
          </w:tcPr>
          <w:p>
            <w:pPr>
              <w:jc w:val="right"/>
              <w:spacing w:after="0"/>
              <w:rPr>
                <w:sz w:val="20"/>
                <w:szCs w:val="20"/>
                <w:color w:val="auto"/>
              </w:rPr>
            </w:pPr>
            <w:r>
              <w:rPr>
                <w:rFonts w:ascii="Arial" w:cs="Arial" w:eastAsia="Arial" w:hAnsi="Arial"/>
                <w:sz w:val="13"/>
                <w:szCs w:val="13"/>
                <w:b w:val="1"/>
                <w:bCs w:val="1"/>
                <w:color w:val="auto"/>
              </w:rPr>
              <w:t>1.0359</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8,678.7</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124.4</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(12.4)</w:t>
            </w:r>
          </w:p>
        </w:tc>
      </w:tr>
      <w:tr>
        <w:trPr>
          <w:trHeight w:val="151"/>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Buy U.S. $/Sell Euro</w:t>
            </w:r>
          </w:p>
        </w:tc>
        <w:tc>
          <w:tcPr>
            <w:tcW w:w="3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1.3481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97,402.8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(1,089.0)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99"/>
              </w:rPr>
              <w:t>(1,315.8)</w:t>
            </w:r>
          </w:p>
        </w:tc>
      </w:tr>
      <w:tr>
        <w:trPr>
          <w:trHeight w:val="151"/>
        </w:trPr>
        <w:tc>
          <w:tcPr>
            <w:tcW w:w="5400" w:type="dxa"/>
            <w:vAlign w:val="bottom"/>
          </w:tcPr>
          <w:p>
            <w:pPr>
              <w:spacing w:after="0"/>
              <w:rPr>
                <w:sz w:val="20"/>
                <w:szCs w:val="20"/>
                <w:color w:val="auto"/>
              </w:rPr>
            </w:pPr>
            <w:r>
              <w:rPr>
                <w:rFonts w:ascii="Arial" w:cs="Arial" w:eastAsia="Arial" w:hAnsi="Arial"/>
                <w:sz w:val="13"/>
                <w:szCs w:val="13"/>
                <w:b w:val="1"/>
                <w:bCs w:val="1"/>
                <w:color w:val="auto"/>
              </w:rPr>
              <w:t>Buy U.S. $/Sell British pound</w:t>
            </w:r>
          </w:p>
        </w:tc>
        <w:tc>
          <w:tcPr>
            <w:tcW w:w="3980" w:type="dxa"/>
            <w:vAlign w:val="bottom"/>
          </w:tcPr>
          <w:p>
            <w:pPr>
              <w:jc w:val="right"/>
              <w:spacing w:after="0"/>
              <w:rPr>
                <w:sz w:val="20"/>
                <w:szCs w:val="20"/>
                <w:color w:val="auto"/>
              </w:rPr>
            </w:pPr>
            <w:r>
              <w:rPr>
                <w:rFonts w:ascii="Arial" w:cs="Arial" w:eastAsia="Arial" w:hAnsi="Arial"/>
                <w:sz w:val="13"/>
                <w:szCs w:val="13"/>
                <w:b w:val="1"/>
                <w:bCs w:val="1"/>
                <w:color w:val="auto"/>
              </w:rPr>
              <w:t>1.6001</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3,969.8</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(0.5)</w:t>
            </w:r>
          </w:p>
        </w:tc>
      </w:tr>
      <w:tr>
        <w:trPr>
          <w:trHeight w:val="151"/>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Buy Euro/ Sell U.S. $</w:t>
            </w:r>
          </w:p>
        </w:tc>
        <w:tc>
          <w:tcPr>
            <w:tcW w:w="3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1.3585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6,256.9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(117.1)</w:t>
            </w:r>
          </w:p>
        </w:tc>
      </w:tr>
      <w:tr>
        <w:trPr>
          <w:trHeight w:val="151"/>
        </w:trPr>
        <w:tc>
          <w:tcPr>
            <w:tcW w:w="5400" w:type="dxa"/>
            <w:vAlign w:val="bottom"/>
          </w:tcPr>
          <w:p>
            <w:pPr>
              <w:spacing w:after="0"/>
              <w:rPr>
                <w:sz w:val="20"/>
                <w:szCs w:val="20"/>
                <w:color w:val="auto"/>
              </w:rPr>
            </w:pPr>
            <w:r>
              <w:rPr>
                <w:rFonts w:ascii="Arial" w:cs="Arial" w:eastAsia="Arial" w:hAnsi="Arial"/>
                <w:sz w:val="13"/>
                <w:szCs w:val="13"/>
                <w:b w:val="1"/>
                <w:bCs w:val="1"/>
                <w:color w:val="auto"/>
              </w:rPr>
              <w:t>Buy Mexican peso/ Sell U.S. $</w:t>
            </w:r>
          </w:p>
        </w:tc>
        <w:tc>
          <w:tcPr>
            <w:tcW w:w="3980" w:type="dxa"/>
            <w:vAlign w:val="bottom"/>
          </w:tcPr>
          <w:p>
            <w:pPr>
              <w:jc w:val="right"/>
              <w:spacing w:after="0"/>
              <w:rPr>
                <w:sz w:val="20"/>
                <w:szCs w:val="20"/>
                <w:color w:val="auto"/>
              </w:rPr>
            </w:pPr>
            <w:r>
              <w:rPr>
                <w:rFonts w:ascii="Arial" w:cs="Arial" w:eastAsia="Arial" w:hAnsi="Arial"/>
                <w:sz w:val="13"/>
                <w:szCs w:val="13"/>
                <w:b w:val="1"/>
                <w:bCs w:val="1"/>
                <w:color w:val="auto"/>
              </w:rPr>
              <w:t>14.4183</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11,624.1</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112.3</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1,033.1</w:t>
            </w:r>
          </w:p>
        </w:tc>
        <w:tc>
          <w:tcPr>
            <w:tcW w:w="80" w:type="dxa"/>
            <w:vAlign w:val="bottom"/>
          </w:tcPr>
          <w:p>
            <w:pPr>
              <w:spacing w:after="0"/>
              <w:rPr>
                <w:sz w:val="13"/>
                <w:szCs w:val="13"/>
                <w:color w:val="auto"/>
              </w:rPr>
            </w:pPr>
          </w:p>
        </w:tc>
      </w:tr>
      <w:tr>
        <w:trPr>
          <w:trHeight w:val="151"/>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Buy Euro/Sell Romanian New Leu</w:t>
            </w:r>
          </w:p>
        </w:tc>
        <w:tc>
          <w:tcPr>
            <w:tcW w:w="3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4.4345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11,541.7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(217.6)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(326.1)</w:t>
            </w:r>
          </w:p>
        </w:tc>
      </w:tr>
      <w:tr>
        <w:trPr>
          <w:trHeight w:val="176"/>
        </w:trPr>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Buy Japanese Yen/ Sell U.S. $</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98.0800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r>
    </w:tbl>
    <w:p>
      <w:pPr>
        <w:spacing w:after="0" w:line="184" w:lineRule="exact"/>
        <w:rPr>
          <w:sz w:val="20"/>
          <w:szCs w:val="20"/>
          <w:color w:val="auto"/>
        </w:rPr>
      </w:pPr>
    </w:p>
    <w:p>
      <w:pPr>
        <w:jc w:val="both"/>
        <w:ind w:firstLine="136"/>
        <w:spacing w:after="0" w:line="291"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fair value of long-term debt resulting from a potential decrease in interest rates. We generally do not use interest rate swaps to mitigate the impact of fluctuations in interest rates. Included in long-term debt is $223.5 million of fixed-rate debt that is not subject to variable interest rate fluctuations. As a result, we have no earnings or cash flow exposure due to market risks on our long-term debt obligations. As of October 31, 2013, the estimated fair value of long-term debt with fixed interest rates was $243.1 million compared to its carrying amount of $223.5 million. Market risk for fixed-rate, long-term debt is estimated as the potential increase in fair value, resulting from a hypothetical 10 percent decrease in interest rates, and amounts to approximately $16.8 million. The fair value is estimated by discounting the projected cash flows using the rate that similar amounts and terms of debt could currently be borrowed.</w:t>
      </w:r>
    </w:p>
    <w:p>
      <w:pPr>
        <w:spacing w:after="0" w:line="160" w:lineRule="exact"/>
        <w:rPr>
          <w:sz w:val="20"/>
          <w:szCs w:val="20"/>
          <w:color w:val="auto"/>
        </w:rPr>
      </w:pPr>
    </w:p>
    <w:p>
      <w:pPr>
        <w:ind w:right="60" w:firstLine="136"/>
        <w:spacing w:after="0" w:line="257" w:lineRule="auto"/>
        <w:rPr>
          <w:sz w:val="20"/>
          <w:szCs w:val="20"/>
          <w:color w:val="auto"/>
        </w:rPr>
      </w:pPr>
      <w:r>
        <w:rPr>
          <w:rFonts w:ascii="Arial" w:cs="Arial" w:eastAsia="Arial" w:hAnsi="Arial"/>
          <w:sz w:val="16"/>
          <w:szCs w:val="16"/>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5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 xml:space="preserve">Commodity Risk. </w:t>
      </w:r>
      <w:r>
        <w:rPr>
          <w:rFonts w:ascii="Arial" w:cs="Arial" w:eastAsia="Arial" w:hAnsi="Arial"/>
          <w:sz w:val="16"/>
          <w:szCs w:val="16"/>
          <w:color w:val="auto"/>
        </w:rPr>
        <w:t>We are subject to market risk from fluctuating market prices of certain purchased commodity raw materials including steel, aluminum,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petroleum-based resin,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In fiscal 2013, our manufacturing facilities enter into these fixed-price contracts for approximately 15 to 40 percent of their monthly-anticipated usage.</w:t>
      </w:r>
    </w:p>
    <w:p>
      <w:pPr>
        <w:spacing w:after="0" w:line="1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Equity Price Risk. </w:t>
      </w:r>
      <w:r>
        <w:rPr>
          <w:rFonts w:ascii="Arial" w:cs="Arial" w:eastAsia="Arial" w:hAnsi="Arial"/>
          <w:sz w:val="16"/>
          <w:szCs w:val="16"/>
          <w:color w:val="auto"/>
        </w:rPr>
        <w:t>The trading price volatility of our common stock impacts compensation expense related to our stock-based compensation plans.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is presented in Note 10 of the Notes to Consolidated Financial Statements regarding our stock-based compensation plans.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56" w:lineRule="exact"/>
        <w:rPr>
          <w:sz w:val="20"/>
          <w:szCs w:val="20"/>
          <w:color w:val="auto"/>
        </w:rPr>
      </w:pPr>
    </w:p>
    <w:p>
      <w:pPr>
        <w:ind w:right="240" w:firstLine="133"/>
        <w:spacing w:after="0" w:line="251"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right="140"/>
        <w:spacing w:after="0" w:line="265" w:lineRule="auto"/>
        <w:tabs>
          <w:tab w:leader="none" w:pos="2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60" w:firstLine="136"/>
        <w:spacing w:after="0" w:line="26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56" w:lineRule="exact"/>
        <w:rPr>
          <w:sz w:val="20"/>
          <w:szCs w:val="20"/>
          <w:color w:val="auto"/>
        </w:rPr>
      </w:pPr>
    </w:p>
    <w:p>
      <w:pPr>
        <w:ind w:firstLine="136"/>
        <w:spacing w:after="0" w:line="254" w:lineRule="auto"/>
        <w:rPr>
          <w:sz w:val="20"/>
          <w:szCs w:val="20"/>
          <w:color w:val="auto"/>
        </w:rPr>
      </w:pPr>
      <w:r>
        <w:rPr>
          <w:rFonts w:ascii="Arial" w:cs="Arial" w:eastAsia="Arial" w:hAnsi="Arial"/>
          <w:sz w:val="16"/>
          <w:szCs w:val="16"/>
          <w:color w:val="auto"/>
        </w:rPr>
        <w:t xml:space="preserve">Management, with the participation of the company's Chairman of the Board, President, and Chief Executive Officer and Vice President, Treasurer and Chief Financial Officer, evaluated the effectiveness of the company's internal control over financial reporting as of October 31, 2013. In making this evaluation, management used the criteria set forth by the Committee of Sponsoring Organizations of the Treadway Commission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(1992) </w:t>
      </w:r>
      <w:r>
        <w:rPr>
          <w:rFonts w:ascii="Arial" w:cs="Arial" w:eastAsia="Arial" w:hAnsi="Arial"/>
          <w:sz w:val="16"/>
          <w:szCs w:val="16"/>
          <w:color w:val="auto"/>
        </w:rPr>
        <w:t>. Based on this assessment, management concluded that the company's internal control over financial reporting was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31, 2013. Our internal control over financial reporting as of October 31, 2013, has been audited by KPMG LLP, an independent registered public accounting firm, as stated in their report which is included herein.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0967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67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096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67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Treasurer and Chief Financial Officer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Further discussion of the Company's internal controls and procedures is included in Part II, Item 9A, "Controls and Procedures" of this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and Board of Directors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Toro Company:</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have audited the accompanying consolidated balance sheets of The Toro Company and subsidiaries as of October 31, 2013 and 2012 and the related consolidated statements of earnings, comprehensive income, stockholders' equity, and cash flows for each of the fiscal years in the three-year period ended October 31, 2013. In connection with our audits of the consolidated financial statements, we have audited the financial statement schedule listed in Item 15(a)</w:t>
      </w:r>
    </w:p>
    <w:p>
      <w:pPr>
        <w:spacing w:after="0" w:line="249" w:lineRule="auto"/>
        <w:tabs>
          <w:tab w:leader="none" w:pos="1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We also have audited The Toro Company's internal control over financial reporting as of October 31, 2013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(1992) </w:t>
      </w:r>
      <w:r>
        <w:rPr>
          <w:rFonts w:ascii="Arial" w:cs="Arial" w:eastAsia="Arial" w:hAnsi="Arial"/>
          <w:sz w:val="16"/>
          <w:szCs w:val="16"/>
          <w:color w:val="auto"/>
        </w:rPr>
        <w:t>issued by the Committee of Sponsoring Organizations of the Treadway Commission (COSO). The Toro Company's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64" w:lineRule="exact"/>
        <w:rPr>
          <w:sz w:val="20"/>
          <w:szCs w:val="20"/>
          <w:color w:val="auto"/>
        </w:rPr>
      </w:pPr>
    </w:p>
    <w:p>
      <w:pPr>
        <w:ind w:right="180" w:firstLine="136"/>
        <w:spacing w:after="0" w:line="25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ind w:right="20" w:firstLine="127"/>
        <w:spacing w:after="0" w:line="25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ind w:right="40" w:firstLine="136"/>
        <w:spacing w:after="0" w:line="26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firstLine="136"/>
        <w:spacing w:after="0" w:line="254"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Toro Company and subsidiaries as of October 31, 2013 and 2012 and the results of their operations and their cash flows for each of the fiscal years in the three-year period ended October 31, 2013, in conformity with U.S. generally accepted accounting principles. In our opinion, the identified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1202690" cy="247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2690" cy="24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ind w:left="3220"/>
        <w:spacing w:after="0"/>
        <w:rPr>
          <w:sz w:val="20"/>
          <w:szCs w:val="20"/>
          <w:color w:val="auto"/>
        </w:rPr>
      </w:pPr>
      <w:r>
        <w:rPr>
          <w:rFonts w:ascii="Arial" w:cs="Arial" w:eastAsia="Arial" w:hAnsi="Arial"/>
          <w:sz w:val="23"/>
          <w:szCs w:val="23"/>
          <w:b w:val="1"/>
          <w:bCs w:val="1"/>
          <w:color w:val="auto"/>
        </w:rPr>
        <w:t>CONSOLIDATED STATEMENTS OF EARNINGS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26"/>
        </w:trPr>
        <w:tc>
          <w:tcPr>
            <w:tcW w:w="7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(Dollars and shares in thousands, except per share data) Fiscal years ended October 31</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16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Net sales</w:t>
            </w:r>
          </w:p>
        </w:tc>
        <w:tc>
          <w:tcPr>
            <w:tcW w:w="1140" w:type="dxa"/>
            <w:vAlign w:val="bottom"/>
            <w:gridSpan w:val="2"/>
          </w:tcPr>
          <w:p>
            <w:pPr>
              <w:jc w:val="right"/>
              <w:ind w:right="58"/>
              <w:spacing w:after="0" w:line="181" w:lineRule="exact"/>
              <w:rPr>
                <w:sz w:val="20"/>
                <w:szCs w:val="20"/>
                <w:color w:val="auto"/>
              </w:rPr>
            </w:pPr>
            <w:r>
              <w:rPr>
                <w:rFonts w:ascii="Arial" w:cs="Arial" w:eastAsia="Arial" w:hAnsi="Arial"/>
                <w:sz w:val="16"/>
                <w:szCs w:val="16"/>
                <w:b w:val="1"/>
                <w:bCs w:val="1"/>
                <w:color w:val="auto"/>
              </w:rPr>
              <w:t>$2,041,431</w:t>
            </w:r>
          </w:p>
        </w:tc>
        <w:tc>
          <w:tcPr>
            <w:tcW w:w="9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$1,958,690</w:t>
            </w:r>
          </w:p>
        </w:tc>
        <w:tc>
          <w:tcPr>
            <w:tcW w:w="92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$1,883,953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Cost of sales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w w:val="98"/>
              </w:rPr>
              <w:t>1,316,634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1,285,596</w:t>
            </w:r>
          </w:p>
        </w:tc>
        <w:tc>
          <w:tcPr>
            <w:tcW w:w="1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1,247,306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4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5"/>
                <w:szCs w:val="15"/>
                <w:color w:val="auto"/>
              </w:rPr>
            </w:pPr>
          </w:p>
        </w:tc>
        <w:tc>
          <w:tcPr>
            <w:tcW w:w="860" w:type="dxa"/>
            <w:vAlign w:val="bottom"/>
          </w:tcPr>
          <w:p>
            <w:pPr>
              <w:jc w:val="right"/>
              <w:ind w:right="58"/>
              <w:spacing w:after="0" w:line="181" w:lineRule="exact"/>
              <w:rPr>
                <w:sz w:val="20"/>
                <w:szCs w:val="20"/>
                <w:color w:val="auto"/>
              </w:rPr>
            </w:pPr>
            <w:r>
              <w:rPr>
                <w:rFonts w:ascii="Arial" w:cs="Arial" w:eastAsia="Arial" w:hAnsi="Arial"/>
                <w:sz w:val="16"/>
                <w:szCs w:val="16"/>
                <w:b w:val="1"/>
                <w:bCs w:val="1"/>
                <w:color w:val="auto"/>
              </w:rPr>
              <w:t>724,797</w:t>
            </w:r>
          </w:p>
        </w:tc>
        <w:tc>
          <w:tcPr>
            <w:tcW w:w="1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673,094</w:t>
            </w:r>
          </w:p>
        </w:tc>
        <w:tc>
          <w:tcPr>
            <w:tcW w:w="180" w:type="dxa"/>
            <w:vAlign w:val="bottom"/>
          </w:tcPr>
          <w:p>
            <w:pPr>
              <w:spacing w:after="0"/>
              <w:rPr>
                <w:sz w:val="15"/>
                <w:szCs w:val="15"/>
                <w:color w:val="auto"/>
              </w:rPr>
            </w:pPr>
          </w:p>
        </w:tc>
        <w:tc>
          <w:tcPr>
            <w:tcW w:w="7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636,647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Selling, general, and administrative expense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494,135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467,481</w:t>
            </w:r>
          </w:p>
        </w:tc>
        <w:tc>
          <w:tcPr>
            <w:tcW w:w="1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452,160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4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Operating earnings</w:t>
            </w:r>
          </w:p>
        </w:tc>
        <w:tc>
          <w:tcPr>
            <w:tcW w:w="280" w:type="dxa"/>
            <w:vAlign w:val="bottom"/>
          </w:tcPr>
          <w:p>
            <w:pPr>
              <w:spacing w:after="0"/>
              <w:rPr>
                <w:sz w:val="15"/>
                <w:szCs w:val="15"/>
                <w:color w:val="auto"/>
              </w:rPr>
            </w:pPr>
          </w:p>
        </w:tc>
        <w:tc>
          <w:tcPr>
            <w:tcW w:w="860" w:type="dxa"/>
            <w:vAlign w:val="bottom"/>
          </w:tcPr>
          <w:p>
            <w:pPr>
              <w:jc w:val="right"/>
              <w:ind w:right="58"/>
              <w:spacing w:after="0" w:line="181" w:lineRule="exact"/>
              <w:rPr>
                <w:sz w:val="20"/>
                <w:szCs w:val="20"/>
                <w:color w:val="auto"/>
              </w:rPr>
            </w:pPr>
            <w:r>
              <w:rPr>
                <w:rFonts w:ascii="Arial" w:cs="Arial" w:eastAsia="Arial" w:hAnsi="Arial"/>
                <w:sz w:val="16"/>
                <w:szCs w:val="16"/>
                <w:b w:val="1"/>
                <w:bCs w:val="1"/>
                <w:color w:val="auto"/>
              </w:rPr>
              <w:t>230,662</w:t>
            </w:r>
          </w:p>
        </w:tc>
        <w:tc>
          <w:tcPr>
            <w:tcW w:w="1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205,613</w:t>
            </w:r>
          </w:p>
        </w:tc>
        <w:tc>
          <w:tcPr>
            <w:tcW w:w="180" w:type="dxa"/>
            <w:vAlign w:val="bottom"/>
          </w:tcPr>
          <w:p>
            <w:pPr>
              <w:spacing w:after="0"/>
              <w:rPr>
                <w:sz w:val="15"/>
                <w:szCs w:val="15"/>
                <w:color w:val="auto"/>
              </w:rPr>
            </w:pPr>
          </w:p>
        </w:tc>
        <w:tc>
          <w:tcPr>
            <w:tcW w:w="7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184,487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 expense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(16,210)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(16,906)</w:t>
            </w:r>
          </w:p>
        </w:tc>
        <w:tc>
          <w:tcPr>
            <w:tcW w:w="18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(16,970)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Other income, net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12,261</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4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b w:val="1"/>
                <w:bCs w:val="1"/>
                <w:color w:val="auto"/>
              </w:rPr>
              <w:t>Earnings before income taxes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8"/>
              <w:spacing w:after="0" w:line="181" w:lineRule="exact"/>
              <w:rPr>
                <w:sz w:val="20"/>
                <w:szCs w:val="20"/>
                <w:color w:val="auto"/>
              </w:rPr>
            </w:pPr>
            <w:r>
              <w:rPr>
                <w:rFonts w:ascii="Arial" w:cs="Arial" w:eastAsia="Arial" w:hAnsi="Arial"/>
                <w:sz w:val="16"/>
                <w:szCs w:val="16"/>
                <w:b w:val="1"/>
                <w:bCs w:val="1"/>
                <w:color w:val="auto"/>
              </w:rPr>
              <w:t>226,713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196,262</w:t>
            </w:r>
          </w:p>
        </w:tc>
        <w:tc>
          <w:tcPr>
            <w:tcW w:w="1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174,826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Provision for income taxes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71,868</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57,168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4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b w:val="1"/>
                <w:bCs w:val="1"/>
                <w:color w:val="auto"/>
              </w:rPr>
              <w:t>Net earnings</w:t>
            </w:r>
          </w:p>
        </w:tc>
        <w:tc>
          <w:tcPr>
            <w:tcW w:w="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58"/>
              <w:spacing w:after="0" w:line="181" w:lineRule="exact"/>
              <w:rPr>
                <w:sz w:val="20"/>
                <w:szCs w:val="20"/>
                <w:color w:val="auto"/>
              </w:rPr>
            </w:pPr>
            <w:r>
              <w:rPr>
                <w:rFonts w:ascii="Arial" w:cs="Arial" w:eastAsia="Arial" w:hAnsi="Arial"/>
                <w:sz w:val="16"/>
                <w:szCs w:val="16"/>
                <w:b w:val="1"/>
                <w:bCs w:val="1"/>
                <w:color w:val="auto"/>
              </w:rPr>
              <w:t>154,845</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129,541</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117,658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Basic net earnings per share of common stock</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Diluted net earnings per share of common stock</w:t>
            </w:r>
          </w:p>
        </w:tc>
        <w:tc>
          <w:tcPr>
            <w:tcW w:w="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58"/>
              <w:spacing w:after="0" w:line="181" w:lineRule="exact"/>
              <w:rPr>
                <w:sz w:val="20"/>
                <w:szCs w:val="20"/>
                <w:color w:val="auto"/>
              </w:rPr>
            </w:pPr>
            <w:r>
              <w:rPr>
                <w:rFonts w:ascii="Arial" w:cs="Arial" w:eastAsia="Arial" w:hAnsi="Arial"/>
                <w:sz w:val="16"/>
                <w:szCs w:val="16"/>
                <w:b w:val="1"/>
                <w:bCs w:val="1"/>
                <w:color w:val="auto"/>
              </w:rPr>
              <w:t>2.62</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2.14</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1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Weighted-average number of shares of common stock outstanding – Basic</w:t>
            </w:r>
          </w:p>
        </w:tc>
        <w:tc>
          <w:tcPr>
            <w:tcW w:w="280" w:type="dxa"/>
            <w:vAlign w:val="bottom"/>
          </w:tcPr>
          <w:p>
            <w:pPr>
              <w:spacing w:after="0"/>
              <w:rPr>
                <w:sz w:val="15"/>
                <w:szCs w:val="15"/>
                <w:color w:val="auto"/>
              </w:rPr>
            </w:pPr>
          </w:p>
        </w:tc>
        <w:tc>
          <w:tcPr>
            <w:tcW w:w="860" w:type="dxa"/>
            <w:vAlign w:val="bottom"/>
          </w:tcPr>
          <w:p>
            <w:pPr>
              <w:jc w:val="right"/>
              <w:ind w:right="58"/>
              <w:spacing w:after="0" w:line="181" w:lineRule="exact"/>
              <w:rPr>
                <w:sz w:val="20"/>
                <w:szCs w:val="20"/>
                <w:color w:val="auto"/>
              </w:rPr>
            </w:pPr>
            <w:r>
              <w:rPr>
                <w:rFonts w:ascii="Arial" w:cs="Arial" w:eastAsia="Arial" w:hAnsi="Arial"/>
                <w:sz w:val="16"/>
                <w:szCs w:val="16"/>
                <w:b w:val="1"/>
                <w:bCs w:val="1"/>
                <w:color w:val="auto"/>
              </w:rPr>
              <w:t>57,922</w:t>
            </w:r>
          </w:p>
        </w:tc>
        <w:tc>
          <w:tcPr>
            <w:tcW w:w="1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59,446</w:t>
            </w:r>
          </w:p>
        </w:tc>
        <w:tc>
          <w:tcPr>
            <w:tcW w:w="180" w:type="dxa"/>
            <w:vAlign w:val="bottom"/>
          </w:tcPr>
          <w:p>
            <w:pPr>
              <w:spacing w:after="0"/>
              <w:rPr>
                <w:sz w:val="15"/>
                <w:szCs w:val="15"/>
                <w:color w:val="auto"/>
              </w:rPr>
            </w:pPr>
          </w:p>
        </w:tc>
        <w:tc>
          <w:tcPr>
            <w:tcW w:w="7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62,534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Weighted-average number of shares of common stock outstanding – Diluted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59,105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60,618</w:t>
            </w:r>
          </w:p>
        </w:tc>
        <w:tc>
          <w:tcPr>
            <w:tcW w:w="1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63,594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20" w:type="dxa"/>
            <w:vAlign w:val="bottom"/>
            <w:gridSpan w:val="5"/>
          </w:tcPr>
          <w:p>
            <w:pPr>
              <w:jc w:val="right"/>
              <w:ind w:right="638"/>
              <w:spacing w:after="0"/>
              <w:rPr>
                <w:sz w:val="20"/>
                <w:szCs w:val="20"/>
                <w:color w:val="auto"/>
              </w:rPr>
            </w:pPr>
            <w:r>
              <w:rPr>
                <w:rFonts w:ascii="Arial" w:cs="Arial" w:eastAsia="Arial" w:hAnsi="Arial"/>
                <w:sz w:val="23"/>
                <w:szCs w:val="23"/>
                <w:b w:val="1"/>
                <w:bCs w:val="1"/>
                <w:color w:val="auto"/>
              </w:rPr>
              <w:t>CONSOLIDATED STATEMENTS OF COMPREHENSIVE INCOME</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thousands) Fiscal years ended October 31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2012</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9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earnings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$154,845</w:t>
            </w:r>
          </w:p>
        </w:tc>
        <w:tc>
          <w:tcPr>
            <w:tcW w:w="920" w:type="dxa"/>
            <w:vAlign w:val="bottom"/>
            <w:gridSpan w:val="2"/>
            <w:shd w:val="clear" w:color="auto" w:fill="CCEEFF"/>
          </w:tcPr>
          <w:p>
            <w:pPr>
              <w:jc w:val="right"/>
              <w:ind w:right="58"/>
              <w:spacing w:after="0" w:line="181" w:lineRule="exact"/>
              <w:rPr>
                <w:sz w:val="20"/>
                <w:szCs w:val="20"/>
                <w:color w:val="auto"/>
              </w:rPr>
            </w:pPr>
            <w:r>
              <w:rPr>
                <w:rFonts w:ascii="Arial" w:cs="Arial" w:eastAsia="Arial" w:hAnsi="Arial"/>
                <w:sz w:val="16"/>
                <w:szCs w:val="16"/>
                <w:color w:val="auto"/>
              </w:rPr>
              <w:t>$129,541</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5"/>
              </w:rPr>
              <w:t>$ 117,658</w:t>
            </w:r>
          </w:p>
        </w:tc>
        <w:tc>
          <w:tcPr>
            <w:tcW w:w="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960" w:type="dxa"/>
            <w:vAlign w:val="bottom"/>
          </w:tcPr>
          <w:p>
            <w:pPr>
              <w:spacing w:after="0" w:line="181" w:lineRule="exact"/>
              <w:rPr>
                <w:sz w:val="20"/>
                <w:szCs w:val="20"/>
                <w:color w:val="auto"/>
              </w:rPr>
            </w:pPr>
            <w:r>
              <w:rPr>
                <w:rFonts w:ascii="Arial" w:cs="Arial" w:eastAsia="Arial" w:hAnsi="Arial"/>
                <w:sz w:val="16"/>
                <w:szCs w:val="16"/>
                <w:b w:val="1"/>
                <w:bCs w:val="1"/>
                <w:color w:val="auto"/>
              </w:rPr>
              <w:t>Other comprehensive (loss) income, net of tax:</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 adjustments, net of tax of $247, $0, and $0, respectively</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Pension and retiree medical benefits, net of tax of $904, $279, and $(484), respectively</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645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Derivative instruments, net of tax of $(261), $(239), and $1,566, respectively</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Other comprehensive (loss) income, net</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(2,596)</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9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Comprehensive income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$152,249</w:t>
            </w:r>
          </w:p>
        </w:tc>
        <w:tc>
          <w:tcPr>
            <w:tcW w:w="920" w:type="dxa"/>
            <w:vAlign w:val="bottom"/>
            <w:gridSpan w:val="2"/>
            <w:shd w:val="clear" w:color="auto" w:fill="CCEEFF"/>
          </w:tcPr>
          <w:p>
            <w:pPr>
              <w:jc w:val="right"/>
              <w:ind w:right="58"/>
              <w:spacing w:after="0" w:line="181" w:lineRule="exact"/>
              <w:rPr>
                <w:sz w:val="20"/>
                <w:szCs w:val="20"/>
                <w:color w:val="auto"/>
              </w:rPr>
            </w:pPr>
            <w:r>
              <w:rPr>
                <w:rFonts w:ascii="Arial" w:cs="Arial" w:eastAsia="Arial" w:hAnsi="Arial"/>
                <w:sz w:val="16"/>
                <w:szCs w:val="16"/>
                <w:color w:val="auto"/>
              </w:rPr>
              <w:t>$126,393</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5"/>
              </w:rPr>
              <w:t>$ 119,894</w:t>
            </w:r>
          </w:p>
        </w:tc>
        <w:tc>
          <w:tcPr>
            <w:tcW w:w="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620" w:right="4500" w:hanging="5622"/>
        <w:spacing w:after="0" w:line="542" w:lineRule="auto"/>
        <w:rPr>
          <w:sz w:val="20"/>
          <w:szCs w:val="20"/>
          <w:color w:val="auto"/>
        </w:rPr>
      </w:pPr>
      <w:r>
        <w:rPr>
          <w:rFonts w:ascii="Arial" w:cs="Arial" w:eastAsia="Arial" w:hAnsi="Arial"/>
          <w:sz w:val="13"/>
          <w:szCs w:val="13"/>
          <w:color w:val="auto"/>
        </w:rPr>
        <w:t xml:space="preserve">The financial statements should be read in conjunction with the Notes to Consolidated Financial Statements </w:t>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26122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860"/>
          </w:cols>
          <w:pgMar w:left="240" w:top="122" w:right="79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CONSOLIDATED BALANCE SHEETS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26"/>
        </w:trPr>
        <w:tc>
          <w:tcPr>
            <w:tcW w:w="7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(Dollars in thousands, except per share data) October 31</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18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182,993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125,856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Receivables, net: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rPr>
                <w:sz w:val="20"/>
                <w:szCs w:val="20"/>
                <w:color w:val="auto"/>
              </w:rPr>
            </w:pPr>
            <w:r>
              <w:rPr>
                <w:rFonts w:ascii="Arial" w:cs="Arial" w:eastAsia="Arial" w:hAnsi="Arial"/>
                <w:sz w:val="16"/>
                <w:szCs w:val="16"/>
                <w:b w:val="1"/>
                <w:bCs w:val="1"/>
                <w:color w:val="auto"/>
              </w:rPr>
              <w:t>Customers (net of $3,035 and $3,733, respectively, for allowance for doubtful accounts)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147,475</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144,241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9,696</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Total receivables, net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157,171</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147,410</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b w:val="1"/>
                <w:bCs w:val="1"/>
                <w:color w:val="auto"/>
              </w:rPr>
              <w:t>Inventories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line="181" w:lineRule="exact"/>
              <w:rPr>
                <w:sz w:val="20"/>
                <w:szCs w:val="20"/>
                <w:color w:val="auto"/>
              </w:rPr>
            </w:pPr>
            <w:r>
              <w:rPr>
                <w:rFonts w:ascii="Arial" w:cs="Arial" w:eastAsia="Arial" w:hAnsi="Arial"/>
                <w:sz w:val="16"/>
                <w:szCs w:val="16"/>
                <w:b w:val="1"/>
                <w:bCs w:val="1"/>
                <w:color w:val="auto"/>
              </w:rPr>
              <w:t>240,089</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w w:val="96"/>
              </w:rPr>
              <w:t>251,117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Prepaid expenses and other current assets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33,258</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24,437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39,756</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653,267</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612,134</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line="181" w:lineRule="exact"/>
              <w:rPr>
                <w:sz w:val="20"/>
                <w:szCs w:val="20"/>
                <w:color w:val="auto"/>
              </w:rPr>
            </w:pPr>
            <w:r>
              <w:rPr>
                <w:rFonts w:ascii="Arial" w:cs="Arial" w:eastAsia="Arial" w:hAnsi="Arial"/>
                <w:sz w:val="16"/>
                <w:szCs w:val="16"/>
                <w:b w:val="1"/>
                <w:bCs w:val="1"/>
                <w:color w:val="auto"/>
              </w:rPr>
              <w:t>185,096</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w w:val="96"/>
              </w:rPr>
              <w:t>180,523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44,163</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18,477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Goodwill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91,914</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Other intangible assets,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28,308</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180" w:type="dxa"/>
            <w:vAlign w:val="bottom"/>
            <w:shd w:val="clear" w:color="auto" w:fill="CCEEFF"/>
          </w:tcPr>
          <w:p>
            <w:pPr>
              <w:ind w:left="400"/>
              <w:spacing w:after="0" w:line="181" w:lineRule="exact"/>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8"/>
              <w:spacing w:after="0" w:line="181" w:lineRule="exact"/>
              <w:rPr>
                <w:sz w:val="20"/>
                <w:szCs w:val="20"/>
                <w:color w:val="auto"/>
              </w:rPr>
            </w:pPr>
            <w:r>
              <w:rPr>
                <w:rFonts w:ascii="Arial" w:cs="Arial" w:eastAsia="Arial" w:hAnsi="Arial"/>
                <w:sz w:val="16"/>
                <w:szCs w:val="16"/>
                <w:b w:val="1"/>
                <w:bCs w:val="1"/>
                <w:color w:val="auto"/>
                <w:w w:val="98"/>
              </w:rPr>
              <w:t>1,002,748</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w w:val="96"/>
              </w:rPr>
              <w:t>935,199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Current portion of long-term debt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1,858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Accounts payable</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136,158</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124,806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Accrued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rPr>
                <w:sz w:val="20"/>
                <w:szCs w:val="20"/>
                <w:color w:val="auto"/>
              </w:rPr>
            </w:pPr>
            <w:r>
              <w:rPr>
                <w:rFonts w:ascii="Arial" w:cs="Arial" w:eastAsia="Arial" w:hAnsi="Arial"/>
                <w:sz w:val="16"/>
                <w:szCs w:val="16"/>
                <w:b w:val="1"/>
                <w:bCs w:val="1"/>
                <w:color w:val="auto"/>
              </w:rPr>
              <w:t>Warranty</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72,177</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69,848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Advertising and marketing programs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64,191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56,264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rPr>
                <w:sz w:val="20"/>
                <w:szCs w:val="20"/>
                <w:color w:val="auto"/>
              </w:rPr>
            </w:pPr>
            <w:r>
              <w:rPr>
                <w:rFonts w:ascii="Arial" w:cs="Arial" w:eastAsia="Arial" w:hAnsi="Arial"/>
                <w:sz w:val="16"/>
                <w:szCs w:val="16"/>
                <w:b w:val="1"/>
                <w:bCs w:val="1"/>
                <w:color w:val="auto"/>
              </w:rPr>
              <w:t>Compensation and benefit costs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53,500</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51,591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Insurance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18,184</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19,227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rPr>
                <w:sz w:val="20"/>
                <w:szCs w:val="20"/>
                <w:color w:val="auto"/>
              </w:rPr>
            </w:pPr>
            <w:r>
              <w:rPr>
                <w:rFonts w:ascii="Arial" w:cs="Arial" w:eastAsia="Arial" w:hAnsi="Arial"/>
                <w:sz w:val="16"/>
                <w:szCs w:val="16"/>
                <w:b w:val="1"/>
                <w:bCs w:val="1"/>
                <w:color w:val="auto"/>
              </w:rPr>
              <w:t>Income taxes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1,938</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1,165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42,697</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53,363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388,845</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378,122</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b w:val="1"/>
                <w:bCs w:val="1"/>
                <w:color w:val="auto"/>
              </w:rPr>
              <w:t>Long-term debt, less current portion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line="181" w:lineRule="exact"/>
              <w:rPr>
                <w:sz w:val="20"/>
                <w:szCs w:val="20"/>
                <w:color w:val="auto"/>
              </w:rPr>
            </w:pPr>
            <w:r>
              <w:rPr>
                <w:rFonts w:ascii="Arial" w:cs="Arial" w:eastAsia="Arial" w:hAnsi="Arial"/>
                <w:sz w:val="16"/>
                <w:szCs w:val="16"/>
                <w:b w:val="1"/>
                <w:bCs w:val="1"/>
                <w:color w:val="auto"/>
              </w:rPr>
              <w:t>223,544</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w w:val="96"/>
              </w:rPr>
              <w:t>223,482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Deferred revenue</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10,899</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11,143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5,969</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Other long-term liabilities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14,753</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7,770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80" w:type="dxa"/>
            <w:vAlign w:val="bottom"/>
          </w:tcPr>
          <w:p>
            <w:pPr>
              <w:ind w:left="280"/>
              <w:spacing w:after="0" w:line="169" w:lineRule="exact"/>
              <w:rPr>
                <w:sz w:val="20"/>
                <w:szCs w:val="20"/>
                <w:color w:val="auto"/>
              </w:rPr>
            </w:pPr>
            <w:r>
              <w:rPr>
                <w:rFonts w:ascii="Arial" w:cs="Arial" w:eastAsia="Arial" w:hAnsi="Arial"/>
                <w:sz w:val="16"/>
                <w:szCs w:val="16"/>
                <w:b w:val="1"/>
                <w:bCs w:val="1"/>
                <w:color w:val="auto"/>
              </w:rPr>
              <w:t>Preferred stock, par value $1.00, authorized 1,000,000 voting and 850,000 non-voting</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180" w:type="dxa"/>
            <w:vAlign w:val="bottom"/>
          </w:tcPr>
          <w:p>
            <w:pPr>
              <w:ind w:left="400"/>
              <w:spacing w:after="0"/>
              <w:rPr>
                <w:sz w:val="20"/>
                <w:szCs w:val="20"/>
                <w:color w:val="auto"/>
              </w:rPr>
            </w:pPr>
            <w:r>
              <w:rPr>
                <w:rFonts w:ascii="Arial" w:cs="Arial" w:eastAsia="Arial" w:hAnsi="Arial"/>
                <w:sz w:val="16"/>
                <w:szCs w:val="16"/>
                <w:b w:val="1"/>
                <w:bCs w:val="1"/>
                <w:color w:val="auto"/>
              </w:rPr>
              <w:t>shares, none issued and outstanding</w:t>
            </w:r>
          </w:p>
        </w:tc>
        <w:tc>
          <w:tcPr>
            <w:tcW w:w="24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1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b w:val="1"/>
                <w:bCs w:val="1"/>
                <w:color w:val="auto"/>
              </w:rPr>
              <w:t>Common stock, par value $1.00, authorized 175,000,000 shares as of October 31, 2013</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and 100,000,000 shares as of October 31, 2012; issued and outstanding 56,788,723</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8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shares as of October 31, 2013 and 58,266,482 shares as of October 31, 2012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56,789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58,266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rPr>
                <w:sz w:val="20"/>
                <w:szCs w:val="20"/>
                <w:color w:val="auto"/>
              </w:rPr>
            </w:pPr>
            <w:r>
              <w:rPr>
                <w:rFonts w:ascii="Arial" w:cs="Arial" w:eastAsia="Arial" w:hAnsi="Arial"/>
                <w:sz w:val="16"/>
                <w:szCs w:val="16"/>
                <w:b w:val="1"/>
                <w:bCs w:val="1"/>
                <w:color w:val="auto"/>
              </w:rPr>
              <w:t>Retained earnings</w:t>
            </w:r>
          </w:p>
        </w:tc>
        <w:tc>
          <w:tcPr>
            <w:tcW w:w="24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b w:val="1"/>
                <w:bCs w:val="1"/>
                <w:color w:val="auto"/>
              </w:rPr>
              <w:t>314,519</w:t>
            </w: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264,110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Accumulated other comprehensive loss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(12,570)</w:t>
            </w: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(9,974)</w:t>
            </w: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358,738</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312,402</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80" w:type="dxa"/>
            <w:vAlign w:val="bottom"/>
            <w:shd w:val="clear" w:color="auto" w:fill="CCEEFF"/>
          </w:tcPr>
          <w:p>
            <w:pPr>
              <w:ind w:left="400"/>
              <w:spacing w:after="0" w:line="181" w:lineRule="exact"/>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8"/>
              <w:spacing w:after="0" w:line="181" w:lineRule="exact"/>
              <w:rPr>
                <w:sz w:val="20"/>
                <w:szCs w:val="20"/>
                <w:color w:val="auto"/>
              </w:rPr>
            </w:pPr>
            <w:r>
              <w:rPr>
                <w:rFonts w:ascii="Arial" w:cs="Arial" w:eastAsia="Arial" w:hAnsi="Arial"/>
                <w:sz w:val="16"/>
                <w:szCs w:val="16"/>
                <w:b w:val="1"/>
                <w:bCs w:val="1"/>
                <w:color w:val="auto"/>
                <w:w w:val="98"/>
              </w:rPr>
              <w:t>1,002,748</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w w:val="96"/>
              </w:rPr>
              <w:t>935,199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financial statements should be read in conjunction with the Notes to Consolidated Financial Statements.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ind w:left="3060"/>
        <w:spacing w:after="0"/>
        <w:rPr>
          <w:sz w:val="20"/>
          <w:szCs w:val="20"/>
          <w:color w:val="auto"/>
        </w:rPr>
      </w:pPr>
      <w:r>
        <w:rPr>
          <w:rFonts w:ascii="Arial" w:cs="Arial" w:eastAsia="Arial" w:hAnsi="Arial"/>
          <w:sz w:val="23"/>
          <w:szCs w:val="23"/>
          <w:b w:val="1"/>
          <w:bCs w:val="1"/>
          <w:color w:val="auto"/>
        </w:rPr>
        <w:t>CONSOLIDATED STATEMENTS OF CASH FLOWS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26"/>
        </w:trPr>
        <w:tc>
          <w:tcPr>
            <w:tcW w:w="63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(Dollars in thousands) Fiscal years ended October 31</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2012</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4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154,845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
              <w:spacing w:after="0"/>
              <w:rPr>
                <w:sz w:val="20"/>
                <w:szCs w:val="20"/>
                <w:color w:val="auto"/>
              </w:rPr>
            </w:pPr>
            <w:r>
              <w:rPr>
                <w:rFonts w:ascii="Arial" w:cs="Arial" w:eastAsia="Arial" w:hAnsi="Arial"/>
                <w:sz w:val="16"/>
                <w:szCs w:val="16"/>
                <w:color w:val="auto"/>
                <w:w w:val="96"/>
              </w:rPr>
              <w:t>129,541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117,658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b w:val="1"/>
                <w:bCs w:val="1"/>
                <w:color w:val="auto"/>
              </w:rPr>
              <w:t>Adjustments to reconcile net earnings to net cash provided by operating</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activities: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Provision for depreciation, amortization, and impairment losses</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54,134</w:t>
            </w:r>
          </w:p>
        </w:tc>
        <w:tc>
          <w:tcPr>
            <w:tcW w:w="16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53,634</w:t>
            </w:r>
          </w:p>
        </w:tc>
        <w:tc>
          <w:tcPr>
            <w:tcW w:w="1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48,506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Noncash income from affiliates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(7,097)</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Decrease (increase) in deferred income taxes</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149</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Stock-based compensation expense</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10,237</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9,503</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8,533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Changes in operating assets and liabilities, net of effect of acquisitions: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Receivables, net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(11,912)</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(495)</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Inventories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9,373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(21,973)</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(25,667)</w:t>
            </w: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Prepaid expenses and other assets</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(6,825)</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(6,741)</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169"/>
        </w:trPr>
        <w:tc>
          <w:tcPr>
            <w:tcW w:w="634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b w:val="1"/>
                <w:bCs w:val="1"/>
                <w:color w:val="auto"/>
              </w:rPr>
              <w:t>Accounts payable, accrued liabilities, deferred revenue, and other long-term</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18,962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28,663</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(17,295)</w:t>
            </w:r>
          </w:p>
        </w:tc>
        <w:tc>
          <w:tcPr>
            <w:tcW w:w="0" w:type="dxa"/>
            <w:vAlign w:val="bottom"/>
          </w:tcPr>
          <w:p>
            <w:pPr>
              <w:spacing w:after="0"/>
              <w:rPr>
                <w:sz w:val="1"/>
                <w:szCs w:val="1"/>
                <w:color w:val="auto"/>
              </w:rPr>
            </w:pPr>
          </w:p>
        </w:tc>
      </w:tr>
      <w:tr>
        <w:trPr>
          <w:trHeight w:val="25"/>
        </w:trPr>
        <w:tc>
          <w:tcPr>
            <w:tcW w:w="6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221,876</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96"/>
              </w:rPr>
              <w:t>185,798</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113,877</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Purchases of property, plant, and equipment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(49,427)</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(43,242)</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(57,447)</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Proceeds from asset disposals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413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Distributions from finance affiliate, net</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6,342</w:t>
            </w:r>
          </w:p>
        </w:tc>
        <w:tc>
          <w:tcPr>
            <w:tcW w:w="16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5,091</w:t>
            </w:r>
          </w:p>
        </w:tc>
        <w:tc>
          <w:tcPr>
            <w:tcW w:w="1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3,034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Acquisitions, net of cash acquired</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(2,101)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(9,663)</w:t>
            </w:r>
          </w:p>
        </w:tc>
        <w:tc>
          <w:tcPr>
            <w:tcW w:w="1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(15,155)</w:t>
            </w:r>
          </w:p>
        </w:tc>
        <w:tc>
          <w:tcPr>
            <w:tcW w:w="0" w:type="dxa"/>
            <w:vAlign w:val="bottom"/>
          </w:tcPr>
          <w:p>
            <w:pPr>
              <w:spacing w:after="0"/>
              <w:rPr>
                <w:sz w:val="1"/>
                <w:szCs w:val="1"/>
                <w:color w:val="auto"/>
              </w:rPr>
            </w:pPr>
          </w:p>
        </w:tc>
      </w:tr>
      <w:tr>
        <w:trPr>
          <w:trHeight w:val="20"/>
        </w:trPr>
        <w:tc>
          <w:tcPr>
            <w:tcW w:w="6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40" w:type="dxa"/>
            <w:vAlign w:val="bottom"/>
            <w:shd w:val="clear" w:color="auto" w:fill="CCEEFF"/>
          </w:tcPr>
          <w:p>
            <w:pPr>
              <w:ind w:left="400"/>
              <w:spacing w:after="0" w:line="181" w:lineRule="exact"/>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(44,773)</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(47,323)</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(69,275)</w:t>
            </w:r>
          </w:p>
        </w:tc>
        <w:tc>
          <w:tcPr>
            <w:tcW w:w="0" w:type="dxa"/>
            <w:vAlign w:val="bottom"/>
          </w:tcPr>
          <w:p>
            <w:pPr>
              <w:spacing w:after="0"/>
              <w:rPr>
                <w:sz w:val="1"/>
                <w:szCs w:val="1"/>
                <w:color w:val="auto"/>
              </w:rPr>
            </w:pPr>
          </w:p>
        </w:tc>
      </w:tr>
      <w:tr>
        <w:trPr>
          <w:trHeight w:val="25"/>
        </w:trPr>
        <w:tc>
          <w:tcPr>
            <w:tcW w:w="6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40" w:type="dxa"/>
            <w:vAlign w:val="bottom"/>
          </w:tcPr>
          <w:p>
            <w:pPr>
              <w:spacing w:after="0" w:line="181"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Repayments of short-term debt, net</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Repayments of long-term debt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(1,739)</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(1,858)</w:t>
            </w: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Excess tax benefits from stock-based awards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6,134</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9,017</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2,988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Proceeds from exercise of stock options</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9,808</w:t>
            </w:r>
          </w:p>
        </w:tc>
        <w:tc>
          <w:tcPr>
            <w:tcW w:w="16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20,347</w:t>
            </w:r>
          </w:p>
        </w:tc>
        <w:tc>
          <w:tcPr>
            <w:tcW w:w="1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14,467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Purchases of Toro common stock</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(99,587)</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(93,395)</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(129,955)</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Dividends paid on Toro common stock</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(32,499)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(26,230)</w:t>
            </w:r>
          </w:p>
        </w:tc>
        <w:tc>
          <w:tcPr>
            <w:tcW w:w="1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(24,970)</w:t>
            </w:r>
          </w:p>
        </w:tc>
        <w:tc>
          <w:tcPr>
            <w:tcW w:w="0" w:type="dxa"/>
            <w:vAlign w:val="bottom"/>
          </w:tcPr>
          <w:p>
            <w:pPr>
              <w:spacing w:after="0"/>
              <w:rPr>
                <w:sz w:val="1"/>
                <w:szCs w:val="1"/>
                <w:color w:val="auto"/>
              </w:rPr>
            </w:pPr>
          </w:p>
        </w:tc>
      </w:tr>
      <w:tr>
        <w:trPr>
          <w:trHeight w:val="20"/>
        </w:trPr>
        <w:tc>
          <w:tcPr>
            <w:tcW w:w="6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40" w:type="dxa"/>
            <w:vAlign w:val="bottom"/>
            <w:shd w:val="clear" w:color="auto" w:fill="CCEEFF"/>
          </w:tcPr>
          <w:p>
            <w:pPr>
              <w:ind w:left="400"/>
              <w:spacing w:after="0" w:line="181" w:lineRule="exact"/>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w w:val="99"/>
              </w:rPr>
              <w:t>(118,298)</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(93,041)</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w w:val="99"/>
              </w:rPr>
              <w:t>(140,103)</w:t>
            </w:r>
          </w:p>
        </w:tc>
        <w:tc>
          <w:tcPr>
            <w:tcW w:w="0" w:type="dxa"/>
            <w:vAlign w:val="bottom"/>
          </w:tcPr>
          <w:p>
            <w:pPr>
              <w:spacing w:after="0"/>
              <w:rPr>
                <w:sz w:val="1"/>
                <w:szCs w:val="1"/>
                <w:color w:val="auto"/>
              </w:rPr>
            </w:pPr>
          </w:p>
        </w:tc>
      </w:tr>
      <w:tr>
        <w:trPr>
          <w:trHeight w:val="25"/>
        </w:trPr>
        <w:tc>
          <w:tcPr>
            <w:tcW w:w="6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Effect of exchange rates on cash</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
              <w:spacing w:after="0" w:line="181" w:lineRule="exact"/>
              <w:rPr>
                <w:sz w:val="20"/>
                <w:szCs w:val="20"/>
                <w:color w:val="auto"/>
              </w:rPr>
            </w:pPr>
            <w:r>
              <w:rPr>
                <w:rFonts w:ascii="Arial" w:cs="Arial" w:eastAsia="Arial" w:hAnsi="Arial"/>
                <w:sz w:val="16"/>
                <w:szCs w:val="16"/>
                <w:b w:val="1"/>
                <w:bCs w:val="1"/>
                <w:color w:val="auto"/>
              </w:rPr>
              <w:t>57,137</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8"/>
              <w:spacing w:after="0" w:line="181" w:lineRule="exact"/>
              <w:rPr>
                <w:sz w:val="20"/>
                <w:szCs w:val="20"/>
                <w:color w:val="auto"/>
              </w:rPr>
            </w:pPr>
            <w:r>
              <w:rPr>
                <w:rFonts w:ascii="Arial" w:cs="Arial" w:eastAsia="Arial" w:hAnsi="Arial"/>
                <w:sz w:val="16"/>
                <w:szCs w:val="16"/>
                <w:color w:val="auto"/>
              </w:rPr>
              <w:t>44,970</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(96,480)</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as of the beginning of the fiscal year</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125,856</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80,886</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3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and cash equivalents as of the end of the fiscal year</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18"/>
              <w:spacing w:after="0" w:line="181" w:lineRule="exact"/>
              <w:rPr>
                <w:sz w:val="20"/>
                <w:szCs w:val="20"/>
                <w:color w:val="auto"/>
              </w:rPr>
            </w:pPr>
            <w:r>
              <w:rPr>
                <w:rFonts w:ascii="Arial" w:cs="Arial" w:eastAsia="Arial" w:hAnsi="Arial"/>
                <w:sz w:val="16"/>
                <w:szCs w:val="16"/>
                <w:b w:val="1"/>
                <w:bCs w:val="1"/>
                <w:color w:val="auto"/>
              </w:rPr>
              <w:t>182,993</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8"/>
              <w:spacing w:after="0" w:line="181" w:lineRule="exact"/>
              <w:rPr>
                <w:sz w:val="20"/>
                <w:szCs w:val="20"/>
                <w:color w:val="auto"/>
              </w:rPr>
            </w:pPr>
            <w:r>
              <w:rPr>
                <w:rFonts w:ascii="Arial" w:cs="Arial" w:eastAsia="Arial" w:hAnsi="Arial"/>
                <w:sz w:val="16"/>
                <w:szCs w:val="16"/>
                <w:color w:val="auto"/>
                <w:w w:val="96"/>
              </w:rPr>
              <w:t>125,856</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80,886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40" w:type="dxa"/>
            <w:vAlign w:val="bottom"/>
          </w:tcPr>
          <w:p>
            <w:pPr>
              <w:spacing w:after="0" w:line="181"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paid during the fiscal year for:</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280"/>
              <w:spacing w:after="0"/>
              <w:rPr>
                <w:sz w:val="20"/>
                <w:szCs w:val="20"/>
                <w:color w:val="auto"/>
              </w:rPr>
            </w:pPr>
            <w:r>
              <w:rPr>
                <w:rFonts w:ascii="Arial" w:cs="Arial" w:eastAsia="Arial" w:hAnsi="Arial"/>
                <w:sz w:val="16"/>
                <w:szCs w:val="16"/>
                <w:b w:val="1"/>
                <w:bCs w:val="1"/>
                <w:color w:val="auto"/>
              </w:rPr>
              <w:t>Interest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17,054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17,147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17,120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Income taxes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76,186</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58,709</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60,296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Shares issued in connection with stock-based compensation plans</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6,629</w:t>
            </w:r>
          </w:p>
        </w:tc>
        <w:tc>
          <w:tcPr>
            <w:tcW w:w="16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2,986</w:t>
            </w:r>
          </w:p>
        </w:tc>
        <w:tc>
          <w:tcPr>
            <w:tcW w:w="1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4,005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Payment obligations issued in connection with acquisitions</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1,395</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3,515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financial statements should be read in conjunction with the Notes to Consolidated Financial Statements.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ind w:left="2400"/>
        <w:spacing w:after="0"/>
        <w:rPr>
          <w:sz w:val="20"/>
          <w:szCs w:val="20"/>
          <w:color w:val="auto"/>
        </w:rPr>
      </w:pPr>
      <w:r>
        <w:rPr>
          <w:rFonts w:ascii="Arial" w:cs="Arial" w:eastAsia="Arial" w:hAnsi="Arial"/>
          <w:sz w:val="23"/>
          <w:szCs w:val="23"/>
          <w:b w:val="1"/>
          <w:bCs w:val="1"/>
          <w:color w:val="auto"/>
        </w:rPr>
        <w:t>CONSOLIDATED STATEMENTS OF STOCKHOLDERS' EQUITY</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5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3"/>
                <w:szCs w:val="13"/>
                <w:color w:val="auto"/>
              </w:rPr>
              <w:t>Accumulated</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1"/>
        </w:trPr>
        <w:tc>
          <w:tcPr>
            <w:tcW w:w="512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Common</w:t>
            </w: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Retained</w:t>
            </w:r>
          </w:p>
        </w:tc>
        <w:tc>
          <w:tcPr>
            <w:tcW w:w="14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Arial" w:cs="Arial" w:eastAsia="Arial" w:hAnsi="Arial"/>
                <w:sz w:val="13"/>
                <w:szCs w:val="13"/>
                <w:color w:val="auto"/>
              </w:rPr>
              <w:t>Comprehensive</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Arial" w:cs="Arial" w:eastAsia="Arial" w:hAnsi="Arial"/>
                <w:sz w:val="13"/>
                <w:szCs w:val="13"/>
                <w:color w:val="auto"/>
              </w:rPr>
              <w:t>(Dollars in thousands, except per share data)</w:t>
            </w: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Stock</w:t>
            </w: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Earnings</w:t>
            </w:r>
          </w:p>
        </w:tc>
        <w:tc>
          <w:tcPr>
            <w:tcW w:w="1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3"/>
                <w:szCs w:val="13"/>
                <w:color w:val="auto"/>
              </w:rPr>
              <w:t>Loss</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October 31, 2010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$ 62,790</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$ 222,082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275,810</w:t>
            </w:r>
          </w:p>
        </w:tc>
        <w:tc>
          <w:tcPr>
            <w:tcW w:w="0" w:type="dxa"/>
            <w:vAlign w:val="bottom"/>
          </w:tcPr>
          <w:p>
            <w:pPr>
              <w:spacing w:after="0"/>
              <w:rPr>
                <w:sz w:val="1"/>
                <w:szCs w:val="1"/>
                <w:color w:val="auto"/>
              </w:rPr>
            </w:pPr>
          </w:p>
        </w:tc>
      </w:tr>
      <w:tr>
        <w:trPr>
          <w:trHeight w:val="25"/>
        </w:trPr>
        <w:tc>
          <w:tcPr>
            <w:tcW w:w="5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line="181" w:lineRule="exact"/>
              <w:rPr>
                <w:sz w:val="20"/>
                <w:szCs w:val="20"/>
                <w:color w:val="auto"/>
              </w:rPr>
            </w:pPr>
            <w:r>
              <w:rPr>
                <w:rFonts w:ascii="Arial" w:cs="Arial" w:eastAsia="Arial" w:hAnsi="Arial"/>
                <w:sz w:val="16"/>
                <w:szCs w:val="16"/>
                <w:color w:val="auto"/>
              </w:rPr>
              <w:t>Cash dividends paid on common stock – $0.40 per share</w:t>
            </w:r>
          </w:p>
        </w:tc>
        <w:tc>
          <w:tcPr>
            <w:tcW w:w="8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(24,970)</w:t>
            </w:r>
          </w:p>
        </w:tc>
        <w:tc>
          <w:tcPr>
            <w:tcW w:w="140" w:type="dxa"/>
            <w:vAlign w:val="bottom"/>
          </w:tcPr>
          <w:p>
            <w:pPr>
              <w:spacing w:after="0"/>
              <w:rPr>
                <w:sz w:val="15"/>
                <w:szCs w:val="15"/>
                <w:color w:val="auto"/>
              </w:rPr>
            </w:pPr>
          </w:p>
        </w:tc>
        <w:tc>
          <w:tcPr>
            <w:tcW w:w="104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(24,970)</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Issuance of 1,009,520 shares under stock-based compensation plans</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21,859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22,868</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Purchase of 4,592,760 shares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(125,362)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(129,955)</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color w:val="auto"/>
              </w:rPr>
              <w:t>Excess tax benefits from stock-based awards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2,988</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Net earnings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117,658</w:t>
            </w:r>
          </w:p>
        </w:tc>
        <w:tc>
          <w:tcPr>
            <w:tcW w:w="14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117,658</w:t>
            </w:r>
          </w:p>
        </w:tc>
        <w:tc>
          <w:tcPr>
            <w:tcW w:w="0" w:type="dxa"/>
            <w:vAlign w:val="bottom"/>
          </w:tcPr>
          <w:p>
            <w:pPr>
              <w:spacing w:after="0"/>
              <w:rPr>
                <w:sz w:val="1"/>
                <w:szCs w:val="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as of October 31, 2011</w:t>
            </w:r>
          </w:p>
        </w:tc>
        <w:tc>
          <w:tcPr>
            <w:tcW w:w="820" w:type="dxa"/>
            <w:vAlign w:val="bottom"/>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$ 59,206</w:t>
            </w:r>
          </w:p>
        </w:tc>
        <w:tc>
          <w:tcPr>
            <w:tcW w:w="920" w:type="dxa"/>
            <w:vAlign w:val="bottom"/>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$ 214,387</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(6,826)</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266,767</w:t>
            </w:r>
          </w:p>
        </w:tc>
        <w:tc>
          <w:tcPr>
            <w:tcW w:w="0" w:type="dxa"/>
            <w:vAlign w:val="bottom"/>
          </w:tcPr>
          <w:p>
            <w:pPr>
              <w:spacing w:after="0"/>
              <w:rPr>
                <w:sz w:val="1"/>
                <w:szCs w:val="1"/>
                <w:color w:val="auto"/>
              </w:rPr>
            </w:pPr>
          </w:p>
        </w:tc>
      </w:tr>
      <w:tr>
        <w:trPr>
          <w:trHeight w:val="25"/>
        </w:trPr>
        <w:tc>
          <w:tcPr>
            <w:tcW w:w="5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line="181" w:lineRule="exact"/>
              <w:rPr>
                <w:sz w:val="20"/>
                <w:szCs w:val="20"/>
                <w:color w:val="auto"/>
              </w:rPr>
            </w:pPr>
            <w:r>
              <w:rPr>
                <w:rFonts w:ascii="Arial" w:cs="Arial" w:eastAsia="Arial" w:hAnsi="Arial"/>
                <w:sz w:val="16"/>
                <w:szCs w:val="16"/>
                <w:color w:val="auto"/>
              </w:rPr>
              <w:t>Cash dividends paid on common stock – $0.44 per share</w:t>
            </w:r>
          </w:p>
        </w:tc>
        <w:tc>
          <w:tcPr>
            <w:tcW w:w="8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(26,230)</w:t>
            </w:r>
          </w:p>
        </w:tc>
        <w:tc>
          <w:tcPr>
            <w:tcW w:w="140" w:type="dxa"/>
            <w:vAlign w:val="bottom"/>
          </w:tcPr>
          <w:p>
            <w:pPr>
              <w:spacing w:after="0"/>
              <w:rPr>
                <w:sz w:val="15"/>
                <w:szCs w:val="15"/>
                <w:color w:val="auto"/>
              </w:rPr>
            </w:pPr>
          </w:p>
        </w:tc>
        <w:tc>
          <w:tcPr>
            <w:tcW w:w="104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(26,230)</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Issuance of 1,664,835 shares under stock-based compensation plans</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1,665</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27,930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29,595</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Purchase of 2,604,525 shares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(90,790)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(93,395)</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color w:val="auto"/>
              </w:rPr>
              <w:t>Excess tax benefits from stock-based awards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9,017</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9,017</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Net earnings</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129,541</w:t>
            </w:r>
          </w:p>
        </w:tc>
        <w:tc>
          <w:tcPr>
            <w:tcW w:w="14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129,541</w:t>
            </w:r>
          </w:p>
        </w:tc>
        <w:tc>
          <w:tcPr>
            <w:tcW w:w="0" w:type="dxa"/>
            <w:vAlign w:val="bottom"/>
          </w:tcPr>
          <w:p>
            <w:pPr>
              <w:spacing w:after="0"/>
              <w:rPr>
                <w:sz w:val="1"/>
                <w:szCs w:val="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as of October 31, 2012</w:t>
            </w:r>
          </w:p>
        </w:tc>
        <w:tc>
          <w:tcPr>
            <w:tcW w:w="820" w:type="dxa"/>
            <w:vAlign w:val="bottom"/>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$ 58,266</w:t>
            </w:r>
          </w:p>
        </w:tc>
        <w:tc>
          <w:tcPr>
            <w:tcW w:w="920" w:type="dxa"/>
            <w:vAlign w:val="bottom"/>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$ 264,110</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(9,974)</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312,402</w:t>
            </w:r>
          </w:p>
        </w:tc>
        <w:tc>
          <w:tcPr>
            <w:tcW w:w="0" w:type="dxa"/>
            <w:vAlign w:val="bottom"/>
          </w:tcPr>
          <w:p>
            <w:pPr>
              <w:spacing w:after="0"/>
              <w:rPr>
                <w:sz w:val="1"/>
                <w:szCs w:val="1"/>
                <w:color w:val="auto"/>
              </w:rPr>
            </w:pPr>
          </w:p>
        </w:tc>
      </w:tr>
      <w:tr>
        <w:trPr>
          <w:trHeight w:val="25"/>
        </w:trPr>
        <w:tc>
          <w:tcPr>
            <w:tcW w:w="5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line="181" w:lineRule="exact"/>
              <w:rPr>
                <w:sz w:val="20"/>
                <w:szCs w:val="20"/>
                <w:color w:val="auto"/>
              </w:rPr>
            </w:pPr>
            <w:r>
              <w:rPr>
                <w:rFonts w:ascii="Arial" w:cs="Arial" w:eastAsia="Arial" w:hAnsi="Arial"/>
                <w:sz w:val="16"/>
                <w:szCs w:val="16"/>
                <w:b w:val="1"/>
                <w:bCs w:val="1"/>
                <w:color w:val="auto"/>
              </w:rPr>
              <w:t>Cash dividends paid on common stock – $0.56 per share</w:t>
            </w:r>
          </w:p>
        </w:tc>
        <w:tc>
          <w:tcPr>
            <w:tcW w:w="820" w:type="dxa"/>
            <w:vAlign w:val="bottom"/>
          </w:tcPr>
          <w:p>
            <w:pPr>
              <w:jc w:val="right"/>
              <w:ind w:right="20"/>
              <w:spacing w:after="0" w:line="181"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(32,499)</w:t>
            </w:r>
          </w:p>
        </w:tc>
        <w:tc>
          <w:tcPr>
            <w:tcW w:w="140" w:type="dxa"/>
            <w:vAlign w:val="bottom"/>
          </w:tcPr>
          <w:p>
            <w:pPr>
              <w:spacing w:after="0"/>
              <w:rPr>
                <w:sz w:val="15"/>
                <w:szCs w:val="15"/>
                <w:color w:val="auto"/>
              </w:rPr>
            </w:pPr>
          </w:p>
        </w:tc>
        <w:tc>
          <w:tcPr>
            <w:tcW w:w="1040" w:type="dxa"/>
            <w:vAlign w:val="bottom"/>
          </w:tcPr>
          <w:p>
            <w:pPr>
              <w:jc w:val="right"/>
              <w:ind w:right="20"/>
              <w:spacing w:after="0" w:line="181"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(32,499)</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Issuance of 669,426 shares under stock-based compensation</w:t>
            </w: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plans</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670</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17,904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18,574</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b w:val="1"/>
                <w:bCs w:val="1"/>
                <w:color w:val="auto"/>
              </w:rPr>
              <w:t>Contribution of stock to a deferred compensation trust</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1,466</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1,466</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 of 2,147,185 shares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(97,441)</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(99,588)</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6"/>
                <w:szCs w:val="16"/>
                <w:b w:val="1"/>
                <w:bCs w:val="1"/>
                <w:color w:val="auto"/>
              </w:rPr>
              <w:t>Excess tax benefits from stock-based awards</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6,134</w:t>
            </w:r>
          </w:p>
        </w:tc>
        <w:tc>
          <w:tcPr>
            <w:tcW w:w="1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6,134</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(2,596)</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b w:val="1"/>
                <w:bCs w:val="1"/>
                <w:color w:val="auto"/>
              </w:rPr>
              <w:t>Net earnings</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154,845</w:t>
            </w:r>
          </w:p>
        </w:tc>
        <w:tc>
          <w:tcPr>
            <w:tcW w:w="14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154,845</w:t>
            </w:r>
          </w:p>
        </w:tc>
        <w:tc>
          <w:tcPr>
            <w:tcW w:w="0" w:type="dxa"/>
            <w:vAlign w:val="bottom"/>
          </w:tcPr>
          <w:p>
            <w:pPr>
              <w:spacing w:after="0"/>
              <w:rPr>
                <w:sz w:val="1"/>
                <w:szCs w:val="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Balance as of October 31, 2013</w:t>
            </w:r>
          </w:p>
        </w:tc>
        <w:tc>
          <w:tcPr>
            <w:tcW w:w="820" w:type="dxa"/>
            <w:vAlign w:val="bottom"/>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$ 56,789</w:t>
            </w:r>
          </w:p>
        </w:tc>
        <w:tc>
          <w:tcPr>
            <w:tcW w:w="920" w:type="dxa"/>
            <w:vAlign w:val="bottom"/>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$ 314,519</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(12,570)</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b w:val="1"/>
                <w:bCs w:val="1"/>
                <w:color w:val="auto"/>
              </w:rPr>
              <w:t>358,738</w:t>
            </w:r>
          </w:p>
        </w:tc>
        <w:tc>
          <w:tcPr>
            <w:tcW w:w="0" w:type="dxa"/>
            <w:vAlign w:val="bottom"/>
          </w:tcPr>
          <w:p>
            <w:pPr>
              <w:spacing w:after="0"/>
              <w:rPr>
                <w:sz w:val="1"/>
                <w:szCs w:val="1"/>
                <w:color w:val="auto"/>
              </w:rPr>
            </w:pPr>
          </w:p>
        </w:tc>
      </w:tr>
      <w:tr>
        <w:trPr>
          <w:trHeight w:val="25"/>
        </w:trPr>
        <w:tc>
          <w:tcPr>
            <w:tcW w:w="5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financial statements should be read in conjunction with the Notes to Consolidated Financial Statements.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22" w:right="13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248" w:lineRule="exact"/>
        <w:rPr>
          <w:sz w:val="20"/>
          <w:szCs w:val="20"/>
          <w:color w:val="auto"/>
        </w:rPr>
      </w:pPr>
    </w:p>
    <w:p>
      <w:pPr>
        <w:ind w:left="680" w:hanging="680"/>
        <w:spacing w:after="0"/>
        <w:tabs>
          <w:tab w:leader="none" w:pos="680" w:val="left"/>
        </w:tabs>
        <w:numPr>
          <w:ilvl w:val="0"/>
          <w:numId w:val="36"/>
        </w:numPr>
        <w:rPr>
          <w:rFonts w:ascii="Arial" w:cs="Arial" w:eastAsia="Arial" w:hAnsi="Arial"/>
          <w:sz w:val="40"/>
          <w:szCs w:val="40"/>
          <w:b w:val="1"/>
          <w:bCs w:val="1"/>
          <w:color w:val="auto"/>
        </w:rPr>
      </w:pPr>
      <w:r>
        <w:rPr>
          <w:rFonts w:ascii="Arial" w:cs="Arial" w:eastAsia="Arial" w:hAnsi="Arial"/>
          <w:sz w:val="20"/>
          <w:szCs w:val="20"/>
          <w:b w:val="1"/>
          <w:bCs w:val="1"/>
          <w:color w:val="auto"/>
        </w:rPr>
        <w:t>SUMMARY OF SIGNIFICANT ACCOUNTING POLICIES AND RELATED DATA</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Consolidation</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Estimates</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preparing the consolidated financial statements in conformity with United States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 accruals, incentive compensation accruals, inventory valuation, warranty reserves, earnout liabilities, allowance for doubtful accounts, pension and postretirement accruals, self-insurance accruals, and useful lives of tangible and intangible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amounts from prior years' financial statements have been reclassified to conform to the current year presentation. The reclassifications had no impact on results of operations as previously reported.</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to be cash equivalents and are stated at cost, which approximates fair value. As of October 31, 2013, cash and short-term investments held by the company's foreign subsidiaries that are not available to fund domestic operations unless repatriated were $24,837.</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 estimates the balance of allowance for doubtful accounts by analyzing the age of account and note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Valuations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most inventories. The first-in, first-out ("FIFO") method is used for all other inventories, constituting 33 and 31 percent of total inventories as of October 31, 2013 and 2012, respectively.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 During fiscal 2013, LIFO layers were reduced. This reduction resulted in charging lower inventory costs prevailing in previous years to cost of sales, thus reducing cost of sales by $122. During fiscal 2012 and 2011, no LIFO inventory layers were reduced.</w:t>
      </w:r>
    </w:p>
    <w:p>
      <w:pPr>
        <w:sectPr>
          <w:pgSz w:w="11900" w:h="16838" w:orient="portrait"/>
          <w:cols w:equalWidth="0" w:num="1">
            <w:col w:w="11420"/>
          </w:cols>
          <w:pgMar w:left="240" w:top="122"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156845</wp:posOffset>
            </wp:positionV>
            <wp:extent cx="6595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5110" cy="8255"/>
                    </a:xfrm>
                    <a:prstGeom prst="rect">
                      <a:avLst/>
                    </a:prstGeom>
                    <a:noFill/>
                  </pic:spPr>
                </pic:pic>
              </a:graphicData>
            </a:graphic>
          </wp:anchor>
        </w:drawing>
      </w:r>
    </w:p>
    <w:p>
      <w:pPr>
        <w:spacing w:after="0" w:line="276"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6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Raw materials and work in progress</w:t>
            </w:r>
          </w:p>
        </w:tc>
        <w:tc>
          <w:tcPr>
            <w:tcW w:w="3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87,668</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91,465</w:t>
            </w:r>
          </w:p>
        </w:tc>
        <w:tc>
          <w:tcPr>
            <w:tcW w:w="1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Finished goods and service parts</w:t>
            </w:r>
          </w:p>
        </w:tc>
        <w:tc>
          <w:tcPr>
            <w:tcW w:w="3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7"/>
              </w:rPr>
              <w:t>217,796</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223,459</w:t>
            </w:r>
          </w:p>
        </w:tc>
        <w:tc>
          <w:tcPr>
            <w:tcW w:w="14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568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b w:val="1"/>
                <w:bCs w:val="1"/>
                <w:color w:val="auto"/>
              </w:rPr>
              <w:t>Total FIFO value</w:t>
            </w:r>
          </w:p>
        </w:tc>
        <w:tc>
          <w:tcPr>
            <w:tcW w:w="35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w w:val="97"/>
              </w:rPr>
              <w:t>305,464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314,924</w:t>
            </w:r>
          </w:p>
        </w:tc>
        <w:tc>
          <w:tcPr>
            <w:tcW w:w="1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Less: adjustment to LIFO value</w:t>
            </w:r>
          </w:p>
        </w:tc>
        <w:tc>
          <w:tcPr>
            <w:tcW w:w="3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65,375</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63,807</w:t>
            </w:r>
          </w:p>
        </w:tc>
        <w:tc>
          <w:tcPr>
            <w:tcW w:w="14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56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3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w w:val="97"/>
              </w:rPr>
              <w:t>240,089</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251,117</w:t>
            </w:r>
          </w:p>
        </w:tc>
        <w:tc>
          <w:tcPr>
            <w:tcW w:w="140" w:type="dxa"/>
            <w:vAlign w:val="bottom"/>
            <w:shd w:val="clear" w:color="auto" w:fill="CCEEFF"/>
          </w:tcPr>
          <w:p>
            <w:pPr>
              <w:spacing w:after="0"/>
              <w:rPr>
                <w:sz w:val="12"/>
                <w:szCs w:val="12"/>
                <w:color w:val="auto"/>
              </w:rPr>
            </w:pPr>
          </w:p>
        </w:tc>
      </w:tr>
      <w:tr>
        <w:trPr>
          <w:trHeight w:val="25"/>
        </w:trPr>
        <w:tc>
          <w:tcPr>
            <w:tcW w:w="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Depreciation</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two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2013, 2012, and 2011, the company capitalized $722, $256, and $230 of interest, respectively.</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156845</wp:posOffset>
            </wp:positionV>
            <wp:extent cx="65951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5110" cy="8255"/>
                    </a:xfrm>
                    <a:prstGeom prst="rect">
                      <a:avLst/>
                    </a:prstGeom>
                    <a:noFill/>
                  </pic:spPr>
                </pic:pic>
              </a:graphicData>
            </a:graphic>
          </wp:anchor>
        </w:drawing>
      </w:r>
    </w:p>
    <w:p>
      <w:pPr>
        <w:spacing w:after="0" w:line="276"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8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Land and land improvements</w:t>
            </w:r>
          </w:p>
        </w:tc>
        <w:tc>
          <w:tcPr>
            <w:tcW w:w="3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27,632</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27,325</w:t>
            </w:r>
          </w:p>
        </w:tc>
        <w:tc>
          <w:tcPr>
            <w:tcW w:w="14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5820" w:type="dxa"/>
            <w:vAlign w:val="bottom"/>
          </w:tcPr>
          <w:p>
            <w:pPr>
              <w:spacing w:after="0"/>
              <w:rPr>
                <w:sz w:val="20"/>
                <w:szCs w:val="20"/>
                <w:color w:val="auto"/>
              </w:rPr>
            </w:pPr>
            <w:r>
              <w:rPr>
                <w:rFonts w:ascii="Arial" w:cs="Arial" w:eastAsia="Arial" w:hAnsi="Arial"/>
                <w:sz w:val="13"/>
                <w:szCs w:val="13"/>
                <w:b w:val="1"/>
                <w:bCs w:val="1"/>
                <w:color w:val="auto"/>
              </w:rPr>
              <w:t>Buildings and leasehold improvements</w:t>
            </w:r>
          </w:p>
        </w:tc>
        <w:tc>
          <w:tcPr>
            <w:tcW w:w="33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w w:val="97"/>
              </w:rPr>
              <w:t>133,866</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129,353</w:t>
            </w:r>
          </w:p>
        </w:tc>
        <w:tc>
          <w:tcPr>
            <w:tcW w:w="1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Machinery and equipment</w:t>
            </w:r>
          </w:p>
        </w:tc>
        <w:tc>
          <w:tcPr>
            <w:tcW w:w="3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97"/>
              </w:rPr>
              <w:t>284,492</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268,571</w:t>
            </w:r>
          </w:p>
        </w:tc>
        <w:tc>
          <w:tcPr>
            <w:tcW w:w="14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820" w:type="dxa"/>
            <w:vAlign w:val="bottom"/>
          </w:tcPr>
          <w:p>
            <w:pPr>
              <w:spacing w:after="0"/>
              <w:rPr>
                <w:sz w:val="20"/>
                <w:szCs w:val="20"/>
                <w:color w:val="auto"/>
              </w:rPr>
            </w:pPr>
            <w:r>
              <w:rPr>
                <w:rFonts w:ascii="Arial" w:cs="Arial" w:eastAsia="Arial" w:hAnsi="Arial"/>
                <w:sz w:val="13"/>
                <w:szCs w:val="13"/>
                <w:b w:val="1"/>
                <w:bCs w:val="1"/>
                <w:color w:val="auto"/>
              </w:rPr>
              <w:t>Tooling</w:t>
            </w:r>
          </w:p>
        </w:tc>
        <w:tc>
          <w:tcPr>
            <w:tcW w:w="33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w w:val="97"/>
              </w:rPr>
              <w:t>173,039</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166,319</w:t>
            </w:r>
          </w:p>
        </w:tc>
        <w:tc>
          <w:tcPr>
            <w:tcW w:w="1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Computer hardware and software</w:t>
            </w:r>
          </w:p>
        </w:tc>
        <w:tc>
          <w:tcPr>
            <w:tcW w:w="3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73,302</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65,861</w:t>
            </w:r>
          </w:p>
        </w:tc>
        <w:tc>
          <w:tcPr>
            <w:tcW w:w="1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Construction in process</w:t>
            </w:r>
          </w:p>
        </w:tc>
        <w:tc>
          <w:tcPr>
            <w:tcW w:w="3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29,173</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25,678</w:t>
            </w:r>
          </w:p>
        </w:tc>
        <w:tc>
          <w:tcPr>
            <w:tcW w:w="14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b w:val="1"/>
                <w:bCs w:val="1"/>
                <w:color w:val="auto"/>
              </w:rPr>
              <w:t>Subtotal</w:t>
            </w:r>
          </w:p>
        </w:tc>
        <w:tc>
          <w:tcPr>
            <w:tcW w:w="3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w w:val="97"/>
              </w:rPr>
              <w:t>721,504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683,107</w:t>
            </w:r>
          </w:p>
        </w:tc>
        <w:tc>
          <w:tcPr>
            <w:tcW w:w="1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Less: accumulated depreciation</w:t>
            </w:r>
          </w:p>
        </w:tc>
        <w:tc>
          <w:tcPr>
            <w:tcW w:w="3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7"/>
              </w:rPr>
              <w:t>536,408</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502,584</w:t>
            </w:r>
          </w:p>
        </w:tc>
        <w:tc>
          <w:tcPr>
            <w:tcW w:w="14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58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property, plant, and equipment, net</w:t>
            </w:r>
          </w:p>
        </w:tc>
        <w:tc>
          <w:tcPr>
            <w:tcW w:w="33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w w:val="97"/>
              </w:rPr>
              <w:t>185,096</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180,523</w:t>
            </w:r>
          </w:p>
        </w:tc>
        <w:tc>
          <w:tcPr>
            <w:tcW w:w="140" w:type="dxa"/>
            <w:vAlign w:val="bottom"/>
            <w:shd w:val="clear" w:color="auto" w:fill="CCEEFF"/>
          </w:tcPr>
          <w:p>
            <w:pPr>
              <w:spacing w:after="0"/>
              <w:rPr>
                <w:sz w:val="12"/>
                <w:szCs w:val="12"/>
                <w:color w:val="auto"/>
              </w:rPr>
            </w:pPr>
          </w:p>
        </w:tc>
      </w:tr>
      <w:tr>
        <w:trPr>
          <w:trHeight w:val="25"/>
        </w:trPr>
        <w:tc>
          <w:tcPr>
            <w:tcW w:w="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During fiscal years 2013, 2012, and 2011, the company recorded depreciation expense of $48,207, $46,840, and $43,539,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Indefinite-Life Intangible Assets</w:t>
      </w:r>
    </w:p>
    <w:p>
      <w:pPr>
        <w:spacing w:after="0" w:line="207"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Goodwill represents the cost of acquisitions in excess of the fair values assigned to identifiable net assets acquired. Goodwill is assigned to reporting units based upon the expected benefit of the synergies of the acquisition. Goodwill and some trade names, which are considered to have indefinite lives, are not amortized; however, the company reviews them for impairment annually during each fourth fiscal quarter or more frequently if changes in circumstances or occurrence of events suggest the remaining value may not be recoverable.</w:t>
      </w:r>
    </w:p>
    <w:p>
      <w:pPr>
        <w:spacing w:after="0" w:line="156" w:lineRule="exact"/>
        <w:rPr>
          <w:sz w:val="20"/>
          <w:szCs w:val="20"/>
          <w:color w:val="auto"/>
        </w:rPr>
      </w:pPr>
    </w:p>
    <w:p>
      <w:pPr>
        <w:ind w:firstLine="133"/>
        <w:spacing w:after="0" w:line="254" w:lineRule="auto"/>
        <w:rPr>
          <w:sz w:val="20"/>
          <w:szCs w:val="20"/>
          <w:color w:val="auto"/>
        </w:rPr>
      </w:pPr>
      <w:r>
        <w:rPr>
          <w:rFonts w:ascii="Arial" w:cs="Arial" w:eastAsia="Arial" w:hAnsi="Arial"/>
          <w:sz w:val="16"/>
          <w:szCs w:val="16"/>
          <w:color w:val="auto"/>
        </w:rPr>
        <w:t>The company reviewed the fair value of its reporting units that have goodwill on their respective balance sheets with their corresponding carrying amount (with goodwill) during the fourth quarter of fiscal 2013. The company determined that it has eight reporting units, which are the same as its eight operating segments. Six reporting units contain goodwill on their respective balance sheets. As of August 30, 2013,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the company's analysis of qualitative factors, the company determined that it was not necessary to perform a two-step goodwill impairment test for any of its reporting units.</w:t>
      </w:r>
    </w:p>
    <w:p>
      <w:pPr>
        <w:spacing w:after="0" w:line="161" w:lineRule="exact"/>
        <w:rPr>
          <w:sz w:val="20"/>
          <w:szCs w:val="20"/>
          <w:color w:val="auto"/>
        </w:rPr>
      </w:pPr>
    </w:p>
    <w:p>
      <w:pPr>
        <w:ind w:firstLine="127"/>
        <w:spacing w:after="0" w:line="260" w:lineRule="auto"/>
        <w:rPr>
          <w:sz w:val="20"/>
          <w:szCs w:val="20"/>
          <w:color w:val="auto"/>
        </w:rPr>
      </w:pPr>
      <w:r>
        <w:rPr>
          <w:rFonts w:ascii="Arial" w:cs="Arial" w:eastAsia="Arial" w:hAnsi="Arial"/>
          <w:sz w:val="16"/>
          <w:szCs w:val="16"/>
          <w:color w:val="auto"/>
        </w:rPr>
        <w:t>As of August 30, 2013, the company also performed an analysis of qualitative factors to determine whether it is more likely than not that its indefinite-life intangible assets, which consist of certain trade names, are impaired. Based on this analysis, the company concluded its indefinite-life intangible assets were not impaired. In fiscal 2012, the company determined that is was necessary to perform a quantitative impairment analysis of its indefinite-life intangible assets. Based on the company's impairment analysis, the company wrote down $400 of an indefinite-life intangible asset during fiscal 2012.</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Long-Lived Assets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Other long-lived assets include property, plant, and equipment and definite-life intangible assets, which are identifiable assets that arose from purchase acquisitions consisting primarily of patents, non-compete agreements, customer relationships, trade names, and developed technology, and are amortized on a straight-line basis over periods ranging from 1.5 to 13 years. The company reviews other long-lived assets, including property, plant, and equipment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 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ectPr>
          <w:pgSz w:w="11900" w:h="16838" w:orient="portrait"/>
          <w:cols w:equalWidth="0" w:num="1">
            <w:col w:w="11380"/>
          </w:cols>
          <w:pgMar w:left="240" w:top="122" w:right="27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40" w:firstLine="136"/>
        <w:spacing w:after="0" w:line="291" w:lineRule="auto"/>
        <w:rPr>
          <w:sz w:val="20"/>
          <w:szCs w:val="20"/>
          <w:color w:val="auto"/>
        </w:rPr>
      </w:pPr>
      <w:r>
        <w:rPr>
          <w:rFonts w:ascii="Arial" w:cs="Arial" w:eastAsia="Arial" w:hAnsi="Arial"/>
          <w:sz w:val="16"/>
          <w:szCs w:val="16"/>
          <w:color w:val="auto"/>
        </w:rPr>
        <w:t>Based on the company's impairment analysis, the company wrote down $824, $691, and $109 of other long-lived assets during fiscal 2013, 2012, and 2011,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Payable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 has a customer-managed services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149" w:lineRule="exact"/>
        <w:rPr>
          <w:sz w:val="20"/>
          <w:szCs w:val="20"/>
          <w:color w:val="auto"/>
        </w:rPr>
      </w:pPr>
    </w:p>
    <w:p>
      <w:pPr>
        <w:ind w:right="20" w:firstLine="133"/>
        <w:spacing w:after="0" w:line="260" w:lineRule="auto"/>
        <w:rPr>
          <w:sz w:val="20"/>
          <w:szCs w:val="20"/>
          <w:color w:val="auto"/>
        </w:rPr>
      </w:pPr>
      <w:r>
        <w:rPr>
          <w:rFonts w:ascii="Arial" w:cs="Arial" w:eastAsia="Arial" w:hAnsi="Arial"/>
          <w:sz w:val="16"/>
          <w:szCs w:val="16"/>
          <w:color w:val="auto"/>
        </w:rPr>
        <w:t>The company's obligations to its suppliers, including amounts due and scheduled payment dates, are not affected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2013 and 2012, $16,572 and $16,159, respectively, of the company's outstanding payment obligations had been placed on the accounts payable tracking system.</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20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is self-insured for certain losses relating to medical, dental, and workers' compensation claims, and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Warranties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 experience indicates that adjustments are necessary.</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changes in accrued warranties were as follows:</w:t>
      </w:r>
    </w:p>
    <w:p>
      <w:pPr>
        <w:spacing w:after="0" w:line="227"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39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2013</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Beginning balance</w:t>
            </w:r>
          </w:p>
        </w:tc>
        <w:tc>
          <w:tcPr>
            <w:tcW w:w="3980" w:type="dxa"/>
            <w:vAlign w:val="bottom"/>
            <w:tcBorders>
              <w:top w:val="single" w:sz="8" w:color="auto"/>
            </w:tcBorders>
            <w:shd w:val="clear" w:color="auto" w:fill="CCEEFF"/>
          </w:tcPr>
          <w:p>
            <w:pPr>
              <w:jc w:val="right"/>
              <w:ind w:right="113"/>
              <w:spacing w:after="0" w:line="143" w:lineRule="exact"/>
              <w:rPr>
                <w:sz w:val="20"/>
                <w:szCs w:val="20"/>
                <w:color w:val="auto"/>
              </w:rPr>
            </w:pPr>
            <w:r>
              <w:rPr>
                <w:rFonts w:ascii="Arial" w:cs="Arial" w:eastAsia="Arial" w:hAnsi="Arial"/>
                <w:sz w:val="13"/>
                <w:szCs w:val="13"/>
                <w:b w:val="1"/>
                <w:bCs w:val="1"/>
                <w:color w:val="auto"/>
              </w:rPr>
              <w:t>$ 69,848</w:t>
            </w: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$ 62,730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3"/>
                <w:szCs w:val="13"/>
                <w:b w:val="1"/>
                <w:bCs w:val="1"/>
                <w:color w:val="auto"/>
              </w:rPr>
              <w:t>Warranty provisions</w:t>
            </w:r>
          </w:p>
        </w:tc>
        <w:tc>
          <w:tcPr>
            <w:tcW w:w="3980" w:type="dxa"/>
            <w:vAlign w:val="bottom"/>
          </w:tcPr>
          <w:p>
            <w:pPr>
              <w:jc w:val="right"/>
              <w:ind w:right="113"/>
              <w:spacing w:after="0"/>
              <w:rPr>
                <w:sz w:val="20"/>
                <w:szCs w:val="20"/>
                <w:color w:val="auto"/>
              </w:rPr>
            </w:pPr>
            <w:r>
              <w:rPr>
                <w:rFonts w:ascii="Arial" w:cs="Arial" w:eastAsia="Arial" w:hAnsi="Arial"/>
                <w:sz w:val="13"/>
                <w:szCs w:val="13"/>
                <w:b w:val="1"/>
                <w:bCs w:val="1"/>
                <w:color w:val="auto"/>
              </w:rPr>
              <w:t>41,067</w:t>
            </w:r>
          </w:p>
        </w:tc>
        <w:tc>
          <w:tcPr>
            <w:tcW w:w="680" w:type="dxa"/>
            <w:vAlign w:val="bottom"/>
          </w:tcPr>
          <w:p>
            <w:pPr>
              <w:jc w:val="right"/>
              <w:spacing w:after="0"/>
              <w:rPr>
                <w:sz w:val="20"/>
                <w:szCs w:val="20"/>
                <w:color w:val="auto"/>
              </w:rPr>
            </w:pPr>
            <w:r>
              <w:rPr>
                <w:rFonts w:ascii="Arial" w:cs="Arial" w:eastAsia="Arial" w:hAnsi="Arial"/>
                <w:sz w:val="13"/>
                <w:szCs w:val="13"/>
                <w:color w:val="auto"/>
              </w:rPr>
              <w:t>38,439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Warranty claims</w:t>
            </w:r>
          </w:p>
        </w:tc>
        <w:tc>
          <w:tcPr>
            <w:tcW w:w="398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(35,529)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3"/>
                <w:szCs w:val="13"/>
                <w:b w:val="1"/>
                <w:bCs w:val="1"/>
                <w:color w:val="auto"/>
              </w:rPr>
              <w:t>Changes in estimates</w:t>
            </w:r>
          </w:p>
        </w:tc>
        <w:tc>
          <w:tcPr>
            <w:tcW w:w="3980" w:type="dxa"/>
            <w:vAlign w:val="bottom"/>
          </w:tcPr>
          <w:p>
            <w:pPr>
              <w:jc w:val="right"/>
              <w:ind w:right="73"/>
              <w:spacing w:after="0"/>
              <w:rPr>
                <w:sz w:val="20"/>
                <w:szCs w:val="20"/>
                <w:color w:val="auto"/>
              </w:rPr>
            </w:pPr>
            <w:r>
              <w:rPr>
                <w:rFonts w:ascii="Arial" w:cs="Arial" w:eastAsia="Arial" w:hAnsi="Arial"/>
                <w:sz w:val="13"/>
                <w:szCs w:val="13"/>
                <w:b w:val="1"/>
                <w:bCs w:val="1"/>
                <w:color w:val="auto"/>
              </w:rPr>
              <w:t>(3,209)</w:t>
            </w:r>
          </w:p>
        </w:tc>
        <w:tc>
          <w:tcPr>
            <w:tcW w:w="680" w:type="dxa"/>
            <w:vAlign w:val="bottom"/>
          </w:tcPr>
          <w:p>
            <w:pPr>
              <w:jc w:val="right"/>
              <w:spacing w:after="0"/>
              <w:rPr>
                <w:sz w:val="20"/>
                <w:szCs w:val="20"/>
                <w:color w:val="auto"/>
              </w:rPr>
            </w:pPr>
            <w:r>
              <w:rPr>
                <w:rFonts w:ascii="Arial" w:cs="Arial" w:eastAsia="Arial" w:hAnsi="Arial"/>
                <w:sz w:val="13"/>
                <w:szCs w:val="13"/>
                <w:color w:val="auto"/>
              </w:rPr>
              <w:t>3,910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Additions from acquisitions</w:t>
            </w:r>
          </w:p>
        </w:tc>
        <w:tc>
          <w:tcPr>
            <w:tcW w:w="398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Ending balance</w:t>
            </w:r>
          </w:p>
        </w:tc>
        <w:tc>
          <w:tcPr>
            <w:tcW w:w="39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$ 72,177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$ 69,848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Derivatives, consisting mainly of forward currency contracts, are used to hedge most foreign currency transactions, including forecasted sales and purchases denominated in foreign currencies. The company also utilizes cross currency swaps to offset foreign currency intercompany loan exposures. Derivatives are recognized on the consolidated balance sheet at fair value. If the derivative is designated as a cash flow hedge, the effective portion of the change in the fair value of the derivative is recorded as a component of other comprehensive income within the consolidated statements of comprehensive income and the consolidated statements of stockholders' equity, and recognized in earnings when the hedged item affects earnings. Derivatives that do not meet the requirements for hedge accounting are adjusted to fair value through other income, net in the consolidated statements of earnings.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 and Transactions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w:t>
      </w:r>
    </w:p>
    <w:p>
      <w:pPr>
        <w:sectPr>
          <w:pgSz w:w="11900" w:h="16838" w:orient="portrait"/>
          <w:cols w:equalWidth="0" w:num="1">
            <w:col w:w="11420"/>
          </w:cols>
          <w:pgMar w:left="240" w:top="122"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156" w:lineRule="exact"/>
        <w:rPr>
          <w:sz w:val="20"/>
          <w:szCs w:val="20"/>
          <w:color w:val="auto"/>
        </w:rPr>
      </w:pPr>
    </w:p>
    <w:p>
      <w:pPr>
        <w:ind w:right="140" w:firstLine="133"/>
        <w:spacing w:after="0" w:line="260"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0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promotional expenses. Sales, use, value-added, and other excise taxes are not recognized in revenue. Freight revenue billed to customers is included in net sales.</w:t>
      </w:r>
    </w:p>
    <w:p>
      <w:pPr>
        <w:spacing w:after="0" w:line="156" w:lineRule="exact"/>
        <w:rPr>
          <w:sz w:val="20"/>
          <w:szCs w:val="20"/>
          <w:color w:val="auto"/>
        </w:rPr>
      </w:pPr>
    </w:p>
    <w:p>
      <w:pPr>
        <w:ind w:right="20" w:firstLine="133"/>
        <w:spacing w:after="0" w:line="254" w:lineRule="auto"/>
        <w:rPr>
          <w:sz w:val="20"/>
          <w:szCs w:val="20"/>
          <w:color w:val="auto"/>
        </w:rPr>
      </w:pPr>
      <w:r>
        <w:rPr>
          <w:rFonts w:ascii="Arial" w:cs="Arial" w:eastAsia="Arial" w:hAnsi="Arial"/>
          <w:sz w:val="16"/>
          <w:szCs w:val="16"/>
          <w:color w:val="auto"/>
        </w:rPr>
        <w:t>The company ships some of its products to a key retailer's seasonal distribution centers on a consignment basis. The company retains title to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2013 and 2012 was $18,283 and $20,339, respectively.</w:t>
      </w:r>
    </w:p>
    <w:p>
      <w:pPr>
        <w:spacing w:after="0" w:line="161" w:lineRule="exact"/>
        <w:rPr>
          <w:sz w:val="20"/>
          <w:szCs w:val="20"/>
          <w:color w:val="auto"/>
        </w:rPr>
      </w:pPr>
    </w:p>
    <w:p>
      <w:pPr>
        <w:ind w:right="200" w:firstLine="136"/>
        <w:spacing w:after="0" w:line="291"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Sales</w:t>
      </w:r>
    </w:p>
    <w:p>
      <w:pPr>
        <w:spacing w:after="0" w:line="2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w:t>
      </w:r>
    </w:p>
    <w:p>
      <w:pPr>
        <w:spacing w:after="0" w:line="20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Financing Distributor / Dealer Inventory</w:t>
      </w:r>
    </w:p>
    <w:p>
      <w:pPr>
        <w:spacing w:after="0" w:line="20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156" w:lineRule="exact"/>
        <w:rPr>
          <w:sz w:val="20"/>
          <w:szCs w:val="20"/>
          <w:color w:val="auto"/>
        </w:rPr>
      </w:pPr>
    </w:p>
    <w:p>
      <w:pPr>
        <w:ind w:right="80" w:firstLine="136"/>
        <w:spacing w:after="0" w:line="260" w:lineRule="auto"/>
        <w:rPr>
          <w:sz w:val="20"/>
          <w:szCs w:val="20"/>
          <w:color w:val="auto"/>
        </w:rPr>
      </w:pPr>
      <w:r>
        <w:rPr>
          <w:rFonts w:ascii="Arial" w:cs="Arial" w:eastAsia="Arial" w:hAnsi="Arial"/>
          <w:sz w:val="16"/>
          <w:szCs w:val="16"/>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as a marketing tool to assist customers to buy inventory. The</w:t>
      </w:r>
    </w:p>
    <w:p>
      <w:pPr>
        <w:sectPr>
          <w:pgSz w:w="11900" w:h="16838" w:orient="portrait"/>
          <w:cols w:equalWidth="0" w:num="1">
            <w:col w:w="11400"/>
          </w:cols>
          <w:pgMar w:left="240" w:top="122" w:right="25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financing costs for distributor and dealer inventories were $19,729, $19,492, and $16,394 for the fiscal years ended October 31, 2013, 2012, and 2011,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$48,071, $46,947, and $49,362 for the fiscal years ended October 31, 2013, 2012, and 2011,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restricted stock units, and restricted stock awards. Compensation expense equal to the grant date fair value is recognized for these awards over the vesting period and is classified in selling, general and administrative expense. See Note 10 for additional information regarding stock-based compensation plans.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Earnings Per Share</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common stock and units.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Reconciliations of basic and diluted weighted-average shares of common stock outstanding are as follows: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BASIC</w:t>
      </w:r>
    </w:p>
    <w:p>
      <w:pPr>
        <w:spacing w:after="0" w:line="40" w:lineRule="exact"/>
        <w:rPr>
          <w:sz w:val="20"/>
          <w:szCs w:val="20"/>
          <w:color w:val="auto"/>
        </w:rPr>
      </w:pPr>
    </w:p>
    <w:tbl>
      <w:tblPr>
        <w:tblLayout w:type="fixed"/>
        <w:tblInd w:w="140" w:type="dxa"/>
        <w:tblCellMar>
          <w:top w:w="0" w:type="dxa"/>
          <w:left w:w="0" w:type="dxa"/>
          <w:bottom w:w="0" w:type="dxa"/>
          <w:right w:w="0" w:type="dxa"/>
        </w:tblCellMar>
      </w:tblPr>
      <w:tr>
        <w:trPr>
          <w:trHeight w:val="132"/>
        </w:trPr>
        <w:tc>
          <w:tcPr>
            <w:tcW w:w="882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color w:val="auto"/>
              </w:rPr>
              <w:t>(Shares in thousands)</w:t>
            </w:r>
          </w:p>
        </w:tc>
        <w:tc>
          <w:tcPr>
            <w:tcW w:w="9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6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82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980" w:type="dxa"/>
            <w:vAlign w:val="bottom"/>
            <w:vMerge w:val="continue"/>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2012</w:t>
            </w:r>
          </w:p>
        </w:tc>
        <w:tc>
          <w:tcPr>
            <w:tcW w:w="540" w:type="dxa"/>
            <w:vAlign w:val="bottom"/>
          </w:tcPr>
          <w:p>
            <w:pPr>
              <w:jc w:val="right"/>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8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number of shares of common stock</w:t>
            </w:r>
          </w:p>
        </w:tc>
        <w:tc>
          <w:tcPr>
            <w:tcW w:w="980" w:type="dxa"/>
            <w:vAlign w:val="bottom"/>
            <w:tcBorders>
              <w:top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3"/>
                <w:szCs w:val="13"/>
                <w:b w:val="1"/>
                <w:bCs w:val="1"/>
                <w:color w:val="auto"/>
              </w:rPr>
              <w:t>57,898</w:t>
            </w:r>
          </w:p>
        </w:tc>
        <w:tc>
          <w:tcPr>
            <w:tcW w:w="66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59,440</w:t>
            </w:r>
          </w:p>
        </w:tc>
        <w:tc>
          <w:tcPr>
            <w:tcW w:w="5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62,530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Assumed issuance of contingent shares</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24</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8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number of shares of common stock and assumed issuance of contingent shares</w:t>
            </w:r>
          </w:p>
        </w:tc>
        <w:tc>
          <w:tcPr>
            <w:tcW w:w="980" w:type="dxa"/>
            <w:vAlign w:val="bottom"/>
            <w:shd w:val="clear" w:color="auto" w:fill="CCEEFF"/>
          </w:tcPr>
          <w:p>
            <w:pPr>
              <w:jc w:val="right"/>
              <w:ind w:right="53"/>
              <w:spacing w:after="0" w:line="143" w:lineRule="exact"/>
              <w:rPr>
                <w:sz w:val="20"/>
                <w:szCs w:val="20"/>
                <w:color w:val="auto"/>
              </w:rPr>
            </w:pPr>
            <w:r>
              <w:rPr>
                <w:rFonts w:ascii="Arial" w:cs="Arial" w:eastAsia="Arial" w:hAnsi="Arial"/>
                <w:sz w:val="13"/>
                <w:szCs w:val="13"/>
                <w:b w:val="1"/>
                <w:bCs w:val="1"/>
                <w:color w:val="auto"/>
              </w:rPr>
              <w:t>57,922</w:t>
            </w:r>
          </w:p>
        </w:tc>
        <w:tc>
          <w:tcPr>
            <w:tcW w:w="660" w:type="dxa"/>
            <w:vAlign w:val="bottom"/>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59,446</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62,534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DILUTED</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820" w:type="dxa"/>
            <w:vAlign w:val="bottom"/>
            <w:gridSpan w:val="2"/>
          </w:tcPr>
          <w:p>
            <w:pPr>
              <w:spacing w:after="0" w:line="132" w:lineRule="exact"/>
              <w:rPr>
                <w:sz w:val="20"/>
                <w:szCs w:val="20"/>
                <w:color w:val="auto"/>
              </w:rPr>
            </w:pPr>
            <w:r>
              <w:rPr>
                <w:rFonts w:ascii="Arial" w:cs="Arial" w:eastAsia="Arial" w:hAnsi="Arial"/>
                <w:sz w:val="13"/>
                <w:szCs w:val="13"/>
                <w:color w:val="auto"/>
              </w:rPr>
              <w:t>(Shares in thousands)</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82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980" w:type="dxa"/>
            <w:vAlign w:val="bottom"/>
            <w:vMerge w:val="continue"/>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2012</w:t>
            </w:r>
          </w:p>
        </w:tc>
        <w:tc>
          <w:tcPr>
            <w:tcW w:w="540" w:type="dxa"/>
            <w:vAlign w:val="bottom"/>
          </w:tcPr>
          <w:p>
            <w:pPr>
              <w:jc w:val="right"/>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8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number of shares of common stock and assumed issuance of contingent shares</w:t>
            </w:r>
          </w:p>
        </w:tc>
        <w:tc>
          <w:tcPr>
            <w:tcW w:w="980" w:type="dxa"/>
            <w:vAlign w:val="bottom"/>
            <w:tcBorders>
              <w:top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3"/>
                <w:szCs w:val="13"/>
                <w:b w:val="1"/>
                <w:bCs w:val="1"/>
                <w:color w:val="auto"/>
              </w:rPr>
              <w:t>57,922</w:t>
            </w:r>
          </w:p>
        </w:tc>
        <w:tc>
          <w:tcPr>
            <w:tcW w:w="660" w:type="dxa"/>
            <w:vAlign w:val="bottom"/>
            <w:tcBorders>
              <w:top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59,446</w:t>
            </w:r>
          </w:p>
        </w:tc>
        <w:tc>
          <w:tcPr>
            <w:tcW w:w="5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62,534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Effect of dilutive securities</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1,183</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1,172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Weighted-average number of shares of common stock, assumed issuance of contingent and restricted shares, and effect of dilutive</w:t>
            </w:r>
          </w:p>
        </w:tc>
        <w:tc>
          <w:tcPr>
            <w:tcW w:w="9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59,105</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securities</w:t>
            </w:r>
          </w:p>
        </w:tc>
        <w:tc>
          <w:tcPr>
            <w:tcW w:w="98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60,618</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63,594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 w:firstLine="136"/>
        <w:spacing w:after="0" w:line="291" w:lineRule="auto"/>
        <w:rPr>
          <w:sz w:val="20"/>
          <w:szCs w:val="20"/>
          <w:color w:val="auto"/>
        </w:rPr>
      </w:pPr>
      <w:r>
        <w:rPr>
          <w:rFonts w:ascii="Arial" w:cs="Arial" w:eastAsia="Arial" w:hAnsi="Arial"/>
          <w:sz w:val="16"/>
          <w:szCs w:val="16"/>
          <w:color w:val="auto"/>
        </w:rPr>
        <w:t>Incremental shares from options and restricted stock are computed by the treasury stock method. Options and restricted stock of 182,868, 33,427, and 417,436 during fiscal 2013, 2012, and 2011, were excluded from the computation of diluted earnings per share because they were anti-dilutive.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Presentation</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New Accounting Pronouncement Adopted</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February 2013, the Financial Accounting Standards Board issued Accounting Standards Update ("ASU") No. 2013-02, </w:t>
      </w:r>
      <w:r>
        <w:rPr>
          <w:rFonts w:ascii="Arial" w:cs="Arial" w:eastAsia="Arial" w:hAnsi="Arial"/>
          <w:sz w:val="16"/>
          <w:szCs w:val="16"/>
          <w:i w:val="1"/>
          <w:iCs w:val="1"/>
          <w:color w:val="auto"/>
        </w:rPr>
        <w:t>Reporting of Amounts Reclassified</w:t>
      </w:r>
      <w:r>
        <w:rPr>
          <w:rFonts w:ascii="Arial" w:cs="Arial" w:eastAsia="Arial" w:hAnsi="Arial"/>
          <w:sz w:val="16"/>
          <w:szCs w:val="16"/>
          <w:color w:val="auto"/>
        </w:rPr>
        <w:t xml:space="preserve"> </w:t>
      </w:r>
      <w:r>
        <w:rPr>
          <w:rFonts w:ascii="Arial" w:cs="Arial" w:eastAsia="Arial" w:hAnsi="Arial"/>
          <w:sz w:val="16"/>
          <w:szCs w:val="16"/>
          <w:i w:val="1"/>
          <w:iCs w:val="1"/>
          <w:color w:val="auto"/>
        </w:rPr>
        <w:t>Out of Accumulated Other Comprehensive Income</w:t>
      </w:r>
      <w:r>
        <w:rPr>
          <w:rFonts w:ascii="Arial" w:cs="Arial" w:eastAsia="Arial" w:hAnsi="Arial"/>
          <w:sz w:val="16"/>
          <w:szCs w:val="16"/>
          <w:color w:val="auto"/>
        </w:rPr>
        <w:t>. ASU No. 2013-02 requires entities to disclose, for items reclassified out of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(loss) and into net income in their entirety, the effect of the reclassification on each affected net income line item. ASU No. 2013-02 also requires a cross reference to other required U.S. GAAP disclosures for accumulated other comprehensive income (loss) reclassification items that are not reclassified in their entirety into net income. The effective date of ASU No. 2013-02 is for fiscal years, and interim periods within those fiscal years, beginning after December 15, 2012, and early adoption is permitted. The company adopted this guidance in its fiscal 2013 fourth quarter. The adoption of this guidance did not have an impact on the company's consolidated financial statements.</w:t>
      </w:r>
    </w:p>
    <w:p>
      <w:pPr>
        <w:spacing w:after="0" w:line="205" w:lineRule="exact"/>
        <w:rPr>
          <w:sz w:val="20"/>
          <w:szCs w:val="20"/>
          <w:color w:val="auto"/>
        </w:rPr>
      </w:pPr>
    </w:p>
    <w:p>
      <w:pPr>
        <w:ind w:left="680" w:hanging="680"/>
        <w:spacing w:after="0"/>
        <w:tabs>
          <w:tab w:leader="none" w:pos="680" w:val="left"/>
        </w:tabs>
        <w:numPr>
          <w:ilvl w:val="0"/>
          <w:numId w:val="37"/>
        </w:numPr>
        <w:rPr>
          <w:rFonts w:ascii="Arial" w:cs="Arial" w:eastAsia="Arial" w:hAnsi="Arial"/>
          <w:sz w:val="40"/>
          <w:szCs w:val="40"/>
          <w:b w:val="1"/>
          <w:bCs w:val="1"/>
          <w:color w:val="auto"/>
        </w:rPr>
      </w:pPr>
      <w:r>
        <w:rPr>
          <w:rFonts w:ascii="Arial" w:cs="Arial" w:eastAsia="Arial" w:hAnsi="Arial"/>
          <w:sz w:val="20"/>
          <w:szCs w:val="20"/>
          <w:b w:val="1"/>
          <w:bCs w:val="1"/>
          <w:color w:val="auto"/>
        </w:rPr>
        <w:t>ACQUISITIONS</w:t>
      </w:r>
    </w:p>
    <w:p>
      <w:pPr>
        <w:spacing w:after="0" w:line="16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September 30, 2013, during the fourth quarter of fiscal 2013, the company completed the acquisition of certain assets and assumed certain liabilities for a company in China that manufactures water-efficient drip irrigation products, sprinklers, emitters, and filters for agriculture, landscaping, and green house production. The net purchase price of this acquisition was $3,496, of which $2,101 was paid in cash and the remaining balance of $1,395 will be paid in cash in fiscal 2014.</w:t>
      </w:r>
    </w:p>
    <w:p>
      <w:pPr>
        <w:spacing w:after="0" w:line="156" w:lineRule="exact"/>
        <w:rPr>
          <w:sz w:val="20"/>
          <w:szCs w:val="20"/>
          <w:color w:val="auto"/>
        </w:rPr>
      </w:pPr>
    </w:p>
    <w:p>
      <w:pPr>
        <w:ind w:right="20" w:firstLine="136"/>
        <w:spacing w:after="0" w:line="254" w:lineRule="auto"/>
        <w:rPr>
          <w:sz w:val="20"/>
          <w:szCs w:val="20"/>
          <w:color w:val="auto"/>
        </w:rPr>
      </w:pPr>
      <w:r>
        <w:rPr>
          <w:rFonts w:ascii="Arial" w:cs="Arial" w:eastAsia="Arial" w:hAnsi="Arial"/>
          <w:sz w:val="16"/>
          <w:szCs w:val="16"/>
          <w:color w:val="auto"/>
        </w:rPr>
        <w:t>On April 25, 2012, during the second quarter of fiscal 2012, the company completed the acquisition of certain assets for an equipment line of concrete and mortar mixers, material handlers, compaction equipment, and other concrete power tools for the rental and construction market. On February 10, 2012, also during the second quarter of fiscal 2012, the company completed the acquisition of certain assets and assumed certain liabilities for an equipment line of vibratory plows, trenchers, and horizontal directional drills for the underground utilities market. On December 9, 2011, during the first quarter of fiscal 2012, the company completed the acquisition of certain assets and assumed certain liabilities for a greens roller product line for the golf course market. The aggregate purchase price of these acquisitions was $11,112, which included cash payments and issuance of long-term notes.</w:t>
      </w:r>
    </w:p>
    <w:p>
      <w:pPr>
        <w:spacing w:after="0" w:line="161" w:lineRule="exact"/>
        <w:rPr>
          <w:sz w:val="20"/>
          <w:szCs w:val="20"/>
          <w:color w:val="auto"/>
        </w:rPr>
      </w:pPr>
    </w:p>
    <w:p>
      <w:pPr>
        <w:ind w:right="160" w:firstLine="136"/>
        <w:spacing w:after="0" w:line="254" w:lineRule="auto"/>
        <w:rPr>
          <w:sz w:val="20"/>
          <w:szCs w:val="20"/>
          <w:color w:val="auto"/>
        </w:rPr>
      </w:pPr>
      <w:r>
        <w:rPr>
          <w:rFonts w:ascii="Arial" w:cs="Arial" w:eastAsia="Arial" w:hAnsi="Arial"/>
          <w:sz w:val="16"/>
          <w:szCs w:val="16"/>
          <w:color w:val="auto"/>
        </w:rPr>
        <w:t>On June 24, 2011, the company completed the acquisition of certain assets of, and assumed certain liabilities for an equipment line of turf renovation equipment, including aerators, seeders, and power rakes, for the landscape, rental, municipal, and golf markets. On January 17, 2011, the company completed the acquisition of certain assets of, and assumed certain liabilities for a line of professionally installed landscape lighting fixtures and transformers for residential and commercial use. The aggregate net purchase price of these acquisitions during fiscal 2011 was $24,150, which included cash payments, the issuance of long-term notes, and estimated contingent consideration. The contingent consideration is based on annual financial results over certain thresholds as defined in the acquisition agreements.</w:t>
      </w:r>
    </w:p>
    <w:p>
      <w:pPr>
        <w:spacing w:after="0" w:line="161" w:lineRule="exact"/>
        <w:rPr>
          <w:sz w:val="20"/>
          <w:szCs w:val="20"/>
          <w:color w:val="auto"/>
        </w:rPr>
      </w:pPr>
    </w:p>
    <w:p>
      <w:pPr>
        <w:ind w:right="100" w:firstLine="133"/>
        <w:spacing w:after="0" w:line="260" w:lineRule="auto"/>
        <w:rPr>
          <w:sz w:val="20"/>
          <w:szCs w:val="20"/>
          <w:color w:val="auto"/>
        </w:rPr>
      </w:pPr>
      <w:r>
        <w:rPr>
          <w:rFonts w:ascii="Arial" w:cs="Arial" w:eastAsia="Arial" w:hAnsi="Arial"/>
          <w:sz w:val="16"/>
          <w:szCs w:val="16"/>
          <w:color w:val="auto"/>
        </w:rPr>
        <w:t>The purchase price of these acquisitions was allocated to the identifiable assets acquired and liabilities assumed based on estimates of their fair value, with the excess purchase price for acquisitions recorded as goodwill. Additional purchase accounting disclosures have been omitted given the immateriality of these acquisitions in relation to the company's consolidated financial condition and results of operations. See Note 5 for further details related to the acquired intangible assets.</w:t>
      </w:r>
    </w:p>
    <w:p>
      <w:pPr>
        <w:spacing w:after="0" w:line="201" w:lineRule="exact"/>
        <w:rPr>
          <w:sz w:val="20"/>
          <w:szCs w:val="20"/>
          <w:color w:val="auto"/>
        </w:rPr>
      </w:pPr>
    </w:p>
    <w:p>
      <w:pPr>
        <w:ind w:left="680" w:hanging="680"/>
        <w:spacing w:after="0"/>
        <w:tabs>
          <w:tab w:leader="none" w:pos="680" w:val="left"/>
        </w:tabs>
        <w:numPr>
          <w:ilvl w:val="0"/>
          <w:numId w:val="38"/>
        </w:numPr>
        <w:rPr>
          <w:rFonts w:ascii="Arial" w:cs="Arial" w:eastAsia="Arial" w:hAnsi="Arial"/>
          <w:sz w:val="40"/>
          <w:szCs w:val="40"/>
          <w:b w:val="1"/>
          <w:bCs w:val="1"/>
          <w:color w:val="auto"/>
        </w:rPr>
      </w:pPr>
      <w:r>
        <w:rPr>
          <w:rFonts w:ascii="Arial" w:cs="Arial" w:eastAsia="Arial" w:hAnsi="Arial"/>
          <w:sz w:val="20"/>
          <w:szCs w:val="20"/>
          <w:b w:val="1"/>
          <w:bCs w:val="1"/>
          <w:color w:val="auto"/>
        </w:rPr>
        <w:t>INVESTMENT IN JOINT VENTURE</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fiscal 2009, the company and TCFIF, a subsidiary of TCF National Bank, established Red Iron, a joint venture in the form of a Delaware limited liability company that provides inventory financing, including floor plan and open account receivable financing, to distributors and dealers of the company's products in the U.S. and select distributors of the company's products in Canada. Additionally, in connection with the joint venture, the company and an affiliate of TCFIF entered into an arrangement to provide inventory financing to dealers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w:t>
      </w:r>
    </w:p>
    <w:p>
      <w:pPr>
        <w:spacing w:after="0" w:line="160" w:lineRule="exact"/>
        <w:rPr>
          <w:sz w:val="20"/>
          <w:szCs w:val="20"/>
          <w:color w:val="auto"/>
        </w:rPr>
      </w:pPr>
    </w:p>
    <w:p>
      <w:pPr>
        <w:ind w:right="180" w:firstLine="133"/>
        <w:spacing w:after="0" w:line="252"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2013 and 2012 was $13,300 and $12,545, respectively. The company has not guaranteed the outstanding indebtedness of Red Iron. The company has agreed to repurchase products repossessed by Red Iron and the TCFIF Canadian affiliate, up to a maximum aggregate amount of $7,500 in a calendar year. In addition, the company has provided recourse to Red Iron for certain outstanding receivables, which amounted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a maximum amount of $465 and $211 as of October 31, 2013 and 2012, respectively.</w:t>
      </w:r>
    </w:p>
    <w:p>
      <w:pPr>
        <w:spacing w:after="0" w:line="205" w:lineRule="exact"/>
        <w:rPr>
          <w:sz w:val="20"/>
          <w:szCs w:val="20"/>
          <w:color w:val="auto"/>
        </w:rPr>
      </w:pPr>
    </w:p>
    <w:p>
      <w:pPr>
        <w:ind w:firstLine="136"/>
        <w:spacing w:after="0" w:line="254" w:lineRule="auto"/>
        <w:rPr>
          <w:sz w:val="20"/>
          <w:szCs w:val="20"/>
          <w:color w:val="auto"/>
        </w:rPr>
      </w:pPr>
      <w:r>
        <w:rPr>
          <w:rFonts w:ascii="Arial" w:cs="Arial" w:eastAsia="Arial" w:hAnsi="Arial"/>
          <w:sz w:val="16"/>
          <w:szCs w:val="16"/>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during fiscal 2013, 2012, and 2011 was $1,211,470, $1,191,343, and $1,111,778, respectively.</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Summarized financial information for Red Iron is presented as follows:</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For the twelve months ended October 31</w:t>
            </w:r>
          </w:p>
        </w:tc>
        <w:tc>
          <w:tcPr>
            <w:tcW w:w="34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Revenue</w:t>
            </w:r>
          </w:p>
        </w:tc>
        <w:tc>
          <w:tcPr>
            <w:tcW w:w="344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$ 22,418</w:t>
            </w:r>
          </w:p>
        </w:tc>
        <w:tc>
          <w:tcPr>
            <w:tcW w:w="66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$ 19,765</w:t>
            </w:r>
          </w:p>
        </w:tc>
        <w:tc>
          <w:tcPr>
            <w:tcW w:w="6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$ 17,116</w:t>
            </w:r>
          </w:p>
        </w:tc>
        <w:tc>
          <w:tcPr>
            <w:tcW w:w="140" w:type="dxa"/>
            <w:vAlign w:val="bottom"/>
            <w:shd w:val="clear" w:color="auto" w:fill="CCEEFF"/>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34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15,776</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13,326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11,070</w:t>
            </w:r>
          </w:p>
        </w:tc>
        <w:tc>
          <w:tcPr>
            <w:tcW w:w="140" w:type="dxa"/>
            <w:vAlign w:val="bottom"/>
          </w:tcPr>
          <w:p>
            <w:pPr>
              <w:spacing w:after="0"/>
              <w:rPr>
                <w:sz w:val="15"/>
                <w:szCs w:val="15"/>
                <w:color w:val="auto"/>
              </w:rPr>
            </w:pPr>
          </w:p>
        </w:tc>
      </w:tr>
    </w:tbl>
    <w:p>
      <w:pPr>
        <w:spacing w:after="0" w:line="200" w:lineRule="exact"/>
        <w:rPr>
          <w:sz w:val="20"/>
          <w:szCs w:val="20"/>
          <w:color w:val="auto"/>
        </w:rPr>
      </w:pPr>
    </w:p>
    <w:p>
      <w:pPr>
        <w:spacing w:after="0" w:line="357"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As of October 31</w:t>
            </w:r>
          </w:p>
        </w:tc>
        <w:tc>
          <w:tcPr>
            <w:tcW w:w="44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3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Finance receivables, net</w:t>
            </w:r>
          </w:p>
        </w:tc>
        <w:tc>
          <w:tcPr>
            <w:tcW w:w="442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$260,319</w:t>
            </w:r>
          </w:p>
        </w:tc>
        <w:tc>
          <w:tcPr>
            <w:tcW w:w="6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$239,008</w:t>
            </w:r>
          </w:p>
        </w:tc>
        <w:tc>
          <w:tcPr>
            <w:tcW w:w="14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b w:val="1"/>
                <w:bCs w:val="1"/>
                <w:color w:val="auto"/>
              </w:rPr>
              <w:t>Other assets</w:t>
            </w:r>
          </w:p>
        </w:tc>
        <w:tc>
          <w:tcPr>
            <w:tcW w:w="4420" w:type="dxa"/>
            <w:vAlign w:val="bottom"/>
          </w:tcPr>
          <w:p>
            <w:pPr>
              <w:jc w:val="right"/>
              <w:ind w:right="13"/>
              <w:spacing w:after="0"/>
              <w:rPr>
                <w:sz w:val="20"/>
                <w:szCs w:val="20"/>
                <w:color w:val="auto"/>
              </w:rPr>
            </w:pPr>
            <w:r>
              <w:rPr>
                <w:rFonts w:ascii="Arial" w:cs="Arial" w:eastAsia="Arial" w:hAnsi="Arial"/>
                <w:sz w:val="13"/>
                <w:szCs w:val="13"/>
                <w:b w:val="1"/>
                <w:bCs w:val="1"/>
                <w:color w:val="auto"/>
              </w:rPr>
              <w:t>4,040</w:t>
            </w:r>
          </w:p>
        </w:tc>
        <w:tc>
          <w:tcPr>
            <w:tcW w:w="640" w:type="dxa"/>
            <w:vAlign w:val="bottom"/>
          </w:tcPr>
          <w:p>
            <w:pPr>
              <w:jc w:val="right"/>
              <w:spacing w:after="0"/>
              <w:rPr>
                <w:sz w:val="20"/>
                <w:szCs w:val="20"/>
                <w:color w:val="auto"/>
              </w:rPr>
            </w:pPr>
            <w:r>
              <w:rPr>
                <w:rFonts w:ascii="Arial" w:cs="Arial" w:eastAsia="Arial" w:hAnsi="Arial"/>
                <w:sz w:val="13"/>
                <w:szCs w:val="13"/>
                <w:color w:val="auto"/>
              </w:rPr>
              <w:t>1,274</w:t>
            </w:r>
          </w:p>
        </w:tc>
        <w:tc>
          <w:tcPr>
            <w:tcW w:w="1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w:t>
            </w:r>
          </w:p>
        </w:tc>
        <w:tc>
          <w:tcPr>
            <w:tcW w:w="44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234,804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212,408</w:t>
            </w:r>
          </w:p>
        </w:tc>
        <w:tc>
          <w:tcPr>
            <w:tcW w:w="140" w:type="dxa"/>
            <w:vAlign w:val="bottom"/>
            <w:shd w:val="clear" w:color="auto" w:fill="CCEEFF"/>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29" w:lineRule="exact"/>
        <w:rPr>
          <w:sz w:val="20"/>
          <w:szCs w:val="20"/>
          <w:color w:val="auto"/>
        </w:rPr>
      </w:pPr>
    </w:p>
    <w:p>
      <w:pPr>
        <w:ind w:left="680" w:hanging="680"/>
        <w:spacing w:after="0"/>
        <w:tabs>
          <w:tab w:leader="none" w:pos="680" w:val="left"/>
        </w:tabs>
        <w:numPr>
          <w:ilvl w:val="0"/>
          <w:numId w:val="39"/>
        </w:numPr>
        <w:rPr>
          <w:rFonts w:ascii="Arial" w:cs="Arial" w:eastAsia="Arial" w:hAnsi="Arial"/>
          <w:sz w:val="40"/>
          <w:szCs w:val="40"/>
          <w:b w:val="1"/>
          <w:bCs w:val="1"/>
          <w:color w:val="auto"/>
        </w:rPr>
      </w:pPr>
      <w:r>
        <w:rPr>
          <w:rFonts w:ascii="Arial" w:cs="Arial" w:eastAsia="Arial" w:hAnsi="Arial"/>
          <w:sz w:val="20"/>
          <w:szCs w:val="20"/>
          <w:b w:val="1"/>
          <w:bCs w:val="1"/>
          <w:color w:val="auto"/>
        </w:rPr>
        <w:t>OTHER INCOME, NET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is as follows:</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30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2012</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Interest income</w:t>
            </w:r>
          </w:p>
        </w:tc>
        <w:tc>
          <w:tcPr>
            <w:tcW w:w="3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447</w:t>
            </w:r>
          </w:p>
        </w:tc>
        <w:tc>
          <w:tcPr>
            <w:tcW w:w="1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786</w:t>
            </w:r>
          </w:p>
        </w:tc>
        <w:tc>
          <w:tcPr>
            <w:tcW w:w="5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$ 1,072</w:t>
            </w:r>
          </w:p>
        </w:tc>
        <w:tc>
          <w:tcPr>
            <w:tcW w:w="16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Retail financing revenue</w:t>
            </w:r>
          </w:p>
        </w:tc>
        <w:tc>
          <w:tcPr>
            <w:tcW w:w="3060" w:type="dxa"/>
            <w:vAlign w:val="bottom"/>
          </w:tcPr>
          <w:p>
            <w:pPr>
              <w:spacing w:after="0"/>
              <w:rPr>
                <w:sz w:val="13"/>
                <w:szCs w:val="13"/>
                <w:color w:val="auto"/>
              </w:rPr>
            </w:pPr>
          </w:p>
        </w:tc>
        <w:tc>
          <w:tcPr>
            <w:tcW w:w="520" w:type="dxa"/>
            <w:vAlign w:val="bottom"/>
          </w:tcPr>
          <w:p>
            <w:pPr>
              <w:jc w:val="right"/>
              <w:ind w:right="33"/>
              <w:spacing w:after="0"/>
              <w:rPr>
                <w:sz w:val="20"/>
                <w:szCs w:val="20"/>
                <w:color w:val="auto"/>
              </w:rPr>
            </w:pPr>
            <w:r>
              <w:rPr>
                <w:rFonts w:ascii="Arial" w:cs="Arial" w:eastAsia="Arial" w:hAnsi="Arial"/>
                <w:sz w:val="13"/>
                <w:szCs w:val="13"/>
                <w:b w:val="1"/>
                <w:bCs w:val="1"/>
                <w:color w:val="auto"/>
              </w:rPr>
              <w:t>1,093</w:t>
            </w:r>
          </w:p>
        </w:tc>
        <w:tc>
          <w:tcPr>
            <w:tcW w:w="120" w:type="dxa"/>
            <w:vAlign w:val="bottom"/>
          </w:tcPr>
          <w:p>
            <w:pPr>
              <w:spacing w:after="0"/>
              <w:rPr>
                <w:sz w:val="13"/>
                <w:szCs w:val="13"/>
                <w:color w:val="auto"/>
              </w:rPr>
            </w:pPr>
          </w:p>
        </w:tc>
        <w:tc>
          <w:tcPr>
            <w:tcW w:w="480" w:type="dxa"/>
            <w:vAlign w:val="bottom"/>
          </w:tcPr>
          <w:p>
            <w:pPr>
              <w:jc w:val="right"/>
              <w:ind w:right="33"/>
              <w:spacing w:after="0"/>
              <w:rPr>
                <w:sz w:val="20"/>
                <w:szCs w:val="20"/>
                <w:color w:val="auto"/>
              </w:rPr>
            </w:pPr>
            <w:r>
              <w:rPr>
                <w:rFonts w:ascii="Arial" w:cs="Arial" w:eastAsia="Arial" w:hAnsi="Arial"/>
                <w:sz w:val="13"/>
                <w:szCs w:val="13"/>
                <w:color w:val="auto"/>
              </w:rPr>
              <w:t>1,106</w:t>
            </w:r>
          </w:p>
        </w:tc>
        <w:tc>
          <w:tcPr>
            <w:tcW w:w="520" w:type="dxa"/>
            <w:vAlign w:val="bottom"/>
          </w:tcPr>
          <w:p>
            <w:pPr>
              <w:jc w:val="right"/>
              <w:spacing w:after="0"/>
              <w:rPr>
                <w:sz w:val="20"/>
                <w:szCs w:val="20"/>
                <w:color w:val="auto"/>
              </w:rPr>
            </w:pPr>
            <w:r>
              <w:rPr>
                <w:rFonts w:ascii="Arial" w:cs="Arial" w:eastAsia="Arial" w:hAnsi="Arial"/>
                <w:sz w:val="13"/>
                <w:szCs w:val="13"/>
                <w:color w:val="auto"/>
              </w:rPr>
              <w:t>966</w:t>
            </w: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Foreign currency exchange rate loss</w:t>
            </w:r>
          </w:p>
        </w:tc>
        <w:tc>
          <w:tcPr>
            <w:tcW w:w="30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(1,751)</w:t>
            </w:r>
          </w:p>
        </w:tc>
      </w:tr>
      <w:tr>
        <w:trPr>
          <w:trHeight w:val="151"/>
        </w:trPr>
        <w:tc>
          <w:tcPr>
            <w:tcW w:w="2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Income from affiliates</w:t>
            </w:r>
          </w:p>
        </w:tc>
        <w:tc>
          <w:tcPr>
            <w:tcW w:w="3060" w:type="dxa"/>
            <w:vAlign w:val="bottom"/>
          </w:tcPr>
          <w:p>
            <w:pPr>
              <w:spacing w:after="0"/>
              <w:rPr>
                <w:sz w:val="13"/>
                <w:szCs w:val="13"/>
                <w:color w:val="auto"/>
              </w:rPr>
            </w:pPr>
          </w:p>
        </w:tc>
        <w:tc>
          <w:tcPr>
            <w:tcW w:w="520" w:type="dxa"/>
            <w:vAlign w:val="bottom"/>
          </w:tcPr>
          <w:p>
            <w:pPr>
              <w:jc w:val="right"/>
              <w:ind w:right="33"/>
              <w:spacing w:after="0"/>
              <w:rPr>
                <w:sz w:val="20"/>
                <w:szCs w:val="20"/>
                <w:color w:val="auto"/>
              </w:rPr>
            </w:pPr>
            <w:r>
              <w:rPr>
                <w:rFonts w:ascii="Arial" w:cs="Arial" w:eastAsia="Arial" w:hAnsi="Arial"/>
                <w:sz w:val="13"/>
                <w:szCs w:val="13"/>
                <w:b w:val="1"/>
                <w:bCs w:val="1"/>
                <w:color w:val="auto"/>
              </w:rPr>
              <w:t>7,097</w:t>
            </w:r>
          </w:p>
        </w:tc>
        <w:tc>
          <w:tcPr>
            <w:tcW w:w="120" w:type="dxa"/>
            <w:vAlign w:val="bottom"/>
          </w:tcPr>
          <w:p>
            <w:pPr>
              <w:spacing w:after="0"/>
              <w:rPr>
                <w:sz w:val="13"/>
                <w:szCs w:val="13"/>
                <w:color w:val="auto"/>
              </w:rPr>
            </w:pPr>
          </w:p>
        </w:tc>
        <w:tc>
          <w:tcPr>
            <w:tcW w:w="480" w:type="dxa"/>
            <w:vAlign w:val="bottom"/>
          </w:tcPr>
          <w:p>
            <w:pPr>
              <w:jc w:val="right"/>
              <w:ind w:right="33"/>
              <w:spacing w:after="0"/>
              <w:rPr>
                <w:sz w:val="20"/>
                <w:szCs w:val="20"/>
                <w:color w:val="auto"/>
              </w:rPr>
            </w:pPr>
            <w:r>
              <w:rPr>
                <w:rFonts w:ascii="Arial" w:cs="Arial" w:eastAsia="Arial" w:hAnsi="Arial"/>
                <w:sz w:val="13"/>
                <w:szCs w:val="13"/>
                <w:color w:val="auto"/>
              </w:rPr>
              <w:t>5,996</w:t>
            </w:r>
          </w:p>
        </w:tc>
        <w:tc>
          <w:tcPr>
            <w:tcW w:w="520" w:type="dxa"/>
            <w:vAlign w:val="bottom"/>
          </w:tcPr>
          <w:p>
            <w:pPr>
              <w:jc w:val="right"/>
              <w:spacing w:after="0"/>
              <w:rPr>
                <w:sz w:val="20"/>
                <w:szCs w:val="20"/>
                <w:color w:val="auto"/>
              </w:rPr>
            </w:pPr>
            <w:r>
              <w:rPr>
                <w:rFonts w:ascii="Arial" w:cs="Arial" w:eastAsia="Arial" w:hAnsi="Arial"/>
                <w:sz w:val="13"/>
                <w:szCs w:val="13"/>
                <w:color w:val="auto"/>
              </w:rPr>
              <w:t>5,682</w:t>
            </w: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Litigation recovery (settlements), net</w:t>
            </w:r>
          </w:p>
        </w:tc>
        <w:tc>
          <w:tcPr>
            <w:tcW w:w="30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3,071</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6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Miscellaneous</w:t>
            </w:r>
          </w:p>
        </w:tc>
        <w:tc>
          <w:tcPr>
            <w:tcW w:w="3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1,255</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1,489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w:t>
            </w:r>
          </w:p>
        </w:tc>
        <w:tc>
          <w:tcPr>
            <w:tcW w:w="16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other income, net</w:t>
            </w:r>
          </w:p>
        </w:tc>
        <w:tc>
          <w:tcPr>
            <w:tcW w:w="30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12,261</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7,555</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$ 7,309</w:t>
            </w:r>
          </w:p>
        </w:tc>
        <w:tc>
          <w:tcPr>
            <w:tcW w:w="160" w:type="dxa"/>
            <w:vAlign w:val="bottom"/>
            <w:shd w:val="clear" w:color="auto" w:fill="CCEEFF"/>
          </w:tcPr>
          <w:p>
            <w:pPr>
              <w:spacing w:after="0"/>
              <w:rPr>
                <w:sz w:val="12"/>
                <w:szCs w:val="12"/>
                <w:color w:val="auto"/>
              </w:rPr>
            </w:pPr>
          </w:p>
        </w:tc>
      </w:tr>
      <w:tr>
        <w:trPr>
          <w:trHeight w:val="25"/>
        </w:trPr>
        <w:tc>
          <w:tcPr>
            <w:tcW w:w="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460" w:type="dxa"/>
            <w:vAlign w:val="bottom"/>
          </w:tcPr>
          <w:p>
            <w:pPr>
              <w:spacing w:after="0"/>
              <w:rPr>
                <w:sz w:val="20"/>
                <w:szCs w:val="20"/>
                <w:color w:val="auto"/>
              </w:rPr>
            </w:pPr>
            <w:r>
              <w:rPr>
                <w:rFonts w:ascii="Arial" w:cs="Arial" w:eastAsia="Arial" w:hAnsi="Arial"/>
                <w:sz w:val="40"/>
                <w:szCs w:val="40"/>
                <w:b w:val="1"/>
                <w:bCs w:val="1"/>
                <w:color w:val="auto"/>
              </w:rPr>
              <w:t>5</w:t>
            </w:r>
          </w:p>
        </w:tc>
        <w:tc>
          <w:tcPr>
            <w:tcW w:w="7520" w:type="dxa"/>
            <w:vAlign w:val="bottom"/>
            <w:gridSpan w:val="2"/>
          </w:tcPr>
          <w:p>
            <w:pPr>
              <w:ind w:left="220"/>
              <w:spacing w:after="0"/>
              <w:rPr>
                <w:sz w:val="20"/>
                <w:szCs w:val="20"/>
                <w:color w:val="auto"/>
              </w:rPr>
            </w:pPr>
            <w:r>
              <w:rPr>
                <w:rFonts w:ascii="Arial" w:cs="Arial" w:eastAsia="Arial" w:hAnsi="Arial"/>
                <w:sz w:val="20"/>
                <w:szCs w:val="20"/>
                <w:b w:val="1"/>
                <w:bCs w:val="1"/>
                <w:color w:val="auto"/>
              </w:rPr>
              <w:t>GOODWILL AND OTHER INTANGIBLE ASSETS</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2"/>
        </w:trPr>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The changes in the net carrying amount of goodwill for fiscal 2013 and 2012 were as follows:</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31"/>
        </w:trPr>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240" w:type="dxa"/>
            <w:vAlign w:val="bottom"/>
          </w:tcPr>
          <w:p>
            <w:pPr>
              <w:jc w:val="right"/>
              <w:ind w:right="33"/>
              <w:spacing w:after="0" w:line="132" w:lineRule="exact"/>
              <w:rPr>
                <w:sz w:val="20"/>
                <w:szCs w:val="20"/>
                <w:color w:val="auto"/>
              </w:rPr>
            </w:pPr>
            <w:r>
              <w:rPr>
                <w:rFonts w:ascii="Arial" w:cs="Arial" w:eastAsia="Arial" w:hAnsi="Arial"/>
                <w:sz w:val="13"/>
                <w:szCs w:val="13"/>
                <w:color w:val="auto"/>
              </w:rPr>
              <w:t>Professional</w:t>
            </w:r>
          </w:p>
        </w:tc>
        <w:tc>
          <w:tcPr>
            <w:tcW w:w="800" w:type="dxa"/>
            <w:vAlign w:val="bottom"/>
          </w:tcPr>
          <w:p>
            <w:pPr>
              <w:jc w:val="right"/>
              <w:ind w:right="33"/>
              <w:spacing w:after="0" w:line="132" w:lineRule="exact"/>
              <w:rPr>
                <w:sz w:val="20"/>
                <w:szCs w:val="20"/>
                <w:color w:val="auto"/>
              </w:rPr>
            </w:pPr>
            <w:r>
              <w:rPr>
                <w:rFonts w:ascii="Arial" w:cs="Arial" w:eastAsia="Arial" w:hAnsi="Arial"/>
                <w:sz w:val="13"/>
                <w:szCs w:val="13"/>
                <w:color w:val="auto"/>
              </w:rPr>
              <w:t>Residential</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3"/>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Segment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Segment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r>
      <w:tr>
        <w:trPr>
          <w:trHeight w:val="147"/>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Balance as of October 31, 2011</w:t>
            </w:r>
          </w:p>
        </w:tc>
        <w:tc>
          <w:tcPr>
            <w:tcW w:w="1240" w:type="dxa"/>
            <w:vAlign w:val="bottom"/>
            <w:tcBorders>
              <w:top w:val="single" w:sz="8" w:color="auto"/>
            </w:tcBorders>
            <w:shd w:val="clear" w:color="auto" w:fill="CCEEFF"/>
          </w:tcPr>
          <w:p>
            <w:pPr>
              <w:jc w:val="right"/>
              <w:ind w:right="33"/>
              <w:spacing w:after="0" w:line="148" w:lineRule="exact"/>
              <w:rPr>
                <w:sz w:val="20"/>
                <w:szCs w:val="20"/>
                <w:color w:val="auto"/>
              </w:rPr>
            </w:pPr>
            <w:r>
              <w:rPr>
                <w:rFonts w:ascii="Arial" w:cs="Arial" w:eastAsia="Arial" w:hAnsi="Arial"/>
                <w:sz w:val="13"/>
                <w:szCs w:val="13"/>
                <w:color w:val="auto"/>
              </w:rPr>
              <w:t>$80,990</w:t>
            </w:r>
          </w:p>
        </w:tc>
        <w:tc>
          <w:tcPr>
            <w:tcW w:w="800" w:type="dxa"/>
            <w:vAlign w:val="bottom"/>
            <w:tcBorders>
              <w:top w:val="single" w:sz="8" w:color="auto"/>
            </w:tcBorders>
            <w:shd w:val="clear" w:color="auto" w:fill="CCEEFF"/>
          </w:tcPr>
          <w:p>
            <w:pPr>
              <w:jc w:val="right"/>
              <w:ind w:right="33"/>
              <w:spacing w:after="0" w:line="148" w:lineRule="exact"/>
              <w:rPr>
                <w:sz w:val="20"/>
                <w:szCs w:val="20"/>
                <w:color w:val="auto"/>
              </w:rPr>
            </w:pPr>
            <w:r>
              <w:rPr>
                <w:rFonts w:ascii="Arial" w:cs="Arial" w:eastAsia="Arial" w:hAnsi="Arial"/>
                <w:sz w:val="13"/>
                <w:szCs w:val="13"/>
                <w:color w:val="auto"/>
              </w:rPr>
              <w:t>$11,030</w:t>
            </w:r>
          </w:p>
        </w:tc>
        <w:tc>
          <w:tcPr>
            <w:tcW w:w="5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$ 92,020</w:t>
            </w:r>
          </w:p>
        </w:tc>
        <w:tc>
          <w:tcPr>
            <w:tcW w:w="160" w:type="dxa"/>
            <w:vAlign w:val="bottom"/>
            <w:shd w:val="clear" w:color="auto" w:fill="CCEEFF"/>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1240" w:type="dxa"/>
            <w:vAlign w:val="bottom"/>
          </w:tcPr>
          <w:p>
            <w:pPr>
              <w:jc w:val="right"/>
              <w:spacing w:after="0"/>
              <w:rPr>
                <w:sz w:val="20"/>
                <w:szCs w:val="20"/>
                <w:color w:val="auto"/>
              </w:rPr>
            </w:pPr>
            <w:r>
              <w:rPr>
                <w:rFonts w:ascii="Arial" w:cs="Arial" w:eastAsia="Arial" w:hAnsi="Arial"/>
                <w:sz w:val="13"/>
                <w:szCs w:val="13"/>
                <w:color w:val="auto"/>
              </w:rPr>
              <w:t>(6)</w:t>
            </w:r>
          </w:p>
        </w:tc>
        <w:tc>
          <w:tcPr>
            <w:tcW w:w="800" w:type="dxa"/>
            <w:vAlign w:val="bottom"/>
          </w:tcPr>
          <w:p>
            <w:pPr>
              <w:jc w:val="right"/>
              <w:spacing w:after="0"/>
              <w:rPr>
                <w:sz w:val="20"/>
                <w:szCs w:val="20"/>
                <w:color w:val="auto"/>
              </w:rPr>
            </w:pPr>
            <w:r>
              <w:rPr>
                <w:rFonts w:ascii="Arial" w:cs="Arial" w:eastAsia="Arial" w:hAnsi="Arial"/>
                <w:sz w:val="13"/>
                <w:szCs w:val="13"/>
                <w:color w:val="auto"/>
              </w:rPr>
              <w:t>(14)</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as of October 31, 2012</w:t>
            </w:r>
          </w:p>
        </w:tc>
        <w:tc>
          <w:tcPr>
            <w:tcW w:w="124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$80,984</w:t>
            </w:r>
          </w:p>
        </w:tc>
        <w:tc>
          <w:tcPr>
            <w:tcW w:w="80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$11,016</w:t>
            </w:r>
          </w:p>
        </w:tc>
        <w:tc>
          <w:tcPr>
            <w:tcW w:w="5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$ 92,000</w:t>
            </w:r>
          </w:p>
        </w:tc>
        <w:tc>
          <w:tcPr>
            <w:tcW w:w="160" w:type="dxa"/>
            <w:vAlign w:val="bottom"/>
            <w:shd w:val="clear" w:color="auto" w:fill="CCEEFF"/>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1240" w:type="dxa"/>
            <w:vAlign w:val="bottom"/>
          </w:tcPr>
          <w:p>
            <w:pPr>
              <w:jc w:val="right"/>
              <w:spacing w:after="0"/>
              <w:rPr>
                <w:sz w:val="20"/>
                <w:szCs w:val="20"/>
                <w:color w:val="auto"/>
              </w:rPr>
            </w:pPr>
            <w:r>
              <w:rPr>
                <w:rFonts w:ascii="Arial" w:cs="Arial" w:eastAsia="Arial" w:hAnsi="Arial"/>
                <w:sz w:val="13"/>
                <w:szCs w:val="13"/>
                <w:color w:val="auto"/>
              </w:rPr>
              <w:t>(22)</w:t>
            </w:r>
          </w:p>
        </w:tc>
        <w:tc>
          <w:tcPr>
            <w:tcW w:w="800" w:type="dxa"/>
            <w:vAlign w:val="bottom"/>
          </w:tcPr>
          <w:p>
            <w:pPr>
              <w:jc w:val="right"/>
              <w:spacing w:after="0"/>
              <w:rPr>
                <w:sz w:val="20"/>
                <w:szCs w:val="20"/>
                <w:color w:val="auto"/>
              </w:rPr>
            </w:pPr>
            <w:r>
              <w:rPr>
                <w:rFonts w:ascii="Arial" w:cs="Arial" w:eastAsia="Arial" w:hAnsi="Arial"/>
                <w:sz w:val="13"/>
                <w:szCs w:val="13"/>
                <w:color w:val="auto"/>
              </w:rPr>
              <w:t>(64)</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(86)</w:t>
            </w: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as of October 31, 2013</w:t>
            </w:r>
          </w:p>
        </w:tc>
        <w:tc>
          <w:tcPr>
            <w:tcW w:w="124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$80,962</w:t>
            </w:r>
          </w:p>
        </w:tc>
        <w:tc>
          <w:tcPr>
            <w:tcW w:w="800" w:type="dxa"/>
            <w:vAlign w:val="bottom"/>
            <w:tcBorders>
              <w:top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3"/>
                <w:szCs w:val="13"/>
                <w:b w:val="1"/>
                <w:bCs w:val="1"/>
                <w:color w:val="auto"/>
              </w:rPr>
              <w:t>$10,952</w:t>
            </w:r>
          </w:p>
        </w:tc>
        <w:tc>
          <w:tcPr>
            <w:tcW w:w="5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$ 91,914</w:t>
            </w:r>
          </w:p>
        </w:tc>
        <w:tc>
          <w:tcPr>
            <w:tcW w:w="160" w:type="dxa"/>
            <w:vAlign w:val="bottom"/>
            <w:shd w:val="clear" w:color="auto" w:fill="CCEEFF"/>
          </w:tcPr>
          <w:p>
            <w:pPr>
              <w:spacing w:after="0"/>
              <w:rPr>
                <w:sz w:val="12"/>
                <w:szCs w:val="12"/>
                <w:color w:val="auto"/>
              </w:rPr>
            </w:pPr>
          </w:p>
        </w:tc>
      </w:tr>
      <w:tr>
        <w:trPr>
          <w:trHeight w:val="25"/>
        </w:trPr>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Other Intangible Assets </w:t>
            </w:r>
            <w:r>
              <w:rPr>
                <w:rFonts w:ascii="Arial" w:cs="Arial" w:eastAsia="Arial" w:hAnsi="Arial"/>
                <w:sz w:val="16"/>
                <w:szCs w:val="16"/>
                <w:color w:val="auto"/>
              </w:rPr>
              <w:t>–</w:t>
            </w:r>
          </w:p>
        </w:tc>
        <w:tc>
          <w:tcPr>
            <w:tcW w:w="6620" w:type="dxa"/>
            <w:vAlign w:val="bottom"/>
          </w:tcPr>
          <w:p>
            <w:pPr>
              <w:jc w:val="right"/>
              <w:ind w:right="2232"/>
              <w:spacing w:after="0"/>
              <w:rPr>
                <w:sz w:val="20"/>
                <w:szCs w:val="20"/>
                <w:color w:val="auto"/>
              </w:rPr>
            </w:pPr>
            <w:r>
              <w:rPr>
                <w:rFonts w:ascii="Arial" w:cs="Arial" w:eastAsia="Arial" w:hAnsi="Arial"/>
                <w:sz w:val="16"/>
                <w:szCs w:val="16"/>
                <w:color w:val="auto"/>
              </w:rPr>
              <w:t>The components of other intangible assets were as follows: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620" w:type="dxa"/>
            <w:vAlign w:val="bottom"/>
          </w:tcPr>
          <w:p>
            <w:pPr>
              <w:jc w:val="right"/>
              <w:ind w:right="12"/>
              <w:spacing w:after="0" w:line="132" w:lineRule="exact"/>
              <w:rPr>
                <w:sz w:val="20"/>
                <w:szCs w:val="20"/>
                <w:color w:val="auto"/>
              </w:rPr>
            </w:pPr>
            <w:r>
              <w:rPr>
                <w:rFonts w:ascii="Arial" w:cs="Arial" w:eastAsia="Arial" w:hAnsi="Arial"/>
                <w:sz w:val="13"/>
                <w:szCs w:val="13"/>
                <w:color w:val="auto"/>
              </w:rPr>
              <w:t>Estimated</w:t>
            </w:r>
          </w:p>
        </w:tc>
        <w:tc>
          <w:tcPr>
            <w:tcW w:w="160" w:type="dxa"/>
            <w:vAlign w:val="bottom"/>
          </w:tcPr>
          <w:p>
            <w:pPr>
              <w:spacing w:after="0"/>
              <w:rPr>
                <w:sz w:val="11"/>
                <w:szCs w:val="11"/>
                <w:color w:val="auto"/>
              </w:rPr>
            </w:pPr>
          </w:p>
        </w:tc>
        <w:tc>
          <w:tcPr>
            <w:tcW w:w="580" w:type="dxa"/>
            <w:vAlign w:val="bottom"/>
          </w:tcPr>
          <w:p>
            <w:pPr>
              <w:jc w:val="right"/>
              <w:ind w:right="13"/>
              <w:spacing w:after="0" w:line="132" w:lineRule="exact"/>
              <w:rPr>
                <w:sz w:val="20"/>
                <w:szCs w:val="20"/>
                <w:color w:val="auto"/>
              </w:rPr>
            </w:pPr>
            <w:r>
              <w:rPr>
                <w:rFonts w:ascii="Arial" w:cs="Arial" w:eastAsia="Arial" w:hAnsi="Arial"/>
                <w:sz w:val="13"/>
                <w:szCs w:val="13"/>
                <w:color w:val="auto"/>
              </w:rPr>
              <w:t>Gross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October 31, 2013</w:t>
            </w: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Life</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w w:val="97"/>
              </w:rPr>
              <w:t>Carrying</w:t>
            </w:r>
          </w:p>
        </w:tc>
        <w:tc>
          <w:tcPr>
            <w:tcW w:w="160" w:type="dxa"/>
            <w:vAlign w:val="bottom"/>
          </w:tcPr>
          <w:p>
            <w:pPr>
              <w:spacing w:after="0"/>
              <w:rPr>
                <w:sz w:val="13"/>
                <w:szCs w:val="13"/>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Accumulated</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(Years)</w:t>
            </w:r>
          </w:p>
        </w:tc>
        <w:tc>
          <w:tcPr>
            <w:tcW w:w="16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Net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Patents</w:t>
            </w:r>
          </w:p>
        </w:tc>
        <w:tc>
          <w:tcPr>
            <w:tcW w:w="6620" w:type="dxa"/>
            <w:vAlign w:val="bottom"/>
            <w:shd w:val="clear" w:color="auto" w:fill="CCEEFF"/>
          </w:tcPr>
          <w:p>
            <w:pPr>
              <w:jc w:val="right"/>
              <w:ind w:right="12"/>
              <w:spacing w:after="0" w:line="143" w:lineRule="exact"/>
              <w:rPr>
                <w:sz w:val="20"/>
                <w:szCs w:val="20"/>
                <w:color w:val="auto"/>
              </w:rPr>
            </w:pPr>
            <w:r>
              <w:rPr>
                <w:rFonts w:ascii="Arial" w:cs="Arial" w:eastAsia="Arial" w:hAnsi="Arial"/>
                <w:sz w:val="13"/>
                <w:szCs w:val="13"/>
                <w:b w:val="1"/>
                <w:bCs w:val="1"/>
                <w:color w:val="auto"/>
              </w:rPr>
              <w:t>1.5-13</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10,213</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(8,537)</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b w:val="1"/>
                <w:bCs w:val="1"/>
                <w:color w:val="auto"/>
              </w:rPr>
              <w:t>1,676</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b w:val="1"/>
                <w:bCs w:val="1"/>
                <w:color w:val="auto"/>
              </w:rPr>
              <w:t>Non-compete agreements</w:t>
            </w:r>
          </w:p>
        </w:tc>
        <w:tc>
          <w:tcPr>
            <w:tcW w:w="6620" w:type="dxa"/>
            <w:vAlign w:val="bottom"/>
          </w:tcPr>
          <w:p>
            <w:pPr>
              <w:jc w:val="right"/>
              <w:ind w:right="12"/>
              <w:spacing w:after="0"/>
              <w:rPr>
                <w:sz w:val="20"/>
                <w:szCs w:val="20"/>
                <w:color w:val="auto"/>
              </w:rPr>
            </w:pPr>
            <w:r>
              <w:rPr>
                <w:rFonts w:ascii="Arial" w:cs="Arial" w:eastAsia="Arial" w:hAnsi="Arial"/>
                <w:sz w:val="13"/>
                <w:szCs w:val="13"/>
                <w:b w:val="1"/>
                <w:bCs w:val="1"/>
                <w:color w:val="auto"/>
              </w:rPr>
              <w:t>1.5-10</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6,849</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(4,488)</w:t>
            </w:r>
          </w:p>
        </w:tc>
        <w:tc>
          <w:tcPr>
            <w:tcW w:w="14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2,361</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Customer-related</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3"/>
                <w:szCs w:val="13"/>
                <w:b w:val="1"/>
                <w:bCs w:val="1"/>
                <w:color w:val="auto"/>
              </w:rPr>
              <w:t>1.5-13</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8,654</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(4,660)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3,994</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b w:val="1"/>
                <w:bCs w:val="1"/>
                <w:color w:val="auto"/>
              </w:rPr>
              <w:t>Developed technology</w:t>
            </w:r>
          </w:p>
        </w:tc>
        <w:tc>
          <w:tcPr>
            <w:tcW w:w="6620" w:type="dxa"/>
            <w:vAlign w:val="bottom"/>
          </w:tcPr>
          <w:p>
            <w:pPr>
              <w:jc w:val="right"/>
              <w:ind w:right="12"/>
              <w:spacing w:after="0"/>
              <w:rPr>
                <w:sz w:val="20"/>
                <w:szCs w:val="20"/>
                <w:color w:val="auto"/>
              </w:rPr>
            </w:pPr>
            <w:r>
              <w:rPr>
                <w:rFonts w:ascii="Arial" w:cs="Arial" w:eastAsia="Arial" w:hAnsi="Arial"/>
                <w:sz w:val="13"/>
                <w:szCs w:val="13"/>
                <w:b w:val="1"/>
                <w:bCs w:val="1"/>
                <w:color w:val="auto"/>
              </w:rPr>
              <w:t>1.5-10</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28,224</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(13,478)</w:t>
            </w:r>
          </w:p>
        </w:tc>
        <w:tc>
          <w:tcPr>
            <w:tcW w:w="14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14,746</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Trade names</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3"/>
                <w:szCs w:val="13"/>
                <w:b w:val="1"/>
                <w:bCs w:val="1"/>
                <w:color w:val="auto"/>
              </w:rPr>
              <w:t>1.5-5</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1,515</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(865)</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3"/>
                <w:szCs w:val="13"/>
                <w:b w:val="1"/>
                <w:bCs w:val="1"/>
                <w:color w:val="auto"/>
              </w:rPr>
              <w:t>Other</w:t>
            </w:r>
          </w:p>
        </w:tc>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800</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1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amortizable</w:t>
            </w:r>
          </w:p>
        </w:tc>
        <w:tc>
          <w:tcPr>
            <w:tcW w:w="6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56,255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(32,828)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b w:val="1"/>
                <w:bCs w:val="1"/>
                <w:color w:val="auto"/>
              </w:rPr>
              <w:t>23,427</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8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83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Non-amortizable – trade names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4,881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4,881</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3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other intangible assets, net</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61,136</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(32,828)</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b w:val="1"/>
                <w:bCs w:val="1"/>
                <w:color w:val="auto"/>
              </w:rPr>
              <w:t>28,308</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0"/>
        </w:trPr>
        <w:tc>
          <w:tcPr>
            <w:tcW w:w="3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620" w:type="dxa"/>
            <w:vAlign w:val="bottom"/>
          </w:tcPr>
          <w:p>
            <w:pPr>
              <w:jc w:val="right"/>
              <w:ind w:right="12"/>
              <w:spacing w:after="0" w:line="132" w:lineRule="exact"/>
              <w:rPr>
                <w:sz w:val="20"/>
                <w:szCs w:val="20"/>
                <w:color w:val="auto"/>
              </w:rPr>
            </w:pPr>
            <w:r>
              <w:rPr>
                <w:rFonts w:ascii="Arial" w:cs="Arial" w:eastAsia="Arial" w:hAnsi="Arial"/>
                <w:sz w:val="13"/>
                <w:szCs w:val="13"/>
                <w:color w:val="auto"/>
              </w:rPr>
              <w:t>Estimated</w:t>
            </w:r>
          </w:p>
        </w:tc>
        <w:tc>
          <w:tcPr>
            <w:tcW w:w="160" w:type="dxa"/>
            <w:vAlign w:val="bottom"/>
          </w:tcPr>
          <w:p>
            <w:pPr>
              <w:spacing w:after="0"/>
              <w:rPr>
                <w:sz w:val="11"/>
                <w:szCs w:val="11"/>
                <w:color w:val="auto"/>
              </w:rPr>
            </w:pPr>
          </w:p>
        </w:tc>
        <w:tc>
          <w:tcPr>
            <w:tcW w:w="580" w:type="dxa"/>
            <w:vAlign w:val="bottom"/>
          </w:tcPr>
          <w:p>
            <w:pPr>
              <w:jc w:val="right"/>
              <w:ind w:right="13"/>
              <w:spacing w:after="0" w:line="132" w:lineRule="exact"/>
              <w:rPr>
                <w:sz w:val="20"/>
                <w:szCs w:val="20"/>
                <w:color w:val="auto"/>
              </w:rPr>
            </w:pPr>
            <w:r>
              <w:rPr>
                <w:rFonts w:ascii="Arial" w:cs="Arial" w:eastAsia="Arial" w:hAnsi="Arial"/>
                <w:sz w:val="13"/>
                <w:szCs w:val="13"/>
                <w:color w:val="auto"/>
              </w:rPr>
              <w:t>Gross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Life</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w w:val="97"/>
              </w:rPr>
              <w:t>Carrying</w:t>
            </w:r>
          </w:p>
        </w:tc>
        <w:tc>
          <w:tcPr>
            <w:tcW w:w="160" w:type="dxa"/>
            <w:vAlign w:val="bottom"/>
          </w:tcPr>
          <w:p>
            <w:pPr>
              <w:spacing w:after="0"/>
              <w:rPr>
                <w:sz w:val="13"/>
                <w:szCs w:val="13"/>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Accumulated</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October 31, 2012</w:t>
            </w: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(Years)</w:t>
            </w:r>
          </w:p>
        </w:tc>
        <w:tc>
          <w:tcPr>
            <w:tcW w:w="16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Net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1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Patents</w:t>
            </w:r>
          </w:p>
        </w:tc>
        <w:tc>
          <w:tcPr>
            <w:tcW w:w="6620" w:type="dxa"/>
            <w:vAlign w:val="bottom"/>
            <w:shd w:val="clear" w:color="auto" w:fill="CCEEFF"/>
          </w:tcPr>
          <w:p>
            <w:pPr>
              <w:jc w:val="right"/>
              <w:ind w:right="12"/>
              <w:spacing w:after="0" w:line="148" w:lineRule="exact"/>
              <w:rPr>
                <w:sz w:val="20"/>
                <w:szCs w:val="20"/>
                <w:color w:val="auto"/>
              </w:rPr>
            </w:pPr>
            <w:r>
              <w:rPr>
                <w:rFonts w:ascii="Arial" w:cs="Arial" w:eastAsia="Arial" w:hAnsi="Arial"/>
                <w:sz w:val="13"/>
                <w:szCs w:val="13"/>
                <w:color w:val="auto"/>
              </w:rPr>
              <w:t>1.5-13</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9,593</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(8,031)</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1,562</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Non-compete agreements</w:t>
            </w: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1.5-10</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6,303</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(3,656)</w:t>
            </w:r>
          </w:p>
        </w:tc>
        <w:tc>
          <w:tcPr>
            <w:tcW w:w="14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2,647</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Customer-related</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1.5-13</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8,312</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4,486</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Developed technology</w:t>
            </w:r>
          </w:p>
        </w:tc>
        <w:tc>
          <w:tcPr>
            <w:tcW w:w="6620" w:type="dxa"/>
            <w:vAlign w:val="bottom"/>
          </w:tcPr>
          <w:p>
            <w:pPr>
              <w:jc w:val="right"/>
              <w:ind w:right="12"/>
              <w:spacing w:after="0"/>
              <w:rPr>
                <w:sz w:val="20"/>
                <w:szCs w:val="20"/>
                <w:color w:val="auto"/>
              </w:rPr>
            </w:pPr>
            <w:r>
              <w:rPr>
                <w:rFonts w:ascii="Arial" w:cs="Arial" w:eastAsia="Arial" w:hAnsi="Arial"/>
                <w:sz w:val="13"/>
                <w:szCs w:val="13"/>
                <w:color w:val="auto"/>
              </w:rPr>
              <w:t>1.5-10</w:t>
            </w:r>
          </w:p>
        </w:tc>
        <w:tc>
          <w:tcPr>
            <w:tcW w:w="160" w:type="dxa"/>
            <w:vAlign w:val="bottom"/>
          </w:tcPr>
          <w:p>
            <w:pPr>
              <w:spacing w:after="0"/>
              <w:rPr>
                <w:sz w:val="13"/>
                <w:szCs w:val="13"/>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27,727</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(10,196)</w:t>
            </w:r>
          </w:p>
        </w:tc>
        <w:tc>
          <w:tcPr>
            <w:tcW w:w="14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17,531</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Trade names</w:t>
            </w:r>
          </w:p>
        </w:tc>
        <w:tc>
          <w:tcPr>
            <w:tcW w:w="66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1.5-5</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1,515</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Other</w:t>
            </w:r>
          </w:p>
        </w:tc>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800</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(800)</w:t>
            </w:r>
          </w:p>
        </w:tc>
        <w:tc>
          <w:tcPr>
            <w:tcW w:w="1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amortizable</w:t>
            </w:r>
          </w:p>
        </w:tc>
        <w:tc>
          <w:tcPr>
            <w:tcW w:w="6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54,250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(27,066)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27,184</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83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3"/>
                <w:szCs w:val="13"/>
                <w:color w:val="auto"/>
              </w:rPr>
              <w:t>Non-amortizable – trade names</w:t>
            </w: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4,881</w:t>
            </w: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4,881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3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 other intangible assets, net</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59,131</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(27,066)</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32,065</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firstLine="133"/>
        <w:spacing w:after="0" w:line="291" w:lineRule="auto"/>
        <w:rPr>
          <w:sz w:val="20"/>
          <w:szCs w:val="20"/>
          <w:color w:val="auto"/>
        </w:rPr>
      </w:pPr>
      <w:r>
        <w:rPr>
          <w:rFonts w:ascii="Arial" w:cs="Arial" w:eastAsia="Arial" w:hAnsi="Arial"/>
          <w:sz w:val="16"/>
          <w:szCs w:val="16"/>
          <w:color w:val="auto"/>
        </w:rPr>
        <w:t>The change in gross carrying amount of other intangible assets of $2,005 from October 31, 2013 compared to October 31, 2012 was the result of intangible assets acquired from a company located in China and changes in foreign currency exchange rates.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expense for intangible assets for the fiscal years ended October 31, 2013, 2012, and 2011 was $5,769, $6,008, and</w:t>
      </w:r>
    </w:p>
    <w:p>
      <w:pPr>
        <w:sectPr>
          <w:pgSz w:w="11900" w:h="16838" w:orient="portrait"/>
          <w:cols w:equalWidth="0" w:num="1">
            <w:col w:w="11400"/>
          </w:cols>
          <w:pgMar w:left="240" w:top="122" w:right="259" w:bottom="551"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551" w:gutter="0" w:footer="0" w:header="0"/>
          <w:type w:val="continuous"/>
        </w:sectPr>
      </w:pPr>
    </w:p>
    <w:bookmarkStart w:id="53" w:name="page54"/>
    <w:bookmarkEnd w:id="53"/>
    <w:p>
      <w:pPr>
        <w:ind w:right="200"/>
        <w:spacing w:after="0" w:line="291" w:lineRule="auto"/>
        <w:rPr>
          <w:sz w:val="20"/>
          <w:szCs w:val="20"/>
          <w:color w:val="auto"/>
        </w:rPr>
      </w:pPr>
      <w:r>
        <w:rPr>
          <w:rFonts w:ascii="Arial" w:cs="Arial" w:eastAsia="Arial" w:hAnsi="Arial"/>
          <w:sz w:val="16"/>
          <w:szCs w:val="16"/>
          <w:color w:val="auto"/>
        </w:rPr>
        <w:t>$4,967, respectively. Estimated amortization expense for the succeeding fiscal years is as follows: 2014, $5,623; 2015, $5,431; 2016, $4,912; 2017, $4,017; 2018, $1,989; and after 2018, $1,455.</w:t>
      </w:r>
    </w:p>
    <w:p>
      <w:pPr>
        <w:spacing w:after="0" w:line="176" w:lineRule="exact"/>
        <w:rPr>
          <w:sz w:val="20"/>
          <w:szCs w:val="20"/>
          <w:color w:val="auto"/>
        </w:rPr>
      </w:pPr>
    </w:p>
    <w:p>
      <w:pPr>
        <w:ind w:left="680" w:hanging="680"/>
        <w:spacing w:after="0"/>
        <w:tabs>
          <w:tab w:leader="none" w:pos="680" w:val="left"/>
        </w:tabs>
        <w:numPr>
          <w:ilvl w:val="0"/>
          <w:numId w:val="40"/>
        </w:numPr>
        <w:rPr>
          <w:rFonts w:ascii="Arial" w:cs="Arial" w:eastAsia="Arial" w:hAnsi="Arial"/>
          <w:sz w:val="40"/>
          <w:szCs w:val="40"/>
          <w:b w:val="1"/>
          <w:bCs w:val="1"/>
          <w:color w:val="auto"/>
        </w:rPr>
      </w:pPr>
      <w:r>
        <w:rPr>
          <w:rFonts w:ascii="Arial" w:cs="Arial" w:eastAsia="Arial" w:hAnsi="Arial"/>
          <w:sz w:val="20"/>
          <w:szCs w:val="20"/>
          <w:b w:val="1"/>
          <w:bCs w:val="1"/>
          <w:color w:val="auto"/>
        </w:rPr>
        <w:t>SHORT-TERM CAPITAL RESOURCES</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October 31, 2013, the company had a $150,000 unsecured senior four-year revolving credit facility that expires in July 2015. Included in this $150,000 revolving credit facility is a sublimit of $20,000 for standby letters of credit and a sublimit for swingline loans of $20,000. At the election of the company, and the approval of the named borrowers on the revolving credit facility,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The company had no outstanding short-term debt as of October 31, 2013 and 2012 under the revolving credit facility. The company's non-U.S. operations also maintain unsecured short-term lines of credit in the aggregate amount of $12,502. These facilities bear interest at various rates depending on the rates in their respective countries of operation. The company had no outstanding short-term debt as of October 31, 2013 and 2012 under these lines of credit.</w:t>
      </w:r>
    </w:p>
    <w:p>
      <w:pPr>
        <w:spacing w:after="0" w:line="162" w:lineRule="exact"/>
        <w:rPr>
          <w:sz w:val="20"/>
          <w:szCs w:val="20"/>
          <w:color w:val="auto"/>
        </w:rPr>
      </w:pPr>
    </w:p>
    <w:p>
      <w:pPr>
        <w:ind w:right="40" w:firstLine="133"/>
        <w:spacing w:after="0" w:line="251"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in the amounts for payments of cash dividends and stock repurchases as long as the debt to earnings before interest, tax, depreciation, and amortization ("EBITDA") ratio from the previous quarter compliance certificate is less than or equal to 2.75; however, the company is limited to $50,000 per fiscal year if the debt to EBITDA ratio from the previous quarter compliance certificate is greater than 2.75. In fiscal 2013, 2012 and 2011, the company was not limited in the amount for payments of cash dividends and stock repurchases as its debt to EBITDA ratio was below 2.75. The company was in compliance with all covenants related to the lines of credit described above as of October 31, 2013 and 2012.</w:t>
      </w:r>
    </w:p>
    <w:p>
      <w:pPr>
        <w:spacing w:after="0" w:line="207" w:lineRule="exact"/>
        <w:rPr>
          <w:sz w:val="20"/>
          <w:szCs w:val="20"/>
          <w:color w:val="auto"/>
        </w:rPr>
      </w:pPr>
    </w:p>
    <w:p>
      <w:pPr>
        <w:ind w:left="680" w:hanging="680"/>
        <w:spacing w:after="0"/>
        <w:tabs>
          <w:tab w:leader="none" w:pos="680" w:val="left"/>
        </w:tabs>
        <w:numPr>
          <w:ilvl w:val="0"/>
          <w:numId w:val="41"/>
        </w:numPr>
        <w:rPr>
          <w:rFonts w:ascii="Arial" w:cs="Arial" w:eastAsia="Arial" w:hAnsi="Arial"/>
          <w:sz w:val="40"/>
          <w:szCs w:val="40"/>
          <w:b w:val="1"/>
          <w:bCs w:val="1"/>
          <w:color w:val="auto"/>
        </w:rPr>
      </w:pPr>
      <w:r>
        <w:rPr>
          <w:rFonts w:ascii="Arial" w:cs="Arial" w:eastAsia="Arial" w:hAnsi="Arial"/>
          <w:sz w:val="20"/>
          <w:szCs w:val="20"/>
          <w:b w:val="1"/>
          <w:bCs w:val="1"/>
          <w:color w:val="auto"/>
        </w:rPr>
        <w:t>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156845</wp:posOffset>
            </wp:positionV>
            <wp:extent cx="6595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95110" cy="8255"/>
                    </a:xfrm>
                    <a:prstGeom prst="rect">
                      <a:avLst/>
                    </a:prstGeom>
                    <a:noFill/>
                  </pic:spPr>
                </pic:pic>
              </a:graphicData>
            </a:graphic>
          </wp:anchor>
        </w:drawing>
      </w:r>
    </w:p>
    <w:p>
      <w:pPr>
        <w:spacing w:after="0" w:line="276"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99"/>
              </w:rPr>
              <w:t>7.800%</w:t>
            </w:r>
          </w:p>
        </w:tc>
        <w:tc>
          <w:tcPr>
            <w:tcW w:w="53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Debentures, due June 15, 2027</w:t>
            </w:r>
          </w:p>
        </w:tc>
        <w:tc>
          <w:tcPr>
            <w:tcW w:w="39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$100,000</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w w:val="99"/>
              </w:rPr>
              <w:t>6.625%</w:t>
            </w:r>
          </w:p>
        </w:tc>
        <w:tc>
          <w:tcPr>
            <w:tcW w:w="5300" w:type="dxa"/>
            <w:vAlign w:val="bottom"/>
          </w:tcPr>
          <w:p>
            <w:pPr>
              <w:ind w:left="20"/>
              <w:spacing w:after="0"/>
              <w:rPr>
                <w:sz w:val="20"/>
                <w:szCs w:val="20"/>
                <w:color w:val="auto"/>
              </w:rPr>
            </w:pPr>
            <w:r>
              <w:rPr>
                <w:rFonts w:ascii="Arial" w:cs="Arial" w:eastAsia="Arial" w:hAnsi="Arial"/>
                <w:sz w:val="13"/>
                <w:szCs w:val="13"/>
                <w:b w:val="1"/>
                <w:bCs w:val="1"/>
                <w:color w:val="auto"/>
              </w:rPr>
              <w:t>Senior Notes, due May 1, 2037</w:t>
            </w:r>
          </w:p>
        </w:tc>
        <w:tc>
          <w:tcPr>
            <w:tcW w:w="3980" w:type="dxa"/>
            <w:vAlign w:val="bottom"/>
          </w:tcPr>
          <w:p>
            <w:pPr>
              <w:jc w:val="right"/>
              <w:ind w:right="13"/>
              <w:spacing w:after="0"/>
              <w:rPr>
                <w:sz w:val="20"/>
                <w:szCs w:val="20"/>
                <w:color w:val="auto"/>
              </w:rPr>
            </w:pPr>
            <w:r>
              <w:rPr>
                <w:rFonts w:ascii="Arial" w:cs="Arial" w:eastAsia="Arial" w:hAnsi="Arial"/>
                <w:sz w:val="13"/>
                <w:szCs w:val="13"/>
                <w:b w:val="1"/>
                <w:bCs w:val="1"/>
                <w:color w:val="auto"/>
              </w:rPr>
              <w:t>123,544</w:t>
            </w:r>
          </w:p>
        </w:tc>
        <w:tc>
          <w:tcPr>
            <w:tcW w:w="640" w:type="dxa"/>
            <w:vAlign w:val="bottom"/>
          </w:tcPr>
          <w:p>
            <w:pPr>
              <w:jc w:val="right"/>
              <w:spacing w:after="0"/>
              <w:rPr>
                <w:sz w:val="20"/>
                <w:szCs w:val="20"/>
                <w:color w:val="auto"/>
              </w:rPr>
            </w:pPr>
            <w:r>
              <w:rPr>
                <w:rFonts w:ascii="Arial" w:cs="Arial" w:eastAsia="Arial" w:hAnsi="Arial"/>
                <w:sz w:val="13"/>
                <w:szCs w:val="13"/>
                <w:color w:val="auto"/>
              </w:rPr>
              <w:t>123,482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w:t>
            </w:r>
          </w:p>
        </w:tc>
        <w:tc>
          <w:tcPr>
            <w:tcW w:w="5300" w:type="dxa"/>
            <w:vAlign w:val="bottom"/>
            <w:shd w:val="clear" w:color="auto" w:fill="CCEEFF"/>
          </w:tcPr>
          <w:p>
            <w:pPr>
              <w:spacing w:after="0"/>
              <w:rPr>
                <w:sz w:val="13"/>
                <w:szCs w:val="13"/>
                <w:color w:val="auto"/>
              </w:rPr>
            </w:pPr>
          </w:p>
        </w:tc>
        <w:tc>
          <w:tcPr>
            <w:tcW w:w="39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60" w:type="dxa"/>
            <w:vAlign w:val="bottom"/>
            <w:tcBorders>
              <w:bottom w:val="single" w:sz="8" w:color="auto"/>
            </w:tcBorders>
            <w:gridSpan w:val="2"/>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7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long-term debt</w:t>
            </w:r>
          </w:p>
        </w:tc>
        <w:tc>
          <w:tcPr>
            <w:tcW w:w="3980" w:type="dxa"/>
            <w:vAlign w:val="bottom"/>
          </w:tcPr>
          <w:p>
            <w:pPr>
              <w:jc w:val="right"/>
              <w:ind w:right="13"/>
              <w:spacing w:after="0" w:line="143" w:lineRule="exact"/>
              <w:rPr>
                <w:sz w:val="20"/>
                <w:szCs w:val="20"/>
                <w:color w:val="auto"/>
              </w:rPr>
            </w:pPr>
            <w:r>
              <w:rPr>
                <w:rFonts w:ascii="Arial" w:cs="Arial" w:eastAsia="Arial" w:hAnsi="Arial"/>
                <w:sz w:val="13"/>
                <w:szCs w:val="13"/>
                <w:b w:val="1"/>
                <w:bCs w:val="1"/>
                <w:color w:val="auto"/>
              </w:rPr>
              <w:t>223,544</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225,340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Less current portion</w:t>
            </w:r>
          </w:p>
        </w:tc>
        <w:tc>
          <w:tcPr>
            <w:tcW w:w="39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760" w:type="dxa"/>
            <w:vAlign w:val="bottom"/>
            <w:tcBorders>
              <w:bottom w:val="single" w:sz="8" w:color="auto"/>
            </w:tcBorders>
            <w:gridSpan w:val="2"/>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Long-term debt, less current portion</w:t>
            </w:r>
          </w:p>
        </w:tc>
        <w:tc>
          <w:tcPr>
            <w:tcW w:w="3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$223,544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$223,482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136"/>
        <w:spacing w:after="0" w:line="249" w:lineRule="auto"/>
        <w:rPr>
          <w:sz w:val="20"/>
          <w:szCs w:val="20"/>
          <w:color w:val="auto"/>
        </w:rPr>
      </w:pPr>
      <w:r>
        <w:rPr>
          <w:rFonts w:ascii="Arial" w:cs="Arial" w:eastAsia="Arial" w:hAnsi="Arial"/>
          <w:sz w:val="16"/>
          <w:szCs w:val="16"/>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from time to time outstanding.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168" w:lineRule="exact"/>
        <w:rPr>
          <w:sz w:val="20"/>
          <w:szCs w:val="20"/>
          <w:color w:val="auto"/>
        </w:rPr>
      </w:pPr>
    </w:p>
    <w:p>
      <w:pPr>
        <w:jc w:val="both"/>
        <w:ind w:firstLine="136"/>
        <w:spacing w:after="0" w:line="257" w:lineRule="auto"/>
        <w:rPr>
          <w:sz w:val="20"/>
          <w:szCs w:val="20"/>
          <w:color w:val="auto"/>
        </w:rPr>
      </w:pPr>
      <w:r>
        <w:rPr>
          <w:rFonts w:ascii="Arial" w:cs="Arial" w:eastAsia="Arial" w:hAnsi="Arial"/>
          <w:sz w:val="16"/>
          <w:szCs w:val="16"/>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ind w:right="440"/>
        <w:spacing w:after="0" w:line="268" w:lineRule="auto"/>
        <w:rPr>
          <w:sz w:val="20"/>
          <w:szCs w:val="20"/>
          <w:color w:val="auto"/>
        </w:rPr>
      </w:pPr>
      <w:r>
        <w:rPr>
          <w:rFonts w:ascii="Arial" w:cs="Arial" w:eastAsia="Arial" w:hAnsi="Arial"/>
          <w:sz w:val="16"/>
          <w:szCs w:val="16"/>
          <w:color w:val="auto"/>
        </w:rPr>
        <w:t>income totaled $18,710. The excess termination fees over the deferred income recorded has been deferred and is being recognized as an adjustment to interest expense over the term of the debt securities issued. As of October 31, 2013, the company had $2,153 remaining in other assets for the excess termination fees over deferred income.</w:t>
      </w:r>
    </w:p>
    <w:p>
      <w:pPr>
        <w:spacing w:after="0" w:line="149" w:lineRule="exact"/>
        <w:rPr>
          <w:sz w:val="20"/>
          <w:szCs w:val="20"/>
          <w:color w:val="auto"/>
        </w:rPr>
      </w:pPr>
    </w:p>
    <w:p>
      <w:pPr>
        <w:ind w:right="20" w:firstLine="136"/>
        <w:spacing w:after="0" w:line="291" w:lineRule="auto"/>
        <w:rPr>
          <w:sz w:val="20"/>
          <w:szCs w:val="20"/>
          <w:color w:val="auto"/>
        </w:rPr>
      </w:pPr>
      <w:r>
        <w:rPr>
          <w:rFonts w:ascii="Arial" w:cs="Arial" w:eastAsia="Arial" w:hAnsi="Arial"/>
          <w:sz w:val="16"/>
          <w:szCs w:val="16"/>
          <w:color w:val="auto"/>
        </w:rPr>
        <w:t>Principal payments required on long-term debt in each of the next five fiscal years ending October 31 are as follows: 2014, $0; 2015, $0; 2016, $0; 2017, $0; 2018, $0; and after 2018, $225,000.</w:t>
      </w:r>
    </w:p>
    <w:p>
      <w:pPr>
        <w:spacing w:after="0" w:line="176" w:lineRule="exact"/>
        <w:rPr>
          <w:sz w:val="20"/>
          <w:szCs w:val="20"/>
          <w:color w:val="auto"/>
        </w:rPr>
      </w:pPr>
    </w:p>
    <w:p>
      <w:pPr>
        <w:ind w:left="680" w:hanging="680"/>
        <w:spacing w:after="0"/>
        <w:tabs>
          <w:tab w:leader="none" w:pos="680" w:val="left"/>
        </w:tabs>
        <w:numPr>
          <w:ilvl w:val="0"/>
          <w:numId w:val="42"/>
        </w:numPr>
        <w:rPr>
          <w:rFonts w:ascii="Arial" w:cs="Arial" w:eastAsia="Arial" w:hAnsi="Arial"/>
          <w:sz w:val="40"/>
          <w:szCs w:val="40"/>
          <w:b w:val="1"/>
          <w:bCs w:val="1"/>
          <w:color w:val="auto"/>
        </w:rPr>
      </w:pPr>
      <w:r>
        <w:rPr>
          <w:rFonts w:ascii="Arial" w:cs="Arial" w:eastAsia="Arial" w:hAnsi="Arial"/>
          <w:sz w:val="20"/>
          <w:szCs w:val="20"/>
          <w:b w:val="1"/>
          <w:bCs w:val="1"/>
          <w:color w:val="auto"/>
        </w:rPr>
        <w:t>STOCKHOLDERS' EQUITY</w:t>
      </w:r>
    </w:p>
    <w:p>
      <w:pPr>
        <w:spacing w:after="0" w:line="16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b w:val="1"/>
          <w:bCs w:val="1"/>
          <w:i w:val="1"/>
          <w:iCs w:val="1"/>
          <w:color w:val="auto"/>
        </w:rPr>
        <w:t xml:space="preserve">Stock Split. </w:t>
      </w:r>
      <w:r>
        <w:rPr>
          <w:rFonts w:ascii="Arial" w:cs="Arial" w:eastAsia="Arial" w:hAnsi="Arial"/>
          <w:sz w:val="16"/>
          <w:szCs w:val="16"/>
          <w:color w:val="auto"/>
        </w:rPr>
        <w:t>On May 24, 2012, the company announced that its Board of Directors declared a two-for-one stock split of the company's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effected in the form of a 100 percent stock dividend. The stock split was distributed or paid on June 29, 2012, to shareholders of record as of June 15, 2012. As a result of this action, approximately 29.4 million shares were issued to shareholders of record as of June 15, 2012. The par value of the common stock remains at $1.00 per share and; accordingly, approximately $29,390 was transferred from retained earnings to common stock. All share and per share amounts have been retroactively updated to reflect this stock split.</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Common Shares Authorized. </w:t>
      </w:r>
      <w:r>
        <w:rPr>
          <w:rFonts w:ascii="Arial" w:cs="Arial" w:eastAsia="Arial" w:hAnsi="Arial"/>
          <w:sz w:val="16"/>
          <w:szCs w:val="16"/>
          <w:color w:val="auto"/>
        </w:rPr>
        <w:t>On March 12, 2013, following the approval by the company's shareholders at its 2013 annual meeting of shareholders,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amended its Restated Certificate of Incorporation by filing a Certificate of Amendment to Restated Certificate of Incorporation to increase the number of authorized shares from 100 million to 175 million.</w:t>
      </w:r>
    </w:p>
    <w:p>
      <w:pPr>
        <w:spacing w:after="0" w:line="149"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b w:val="1"/>
          <w:bCs w:val="1"/>
          <w:i w:val="1"/>
          <w:iCs w:val="1"/>
          <w:color w:val="auto"/>
        </w:rPr>
        <w:t xml:space="preserve">Stock Repurchase Program. </w:t>
      </w:r>
      <w:r>
        <w:rPr>
          <w:rFonts w:ascii="Arial" w:cs="Arial" w:eastAsia="Arial" w:hAnsi="Arial"/>
          <w:sz w:val="16"/>
          <w:szCs w:val="16"/>
          <w:color w:val="auto"/>
        </w:rPr>
        <w:t>On December 11, 2012, the company's Board of Directors authorized the repurchase of 5 million shares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 open-market or in privately negotiated transactions. This program has no expiration date but may be terminated by the Board at any time. During fiscal 2013, 2012, and 2011, the company paid $98,842, $92,719, and $129,955 to repurchase an aggregate of 2,131,615 shares, 2,591,039 shares, and 4,592,760 shares, respectively. As of October 31, 2013, 4,343,062 shares remained authorized for repurchase.</w:t>
      </w:r>
    </w:p>
    <w:p>
      <w:pPr>
        <w:spacing w:after="0" w:line="156"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b w:val="1"/>
          <w:bCs w:val="1"/>
          <w:i w:val="1"/>
          <w:iCs w:val="1"/>
          <w:color w:val="auto"/>
        </w:rPr>
        <w:t xml:space="preserve">Treasury Shares. </w:t>
      </w:r>
      <w:r>
        <w:rPr>
          <w:rFonts w:ascii="Arial" w:cs="Arial" w:eastAsia="Arial" w:hAnsi="Arial"/>
          <w:sz w:val="16"/>
          <w:szCs w:val="16"/>
          <w:color w:val="auto"/>
        </w:rPr>
        <w:t>As of October 31, 2013, the company had 21,275,717 treasury shares at a cost of $1,081,086. As of October 31, 2012, the company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19,797,958 treasury shares at a cost of $1,012,536. On November 30, 2011, the company's Board of Directors authorized the retirement of 30 million treasury shares, as adjusted for the company's two-for-one stock split, previously discussed.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accumulated other comprehensive loss ("AOCL"), net of tax, within the consolidated statements of stockholders' equity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As of October 31</w:t>
            </w:r>
          </w:p>
        </w:tc>
        <w:tc>
          <w:tcPr>
            <w:tcW w:w="29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Foreign currency translation adjustments</w:t>
            </w:r>
          </w:p>
        </w:tc>
        <w:tc>
          <w:tcPr>
            <w:tcW w:w="29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7,778</w:t>
            </w:r>
          </w:p>
        </w:tc>
        <w:tc>
          <w:tcPr>
            <w:tcW w:w="58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$ 5,436</w:t>
            </w: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$ 2,904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3"/>
                <w:szCs w:val="13"/>
                <w:b w:val="1"/>
                <w:bCs w:val="1"/>
                <w:color w:val="auto"/>
              </w:rPr>
              <w:t>Pension and retiree medical benefits</w:t>
            </w:r>
          </w:p>
        </w:tc>
        <w:tc>
          <w:tcPr>
            <w:tcW w:w="2900" w:type="dxa"/>
            <w:vAlign w:val="bottom"/>
          </w:tcPr>
          <w:p>
            <w:pPr>
              <w:spacing w:after="0"/>
              <w:rPr>
                <w:sz w:val="13"/>
                <w:szCs w:val="13"/>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b w:val="1"/>
                <w:bCs w:val="1"/>
                <w:color w:val="auto"/>
              </w:rPr>
              <w:t>3,683</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4,328</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Derivative instruments</w:t>
            </w:r>
          </w:p>
        </w:tc>
        <w:tc>
          <w:tcPr>
            <w:tcW w:w="29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1,109</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 accumulated other comprehensive loss</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12,570</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$ 9,974</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$ 6,826</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components and activity of accumulated other comprehensive loss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6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Foreign</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Pension</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Currency</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and Post-</w:t>
            </w:r>
          </w:p>
        </w:tc>
        <w:tc>
          <w:tcPr>
            <w:tcW w:w="100" w:type="dxa"/>
            <w:vAlign w:val="bottom"/>
          </w:tcPr>
          <w:p>
            <w:pPr>
              <w:spacing w:after="0"/>
              <w:rPr>
                <w:sz w:val="13"/>
                <w:szCs w:val="13"/>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Cash Flow</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Translation</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9"/>
              </w:rPr>
              <w:t>retirement</w:t>
            </w:r>
          </w:p>
        </w:tc>
        <w:tc>
          <w:tcPr>
            <w:tcW w:w="100" w:type="dxa"/>
            <w:vAlign w:val="bottom"/>
          </w:tcPr>
          <w:p>
            <w:pPr>
              <w:spacing w:after="0"/>
              <w:rPr>
                <w:sz w:val="13"/>
                <w:szCs w:val="13"/>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Derivative</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Benefits</w:t>
            </w:r>
          </w:p>
        </w:tc>
        <w:tc>
          <w:tcPr>
            <w:tcW w:w="10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Instruments</w:t>
            </w:r>
          </w:p>
        </w:tc>
        <w:tc>
          <w:tcPr>
            <w:tcW w:w="10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586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October 31, 2012</w:t>
            </w:r>
          </w:p>
        </w:tc>
        <w:tc>
          <w:tcPr>
            <w:tcW w:w="2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5,436</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4,328</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9,974</w:t>
            </w:r>
          </w:p>
        </w:tc>
        <w:tc>
          <w:tcPr>
            <w:tcW w:w="0" w:type="dxa"/>
            <w:vAlign w:val="bottom"/>
          </w:tcPr>
          <w:p>
            <w:pPr>
              <w:spacing w:after="0"/>
              <w:rPr>
                <w:sz w:val="1"/>
                <w:szCs w:val="1"/>
                <w:color w:val="auto"/>
              </w:rPr>
            </w:pPr>
          </w:p>
        </w:tc>
      </w:tr>
      <w:tr>
        <w:trPr>
          <w:trHeight w:val="151"/>
        </w:trPr>
        <w:tc>
          <w:tcPr>
            <w:tcW w:w="5860" w:type="dxa"/>
            <w:vAlign w:val="bottom"/>
          </w:tcPr>
          <w:p>
            <w:pPr>
              <w:spacing w:after="0"/>
              <w:rPr>
                <w:sz w:val="20"/>
                <w:szCs w:val="20"/>
                <w:color w:val="auto"/>
              </w:rPr>
            </w:pPr>
            <w:r>
              <w:rPr>
                <w:rFonts w:ascii="Arial" w:cs="Arial" w:eastAsia="Arial" w:hAnsi="Arial"/>
                <w:sz w:val="13"/>
                <w:szCs w:val="13"/>
                <w:b w:val="1"/>
                <w:bCs w:val="1"/>
                <w:color w:val="auto"/>
              </w:rPr>
              <w:t>Other comprehensive loss before reclassifications</w:t>
            </w:r>
          </w:p>
        </w:tc>
        <w:tc>
          <w:tcPr>
            <w:tcW w:w="2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2,342</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b w:val="1"/>
                <w:bCs w:val="1"/>
                <w:color w:val="auto"/>
              </w:rPr>
              <w:t>1,870</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4,212</w:t>
            </w:r>
          </w:p>
        </w:tc>
        <w:tc>
          <w:tcPr>
            <w:tcW w:w="0" w:type="dxa"/>
            <w:vAlign w:val="bottom"/>
          </w:tcPr>
          <w:p>
            <w:pPr>
              <w:spacing w:after="0"/>
              <w:rPr>
                <w:sz w:val="1"/>
                <w:szCs w:val="1"/>
                <w:color w:val="auto"/>
              </w:rPr>
            </w:pPr>
          </w:p>
        </w:tc>
      </w:tr>
      <w:tr>
        <w:trPr>
          <w:trHeight w:val="151"/>
        </w:trPr>
        <w:tc>
          <w:tcPr>
            <w:tcW w:w="5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Amounts reclassified from AOCL</w:t>
            </w:r>
          </w:p>
        </w:tc>
        <w:tc>
          <w:tcPr>
            <w:tcW w:w="25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(971)</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(1,616)</w:t>
            </w:r>
          </w:p>
        </w:tc>
        <w:tc>
          <w:tcPr>
            <w:tcW w:w="0" w:type="dxa"/>
            <w:vAlign w:val="bottom"/>
          </w:tcPr>
          <w:p>
            <w:pPr>
              <w:spacing w:after="0"/>
              <w:rPr>
                <w:sz w:val="1"/>
                <w:szCs w:val="1"/>
                <w:color w:val="auto"/>
              </w:rPr>
            </w:pPr>
          </w:p>
        </w:tc>
      </w:tr>
      <w:tr>
        <w:trPr>
          <w:trHeight w:val="25"/>
        </w:trPr>
        <w:tc>
          <w:tcPr>
            <w:tcW w:w="5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Net current period other comprehensive loss (income)</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899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2,596</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October 31, 2013</w:t>
            </w:r>
          </w:p>
        </w:tc>
        <w:tc>
          <w:tcPr>
            <w:tcW w:w="2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7,778</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3,683</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1,109</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b w:val="1"/>
                <w:bCs w:val="1"/>
                <w:color w:val="auto"/>
              </w:rPr>
              <w:t>12,570</w:t>
            </w:r>
          </w:p>
        </w:tc>
        <w:tc>
          <w:tcPr>
            <w:tcW w:w="0" w:type="dxa"/>
            <w:vAlign w:val="bottom"/>
          </w:tcPr>
          <w:p>
            <w:pPr>
              <w:spacing w:after="0"/>
              <w:rPr>
                <w:sz w:val="1"/>
                <w:szCs w:val="1"/>
                <w:color w:val="auto"/>
              </w:rPr>
            </w:pPr>
          </w:p>
        </w:tc>
      </w:tr>
      <w:tr>
        <w:trPr>
          <w:trHeight w:val="25"/>
        </w:trPr>
        <w:tc>
          <w:tcPr>
            <w:tcW w:w="5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firstLine="127"/>
        <w:spacing w:after="0" w:line="291" w:lineRule="auto"/>
        <w:rPr>
          <w:sz w:val="20"/>
          <w:szCs w:val="20"/>
          <w:color w:val="auto"/>
        </w:rPr>
      </w:pPr>
      <w:r>
        <w:rPr>
          <w:rFonts w:ascii="Arial" w:cs="Arial" w:eastAsia="Arial" w:hAnsi="Arial"/>
          <w:sz w:val="16"/>
          <w:szCs w:val="16"/>
          <w:color w:val="auto"/>
        </w:rPr>
        <w:t>Accumulated other comprehensive loss associated with pension and postretirement benefits are included in Note 11. Details of amounts reclassified from accumulated other comprehensive loss to the respective line items in net earnings for cash flow derivative instruments are included in Note 14.</w:t>
      </w:r>
    </w:p>
    <w:p>
      <w:pPr>
        <w:spacing w:after="0" w:line="176" w:lineRule="exact"/>
        <w:rPr>
          <w:sz w:val="20"/>
          <w:szCs w:val="20"/>
          <w:color w:val="auto"/>
        </w:rPr>
      </w:pPr>
    </w:p>
    <w:p>
      <w:pPr>
        <w:ind w:left="680" w:hanging="680"/>
        <w:spacing w:after="0"/>
        <w:tabs>
          <w:tab w:leader="none" w:pos="680" w:val="left"/>
        </w:tabs>
        <w:numPr>
          <w:ilvl w:val="0"/>
          <w:numId w:val="43"/>
        </w:numPr>
        <w:rPr>
          <w:rFonts w:ascii="Arial" w:cs="Arial" w:eastAsia="Arial" w:hAnsi="Arial"/>
          <w:sz w:val="40"/>
          <w:szCs w:val="40"/>
          <w:b w:val="1"/>
          <w:bCs w:val="1"/>
          <w:color w:val="auto"/>
        </w:rPr>
      </w:pPr>
      <w:r>
        <w:rPr>
          <w:rFonts w:ascii="Arial" w:cs="Arial" w:eastAsia="Arial" w:hAnsi="Arial"/>
          <w:sz w:val="20"/>
          <w:szCs w:val="20"/>
          <w:b w:val="1"/>
          <w:bCs w:val="1"/>
          <w:color w:val="auto"/>
        </w:rPr>
        <w:t>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statutory federal income tax rate to the company's consolidated effective tax rate is summarized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21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2013</w:t>
            </w: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rPr>
              <w:t>2012</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43"/>
        </w:trPr>
        <w:tc>
          <w:tcPr>
            <w:tcW w:w="57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Statutory federal income tax rate</w:t>
            </w:r>
          </w:p>
        </w:tc>
        <w:tc>
          <w:tcPr>
            <w:tcW w:w="2120" w:type="dxa"/>
            <w:vAlign w:val="bottom"/>
            <w:shd w:val="clear" w:color="auto" w:fill="CCEEFF"/>
          </w:tcPr>
          <w:p>
            <w:pPr>
              <w:jc w:val="right"/>
              <w:ind w:right="73"/>
              <w:spacing w:after="0" w:line="143" w:lineRule="exact"/>
              <w:rPr>
                <w:sz w:val="20"/>
                <w:szCs w:val="20"/>
                <w:color w:val="auto"/>
              </w:rPr>
            </w:pPr>
            <w:r>
              <w:rPr>
                <w:rFonts w:ascii="Arial" w:cs="Arial" w:eastAsia="Arial" w:hAnsi="Arial"/>
                <w:sz w:val="13"/>
                <w:szCs w:val="13"/>
                <w:b w:val="1"/>
                <w:bCs w:val="1"/>
                <w:color w:val="auto"/>
              </w:rPr>
              <w:t>35.0%</w:t>
            </w:r>
          </w:p>
        </w:tc>
        <w:tc>
          <w:tcPr>
            <w:tcW w:w="700" w:type="dxa"/>
            <w:vAlign w:val="bottom"/>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35.0%</w:t>
            </w:r>
          </w:p>
        </w:tc>
        <w:tc>
          <w:tcPr>
            <w:tcW w:w="5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35.0%</w:t>
            </w:r>
          </w:p>
        </w:tc>
      </w:tr>
      <w:tr>
        <w:trPr>
          <w:trHeight w:val="151"/>
        </w:trPr>
        <w:tc>
          <w:tcPr>
            <w:tcW w:w="5740" w:type="dxa"/>
            <w:vAlign w:val="bottom"/>
          </w:tcPr>
          <w:p>
            <w:pPr>
              <w:spacing w:after="0"/>
              <w:rPr>
                <w:sz w:val="20"/>
                <w:szCs w:val="20"/>
                <w:color w:val="auto"/>
              </w:rPr>
            </w:pPr>
            <w:r>
              <w:rPr>
                <w:rFonts w:ascii="Arial" w:cs="Arial" w:eastAsia="Arial" w:hAnsi="Arial"/>
                <w:sz w:val="13"/>
                <w:szCs w:val="13"/>
                <w:b w:val="1"/>
                <w:bCs w:val="1"/>
                <w:color w:val="auto"/>
              </w:rPr>
              <w:t>Increase (reduction) in income taxes resulting from:</w:t>
            </w: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57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Domestic manufacturer's deduction</w:t>
            </w:r>
          </w:p>
        </w:tc>
        <w:tc>
          <w:tcPr>
            <w:tcW w:w="21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(2.0)</w:t>
            </w:r>
          </w:p>
        </w:tc>
        <w:tc>
          <w:tcPr>
            <w:tcW w:w="7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r>
      <w:tr>
        <w:trPr>
          <w:trHeight w:val="151"/>
        </w:trPr>
        <w:tc>
          <w:tcPr>
            <w:tcW w:w="5740" w:type="dxa"/>
            <w:vAlign w:val="bottom"/>
          </w:tcPr>
          <w:p>
            <w:pPr>
              <w:ind w:left="200"/>
              <w:spacing w:after="0"/>
              <w:rPr>
                <w:sz w:val="20"/>
                <w:szCs w:val="20"/>
                <w:color w:val="auto"/>
              </w:rPr>
            </w:pPr>
            <w:r>
              <w:rPr>
                <w:rFonts w:ascii="Arial" w:cs="Arial" w:eastAsia="Arial" w:hAnsi="Arial"/>
                <w:sz w:val="13"/>
                <w:szCs w:val="13"/>
                <w:b w:val="1"/>
                <w:bCs w:val="1"/>
                <w:color w:val="auto"/>
              </w:rPr>
              <w:t>State and local income taxes, net of federal income tax benefit</w:t>
            </w:r>
          </w:p>
        </w:tc>
        <w:tc>
          <w:tcPr>
            <w:tcW w:w="2120" w:type="dxa"/>
            <w:vAlign w:val="bottom"/>
          </w:tcPr>
          <w:p>
            <w:pPr>
              <w:jc w:val="right"/>
              <w:ind w:right="193"/>
              <w:spacing w:after="0"/>
              <w:rPr>
                <w:sz w:val="20"/>
                <w:szCs w:val="20"/>
                <w:color w:val="auto"/>
              </w:rPr>
            </w:pPr>
            <w:r>
              <w:rPr>
                <w:rFonts w:ascii="Arial" w:cs="Arial" w:eastAsia="Arial" w:hAnsi="Arial"/>
                <w:sz w:val="13"/>
                <w:szCs w:val="13"/>
                <w:b w:val="1"/>
                <w:bCs w:val="1"/>
                <w:color w:val="auto"/>
              </w:rPr>
              <w:t>1.5</w:t>
            </w:r>
          </w:p>
        </w:tc>
        <w:tc>
          <w:tcPr>
            <w:tcW w:w="700" w:type="dxa"/>
            <w:vAlign w:val="bottom"/>
          </w:tcPr>
          <w:p>
            <w:pPr>
              <w:jc w:val="right"/>
              <w:ind w:right="193"/>
              <w:spacing w:after="0"/>
              <w:rPr>
                <w:sz w:val="20"/>
                <w:szCs w:val="20"/>
                <w:color w:val="auto"/>
              </w:rPr>
            </w:pPr>
            <w:r>
              <w:rPr>
                <w:rFonts w:ascii="Arial" w:cs="Arial" w:eastAsia="Arial" w:hAnsi="Arial"/>
                <w:sz w:val="13"/>
                <w:szCs w:val="13"/>
                <w:color w:val="auto"/>
              </w:rPr>
              <w:t>1.5</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3"/>
                <w:szCs w:val="13"/>
                <w:color w:val="auto"/>
              </w:rPr>
            </w:pPr>
          </w:p>
        </w:tc>
      </w:tr>
      <w:tr>
        <w:trPr>
          <w:trHeight w:val="151"/>
        </w:trPr>
        <w:tc>
          <w:tcPr>
            <w:tcW w:w="57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Effect of foreign source income</w:t>
            </w:r>
          </w:p>
        </w:tc>
        <w:tc>
          <w:tcPr>
            <w:tcW w:w="21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(0.3)</w:t>
            </w: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r>
      <w:tr>
        <w:trPr>
          <w:trHeight w:val="151"/>
        </w:trPr>
        <w:tc>
          <w:tcPr>
            <w:tcW w:w="5740" w:type="dxa"/>
            <w:vAlign w:val="bottom"/>
          </w:tcPr>
          <w:p>
            <w:pPr>
              <w:ind w:left="200"/>
              <w:spacing w:after="0"/>
              <w:rPr>
                <w:sz w:val="20"/>
                <w:szCs w:val="20"/>
                <w:color w:val="auto"/>
              </w:rPr>
            </w:pPr>
            <w:r>
              <w:rPr>
                <w:rFonts w:ascii="Arial" w:cs="Arial" w:eastAsia="Arial" w:hAnsi="Arial"/>
                <w:sz w:val="13"/>
                <w:szCs w:val="13"/>
                <w:b w:val="1"/>
                <w:bCs w:val="1"/>
                <w:color w:val="auto"/>
              </w:rPr>
              <w:t>Domestic research tax credit</w:t>
            </w:r>
          </w:p>
        </w:tc>
        <w:tc>
          <w:tcPr>
            <w:tcW w:w="2120" w:type="dxa"/>
            <w:vAlign w:val="bottom"/>
          </w:tcPr>
          <w:p>
            <w:pPr>
              <w:jc w:val="right"/>
              <w:ind w:right="153"/>
              <w:spacing w:after="0"/>
              <w:rPr>
                <w:sz w:val="20"/>
                <w:szCs w:val="20"/>
                <w:color w:val="auto"/>
              </w:rPr>
            </w:pPr>
            <w:r>
              <w:rPr>
                <w:rFonts w:ascii="Arial" w:cs="Arial" w:eastAsia="Arial" w:hAnsi="Arial"/>
                <w:sz w:val="13"/>
                <w:szCs w:val="13"/>
                <w:b w:val="1"/>
                <w:bCs w:val="1"/>
                <w:color w:val="auto"/>
              </w:rPr>
              <w:t>(2.4)</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(0.2)</w:t>
            </w: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(2.4)</w:t>
            </w:r>
          </w:p>
        </w:tc>
      </w:tr>
      <w:tr>
        <w:trPr>
          <w:trHeight w:val="151"/>
        </w:trPr>
        <w:tc>
          <w:tcPr>
            <w:tcW w:w="57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Other, net</w:t>
            </w:r>
          </w:p>
        </w:tc>
        <w:tc>
          <w:tcPr>
            <w:tcW w:w="212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(0.1)</w:t>
            </w:r>
          </w:p>
        </w:tc>
        <w:tc>
          <w:tcPr>
            <w:tcW w:w="7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r>
      <w:tr>
        <w:trPr>
          <w:trHeight w:val="25"/>
        </w:trPr>
        <w:tc>
          <w:tcPr>
            <w:tcW w:w="57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r>
      <w:tr>
        <w:trPr>
          <w:trHeight w:val="168"/>
        </w:trPr>
        <w:tc>
          <w:tcPr>
            <w:tcW w:w="5740" w:type="dxa"/>
            <w:vAlign w:val="bottom"/>
          </w:tcPr>
          <w:p>
            <w:pPr>
              <w:spacing w:after="0"/>
              <w:rPr>
                <w:sz w:val="20"/>
                <w:szCs w:val="20"/>
                <w:color w:val="auto"/>
              </w:rPr>
            </w:pPr>
            <w:r>
              <w:rPr>
                <w:rFonts w:ascii="Arial" w:cs="Arial" w:eastAsia="Arial" w:hAnsi="Arial"/>
                <w:sz w:val="13"/>
                <w:szCs w:val="13"/>
                <w:b w:val="1"/>
                <w:bCs w:val="1"/>
                <w:color w:val="auto"/>
              </w:rPr>
              <w:t>Consolidated effective tax rate</w:t>
            </w:r>
          </w:p>
        </w:tc>
        <w:tc>
          <w:tcPr>
            <w:tcW w:w="2120" w:type="dxa"/>
            <w:vAlign w:val="bottom"/>
          </w:tcPr>
          <w:p>
            <w:pPr>
              <w:jc w:val="right"/>
              <w:ind w:right="73"/>
              <w:spacing w:after="0"/>
              <w:rPr>
                <w:sz w:val="20"/>
                <w:szCs w:val="20"/>
                <w:color w:val="auto"/>
              </w:rPr>
            </w:pPr>
            <w:r>
              <w:rPr>
                <w:rFonts w:ascii="Arial" w:cs="Arial" w:eastAsia="Arial" w:hAnsi="Arial"/>
                <w:sz w:val="13"/>
                <w:szCs w:val="13"/>
                <w:b w:val="1"/>
                <w:bCs w:val="1"/>
                <w:color w:val="auto"/>
              </w:rPr>
              <w:t>31.7%</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34.0%</w:t>
            </w: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32.7%</w:t>
            </w:r>
          </w:p>
        </w:tc>
      </w:tr>
      <w:tr>
        <w:trPr>
          <w:trHeight w:val="20"/>
        </w:trPr>
        <w:tc>
          <w:tcPr>
            <w:tcW w:w="57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ind w:left="140"/>
        <w:spacing w:after="0"/>
        <w:rPr>
          <w:sz w:val="20"/>
          <w:szCs w:val="20"/>
          <w:color w:val="auto"/>
        </w:rPr>
      </w:pPr>
      <w:r>
        <w:rPr>
          <w:rFonts w:ascii="Arial" w:cs="Arial" w:eastAsia="Arial" w:hAnsi="Arial"/>
          <w:sz w:val="16"/>
          <w:szCs w:val="16"/>
          <w:color w:val="auto"/>
        </w:rPr>
        <w:t>Components of the provision for income taxes were as follows: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53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336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5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Provision for income taxes:</w:t>
            </w:r>
          </w:p>
        </w:tc>
        <w:tc>
          <w:tcPr>
            <w:tcW w:w="3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Current –</w:t>
            </w: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Federal</w:t>
            </w:r>
          </w:p>
        </w:tc>
        <w:tc>
          <w:tcPr>
            <w:tcW w:w="33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$ 61,388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59,405</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$ 47,922</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Arial" w:cs="Arial" w:eastAsia="Arial" w:hAnsi="Arial"/>
                <w:sz w:val="13"/>
                <w:szCs w:val="13"/>
                <w:b w:val="1"/>
                <w:bCs w:val="1"/>
                <w:color w:val="auto"/>
              </w:rPr>
              <w:t>State</w:t>
            </w:r>
          </w:p>
        </w:tc>
        <w:tc>
          <w:tcPr>
            <w:tcW w:w="33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5,108</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4,609</w:t>
            </w:r>
          </w:p>
        </w:tc>
        <w:tc>
          <w:tcPr>
            <w:tcW w:w="2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3,963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Non-U.S</w:t>
            </w:r>
            <w:r>
              <w:rPr>
                <w:rFonts w:ascii="Arial" w:cs="Arial" w:eastAsia="Arial" w:hAnsi="Arial"/>
                <w:sz w:val="13"/>
                <w:szCs w:val="13"/>
                <w:color w:val="auto"/>
              </w:rPr>
              <w:t>.</w:t>
            </w:r>
          </w:p>
        </w:tc>
        <w:tc>
          <w:tcPr>
            <w:tcW w:w="33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5,734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w:t>
            </w:r>
          </w:p>
        </w:tc>
        <w:tc>
          <w:tcPr>
            <w:tcW w:w="200" w:type="dxa"/>
            <w:vAlign w:val="bottom"/>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7,103</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Current provision</w:t>
            </w:r>
          </w:p>
        </w:tc>
        <w:tc>
          <w:tcPr>
            <w:tcW w:w="33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$ 72,230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67,868</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$ 58,988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Deferred –</w:t>
            </w:r>
          </w:p>
        </w:tc>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Arial" w:cs="Arial" w:eastAsia="Arial" w:hAnsi="Arial"/>
                <w:sz w:val="13"/>
                <w:szCs w:val="13"/>
                <w:b w:val="1"/>
                <w:bCs w:val="1"/>
                <w:color w:val="auto"/>
              </w:rPr>
              <w:t>Federal</w:t>
            </w:r>
          </w:p>
        </w:tc>
        <w:tc>
          <w:tcPr>
            <w:tcW w:w="33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   824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State</w:t>
            </w:r>
          </w:p>
        </w:tc>
        <w:tc>
          <w:tcPr>
            <w:tcW w:w="3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96"/>
              </w:rPr>
              <w:t>91</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2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Pr>
          <w:p>
            <w:pPr>
              <w:ind w:left="60"/>
              <w:spacing w:after="0"/>
              <w:rPr>
                <w:sz w:val="20"/>
                <w:szCs w:val="20"/>
                <w:color w:val="auto"/>
              </w:rPr>
            </w:pPr>
            <w:r>
              <w:rPr>
                <w:rFonts w:ascii="Arial" w:cs="Arial" w:eastAsia="Arial" w:hAnsi="Arial"/>
                <w:sz w:val="13"/>
                <w:szCs w:val="13"/>
                <w:b w:val="1"/>
                <w:bCs w:val="1"/>
                <w:color w:val="auto"/>
              </w:rPr>
              <w:t>Non-U.S</w:t>
            </w:r>
            <w:r>
              <w:rPr>
                <w:rFonts w:ascii="Arial" w:cs="Arial" w:eastAsia="Arial" w:hAnsi="Arial"/>
                <w:sz w:val="13"/>
                <w:szCs w:val="13"/>
                <w:color w:val="auto"/>
              </w:rPr>
              <w:t>.</w:t>
            </w:r>
          </w:p>
        </w:tc>
        <w:tc>
          <w:tcPr>
            <w:tcW w:w="3360" w:type="dxa"/>
            <w:vAlign w:val="bottom"/>
            <w:gridSpan w:val="2"/>
          </w:tcPr>
          <w:p>
            <w:pPr>
              <w:jc w:val="right"/>
              <w:spacing w:after="0"/>
              <w:rPr>
                <w:sz w:val="20"/>
                <w:szCs w:val="20"/>
                <w:color w:val="auto"/>
              </w:rPr>
            </w:pPr>
            <w:r>
              <w:rPr>
                <w:rFonts w:ascii="Arial" w:cs="Arial" w:eastAsia="Arial" w:hAnsi="Arial"/>
                <w:sz w:val="13"/>
                <w:szCs w:val="13"/>
                <w:b w:val="1"/>
                <w:bCs w:val="1"/>
                <w:color w:val="auto"/>
              </w:rPr>
              <w:t>(1,277)</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(330)</w:t>
            </w:r>
          </w:p>
        </w:tc>
        <w:tc>
          <w:tcPr>
            <w:tcW w:w="20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(1,578)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528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b w:val="1"/>
                <w:bCs w:val="1"/>
                <w:color w:val="auto"/>
              </w:rPr>
              <w:t>Deferred benefit</w:t>
            </w:r>
          </w:p>
        </w:tc>
        <w:tc>
          <w:tcPr>
            <w:tcW w:w="33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(362)</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(1,147)</w:t>
            </w: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(1,820)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provision for income taxes</w:t>
            </w:r>
          </w:p>
        </w:tc>
        <w:tc>
          <w:tcPr>
            <w:tcW w:w="33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$ 71,868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66,721</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$ 57,168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5880" w:type="dxa"/>
            <w:vAlign w:val="bottom"/>
            <w:gridSpan w:val="3"/>
          </w:tcPr>
          <w:p>
            <w:pPr>
              <w:spacing w:after="0"/>
              <w:rPr>
                <w:sz w:val="20"/>
                <w:szCs w:val="20"/>
                <w:color w:val="auto"/>
              </w:rPr>
            </w:pPr>
            <w:r>
              <w:rPr>
                <w:rFonts w:ascii="Arial" w:cs="Arial" w:eastAsia="Arial" w:hAnsi="Arial"/>
                <w:sz w:val="16"/>
                <w:szCs w:val="16"/>
                <w:color w:val="auto"/>
              </w:rPr>
              <w:t>Earnings before income taxes were as follows:</w:t>
            </w: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3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2012</w:t>
            </w:r>
          </w:p>
        </w:tc>
        <w:tc>
          <w:tcPr>
            <w:tcW w:w="2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Earnings before income taxes:</w:t>
            </w:r>
          </w:p>
        </w:tc>
        <w:tc>
          <w:tcPr>
            <w:tcW w:w="3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ind w:left="80"/>
              <w:spacing w:after="0"/>
              <w:rPr>
                <w:sz w:val="20"/>
                <w:szCs w:val="20"/>
                <w:color w:val="auto"/>
              </w:rPr>
            </w:pPr>
            <w:r>
              <w:rPr>
                <w:rFonts w:ascii="Arial" w:cs="Arial" w:eastAsia="Arial" w:hAnsi="Arial"/>
                <w:sz w:val="13"/>
                <w:szCs w:val="13"/>
                <w:b w:val="1"/>
                <w:bCs w:val="1"/>
                <w:color w:val="auto"/>
              </w:rPr>
              <w:t>U.S</w:t>
            </w:r>
            <w:r>
              <w:rPr>
                <w:rFonts w:ascii="Arial" w:cs="Arial" w:eastAsia="Arial" w:hAnsi="Arial"/>
                <w:sz w:val="13"/>
                <w:szCs w:val="13"/>
                <w:color w:val="auto"/>
              </w:rPr>
              <w:t>.</w:t>
            </w:r>
          </w:p>
        </w:tc>
        <w:tc>
          <w:tcPr>
            <w:tcW w:w="3100" w:type="dxa"/>
            <w:vAlign w:val="bottom"/>
          </w:tcPr>
          <w:p>
            <w:pPr>
              <w:jc w:val="right"/>
              <w:spacing w:after="0"/>
              <w:rPr>
                <w:sz w:val="20"/>
                <w:szCs w:val="20"/>
                <w:color w:val="auto"/>
              </w:rPr>
            </w:pPr>
            <w:r>
              <w:rPr>
                <w:rFonts w:ascii="Arial" w:cs="Arial" w:eastAsia="Arial" w:hAnsi="Arial"/>
                <w:sz w:val="13"/>
                <w:szCs w:val="13"/>
                <w:b w:val="1"/>
                <w:bCs w:val="1"/>
                <w:color w:val="auto"/>
              </w:rPr>
              <w:t>$213,509</w:t>
            </w:r>
          </w:p>
        </w:tc>
        <w:tc>
          <w:tcPr>
            <w:tcW w:w="860" w:type="dxa"/>
            <w:vAlign w:val="bottom"/>
            <w:gridSpan w:val="3"/>
          </w:tcPr>
          <w:p>
            <w:pPr>
              <w:jc w:val="right"/>
              <w:ind w:right="73"/>
              <w:spacing w:after="0"/>
              <w:rPr>
                <w:sz w:val="20"/>
                <w:szCs w:val="20"/>
                <w:color w:val="auto"/>
              </w:rPr>
            </w:pPr>
            <w:r>
              <w:rPr>
                <w:rFonts w:ascii="Arial" w:cs="Arial" w:eastAsia="Arial" w:hAnsi="Arial"/>
                <w:sz w:val="13"/>
                <w:szCs w:val="13"/>
                <w:color w:val="auto"/>
              </w:rPr>
              <w:t>$189,206</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w w:val="99"/>
              </w:rPr>
              <w:t>$160,444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Non-U.S</w:t>
            </w:r>
            <w:r>
              <w:rPr>
                <w:rFonts w:ascii="Arial" w:cs="Arial" w:eastAsia="Arial" w:hAnsi="Arial"/>
                <w:sz w:val="13"/>
                <w:szCs w:val="13"/>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13,204</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98"/>
              </w:rPr>
              <w:t>7,056</w:t>
            </w: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14,382</w:t>
            </w:r>
          </w:p>
        </w:tc>
        <w:tc>
          <w:tcPr>
            <w:tcW w:w="1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3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$226,713</w:t>
            </w:r>
          </w:p>
        </w:tc>
        <w:tc>
          <w:tcPr>
            <w:tcW w:w="860" w:type="dxa"/>
            <w:vAlign w:val="bottom"/>
            <w:tcBorders>
              <w:top w:val="single" w:sz="8" w:color="auto"/>
              <w:bottom w:val="single" w:sz="8" w:color="auto"/>
            </w:tcBorders>
            <w:gridSpan w:val="3"/>
          </w:tcPr>
          <w:p>
            <w:pPr>
              <w:jc w:val="right"/>
              <w:ind w:right="73"/>
              <w:spacing w:after="0"/>
              <w:rPr>
                <w:sz w:val="20"/>
                <w:szCs w:val="20"/>
                <w:color w:val="auto"/>
              </w:rPr>
            </w:pPr>
            <w:r>
              <w:rPr>
                <w:rFonts w:ascii="Arial" w:cs="Arial" w:eastAsia="Arial" w:hAnsi="Arial"/>
                <w:sz w:val="13"/>
                <w:szCs w:val="13"/>
                <w:color w:val="auto"/>
              </w:rPr>
              <w:t>$196,262</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$174,826</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136"/>
        <w:spacing w:after="0" w:line="291" w:lineRule="auto"/>
        <w:rPr>
          <w:sz w:val="20"/>
          <w:szCs w:val="20"/>
          <w:color w:val="auto"/>
        </w:rPr>
      </w:pPr>
      <w:r>
        <w:rPr>
          <w:rFonts w:ascii="Arial" w:cs="Arial" w:eastAsia="Arial" w:hAnsi="Arial"/>
          <w:sz w:val="16"/>
          <w:szCs w:val="16"/>
          <w:color w:val="auto"/>
        </w:rPr>
        <w:t>During the fiscal years ended October 31, 2013, 2012, and 2011, respectively, $6,134, $9,017, and $2,988 was added to stockholders' equity reflecting the permanent book to tax difference in accounting for tax benefits related to employee stock-based award transactions.</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tax effects of temporary differences that give rise to the net deferred income tax assets are presented below:</w:t>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55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October 31</w:t>
            </w:r>
          </w:p>
        </w:tc>
        <w:tc>
          <w:tcPr>
            <w:tcW w:w="3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2013</w:t>
            </w: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Deferred tax assets (liabilities):</w:t>
            </w:r>
          </w:p>
        </w:tc>
        <w:tc>
          <w:tcPr>
            <w:tcW w:w="3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Pr>
          <w:p>
            <w:pPr>
              <w:ind w:left="80"/>
              <w:spacing w:after="0"/>
              <w:rPr>
                <w:sz w:val="20"/>
                <w:szCs w:val="20"/>
                <w:color w:val="auto"/>
              </w:rPr>
            </w:pPr>
            <w:r>
              <w:rPr>
                <w:rFonts w:ascii="Arial" w:cs="Arial" w:eastAsia="Arial" w:hAnsi="Arial"/>
                <w:sz w:val="13"/>
                <w:szCs w:val="13"/>
                <w:b w:val="1"/>
                <w:bCs w:val="1"/>
                <w:color w:val="auto"/>
              </w:rPr>
              <w:t>Allowance for doubtful accounts</w:t>
            </w:r>
          </w:p>
        </w:tc>
        <w:tc>
          <w:tcPr>
            <w:tcW w:w="3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13"/>
              <w:spacing w:after="0"/>
              <w:rPr>
                <w:sz w:val="20"/>
                <w:szCs w:val="20"/>
                <w:color w:val="auto"/>
              </w:rPr>
            </w:pPr>
            <w:r>
              <w:rPr>
                <w:rFonts w:ascii="Arial" w:cs="Arial" w:eastAsia="Arial" w:hAnsi="Arial"/>
                <w:sz w:val="13"/>
                <w:szCs w:val="13"/>
                <w:b w:val="1"/>
                <w:bCs w:val="1"/>
                <w:color w:val="auto"/>
              </w:rPr>
              <w:t>1,635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1,959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Inventory items</w:t>
            </w:r>
          </w:p>
        </w:tc>
        <w:tc>
          <w:tcPr>
            <w:tcW w:w="3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3,969</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Pr>
          <w:p>
            <w:pPr>
              <w:ind w:left="80"/>
              <w:spacing w:after="0"/>
              <w:rPr>
                <w:sz w:val="20"/>
                <w:szCs w:val="20"/>
                <w:color w:val="auto"/>
              </w:rPr>
            </w:pPr>
            <w:r>
              <w:rPr>
                <w:rFonts w:ascii="Arial" w:cs="Arial" w:eastAsia="Arial" w:hAnsi="Arial"/>
                <w:sz w:val="13"/>
                <w:szCs w:val="13"/>
                <w:b w:val="1"/>
                <w:bCs w:val="1"/>
                <w:color w:val="auto"/>
              </w:rPr>
              <w:t>Warranty reserves and other accruals</w:t>
            </w:r>
          </w:p>
        </w:tc>
        <w:tc>
          <w:tcPr>
            <w:tcW w:w="312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Arial" w:cs="Arial" w:eastAsia="Arial" w:hAnsi="Arial"/>
                <w:sz w:val="13"/>
                <w:szCs w:val="13"/>
                <w:b w:val="1"/>
                <w:bCs w:val="1"/>
                <w:color w:val="auto"/>
              </w:rPr>
              <w:t>38,168</w:t>
            </w: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39,559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Employee benefits</w:t>
            </w:r>
          </w:p>
        </w:tc>
        <w:tc>
          <w:tcPr>
            <w:tcW w:w="3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18,315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Pr>
          <w:p>
            <w:pPr>
              <w:ind w:left="80"/>
              <w:spacing w:after="0"/>
              <w:rPr>
                <w:sz w:val="20"/>
                <w:szCs w:val="20"/>
                <w:color w:val="auto"/>
              </w:rPr>
            </w:pPr>
            <w:r>
              <w:rPr>
                <w:rFonts w:ascii="Arial" w:cs="Arial" w:eastAsia="Arial" w:hAnsi="Arial"/>
                <w:sz w:val="13"/>
                <w:szCs w:val="13"/>
                <w:b w:val="1"/>
                <w:bCs w:val="1"/>
                <w:color w:val="auto"/>
              </w:rPr>
              <w:t>Depreciation</w:t>
            </w:r>
          </w:p>
        </w:tc>
        <w:tc>
          <w:tcPr>
            <w:tcW w:w="3120" w:type="dxa"/>
            <w:vAlign w:val="bottom"/>
          </w:tcPr>
          <w:p>
            <w:pPr>
              <w:spacing w:after="0"/>
              <w:rPr>
                <w:sz w:val="13"/>
                <w:szCs w:val="13"/>
                <w:color w:val="auto"/>
              </w:rPr>
            </w:pPr>
          </w:p>
        </w:tc>
        <w:tc>
          <w:tcPr>
            <w:tcW w:w="600" w:type="dxa"/>
            <w:vAlign w:val="bottom"/>
          </w:tcPr>
          <w:p>
            <w:pPr>
              <w:jc w:val="right"/>
              <w:ind w:right="73"/>
              <w:spacing w:after="0"/>
              <w:rPr>
                <w:sz w:val="20"/>
                <w:szCs w:val="20"/>
                <w:color w:val="auto"/>
              </w:rPr>
            </w:pPr>
            <w:r>
              <w:rPr>
                <w:rFonts w:ascii="Arial" w:cs="Arial" w:eastAsia="Arial" w:hAnsi="Arial"/>
                <w:sz w:val="13"/>
                <w:szCs w:val="13"/>
                <w:b w:val="1"/>
                <w:bCs w:val="1"/>
                <w:color w:val="auto"/>
              </w:rPr>
              <w:t>(2,467)</w:t>
            </w:r>
          </w:p>
        </w:tc>
        <w:tc>
          <w:tcPr>
            <w:tcW w:w="2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(4,389)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Other</w:t>
            </w:r>
          </w:p>
        </w:tc>
        <w:tc>
          <w:tcPr>
            <w:tcW w:w="3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5,550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520" w:type="dxa"/>
            <w:vAlign w:val="bottom"/>
          </w:tcPr>
          <w:p>
            <w:pPr>
              <w:spacing w:after="0" w:line="143" w:lineRule="exact"/>
              <w:rPr>
                <w:sz w:val="20"/>
                <w:szCs w:val="20"/>
                <w:color w:val="auto"/>
              </w:rPr>
            </w:pPr>
            <w:r>
              <w:rPr>
                <w:rFonts w:ascii="Arial" w:cs="Arial" w:eastAsia="Arial" w:hAnsi="Arial"/>
                <w:sz w:val="13"/>
                <w:szCs w:val="13"/>
                <w:b w:val="1"/>
                <w:bCs w:val="1"/>
                <w:color w:val="auto"/>
              </w:rPr>
              <w:t>Deferred tax assets</w:t>
            </w:r>
          </w:p>
        </w:tc>
        <w:tc>
          <w:tcPr>
            <w:tcW w:w="31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13"/>
              <w:spacing w:after="0" w:line="143" w:lineRule="exact"/>
              <w:rPr>
                <w:sz w:val="20"/>
                <w:szCs w:val="20"/>
                <w:color w:val="auto"/>
              </w:rPr>
            </w:pPr>
            <w:r>
              <w:rPr>
                <w:rFonts w:ascii="Arial" w:cs="Arial" w:eastAsia="Arial" w:hAnsi="Arial"/>
                <w:sz w:val="13"/>
                <w:szCs w:val="13"/>
                <w:b w:val="1"/>
                <w:bCs w:val="1"/>
                <w:color w:val="auto"/>
              </w:rPr>
              <w:t>65,170</w:t>
            </w:r>
          </w:p>
        </w:tc>
        <w:tc>
          <w:tcPr>
            <w:tcW w:w="2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67,815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Valuation allowance</w:t>
            </w:r>
          </w:p>
        </w:tc>
        <w:tc>
          <w:tcPr>
            <w:tcW w:w="3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(5,572)</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Net deferred tax assets</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59,598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133"/>
        <w:spacing w:after="0" w:line="291" w:lineRule="auto"/>
        <w:rPr>
          <w:sz w:val="20"/>
          <w:szCs w:val="20"/>
          <w:color w:val="auto"/>
        </w:rPr>
      </w:pPr>
      <w:r>
        <w:rPr>
          <w:rFonts w:ascii="Arial" w:cs="Arial" w:eastAsia="Arial" w:hAnsi="Arial"/>
          <w:sz w:val="16"/>
          <w:szCs w:val="16"/>
          <w:color w:val="auto"/>
        </w:rPr>
        <w:t>The valuation allowance as of October 31, 2013 and 2012 principally applies to capital loss carryforwards and foreign net operating loss carryforwards that are expected to expire prior to utilization.</w:t>
      </w:r>
    </w:p>
    <w:p>
      <w:pPr>
        <w:spacing w:after="0" w:line="131" w:lineRule="exact"/>
        <w:rPr>
          <w:sz w:val="20"/>
          <w:szCs w:val="20"/>
          <w:color w:val="auto"/>
        </w:rPr>
      </w:pPr>
    </w:p>
    <w:p>
      <w:pPr>
        <w:ind w:firstLine="127"/>
        <w:spacing w:after="0" w:line="268" w:lineRule="auto"/>
        <w:rPr>
          <w:sz w:val="20"/>
          <w:szCs w:val="20"/>
          <w:color w:val="auto"/>
        </w:rPr>
      </w:pPr>
      <w:r>
        <w:rPr>
          <w:rFonts w:ascii="Arial" w:cs="Arial" w:eastAsia="Arial" w:hAnsi="Arial"/>
          <w:sz w:val="16"/>
          <w:szCs w:val="16"/>
          <w:color w:val="auto"/>
        </w:rPr>
        <w:t>As of October 31, 2013, the company had net operating loss carryforwards of approximately $16,679 in foreign jurisdictions. The carryforward periods on the company's foreign loss carryforwards are as follows: $10,477 that do not expire; none that expire in fiscal years 2014 thru 2017; and $6,202 that expire between fiscal years 2018 and 2021.</w:t>
      </w:r>
    </w:p>
    <w:p>
      <w:pPr>
        <w:spacing w:after="0" w:line="149" w:lineRule="exact"/>
        <w:rPr>
          <w:sz w:val="20"/>
          <w:szCs w:val="20"/>
          <w:color w:val="auto"/>
        </w:rPr>
      </w:pPr>
    </w:p>
    <w:p>
      <w:pPr>
        <w:ind w:right="680" w:firstLine="127"/>
        <w:spacing w:after="0" w:line="291" w:lineRule="auto"/>
        <w:rPr>
          <w:sz w:val="20"/>
          <w:szCs w:val="20"/>
          <w:color w:val="auto"/>
        </w:rPr>
      </w:pPr>
      <w:r>
        <w:rPr>
          <w:rFonts w:ascii="Arial" w:cs="Arial" w:eastAsia="Arial" w:hAnsi="Arial"/>
          <w:sz w:val="16"/>
          <w:szCs w:val="16"/>
          <w:color w:val="auto"/>
        </w:rPr>
        <w:t>As of October 31, 2013, the company had approximately $52,587 of accumulated undistributed earnings from subsidiaries outside the U.S. that are considered to be reinvested indefinitely. No deferred tax liability has been provided for such earnings.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Balance as of October 31, 2012</w:t>
            </w: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$ 4,421</w:t>
            </w:r>
          </w:p>
        </w:tc>
        <w:tc>
          <w:tcPr>
            <w:tcW w:w="160" w:type="dxa"/>
            <w:vAlign w:val="bottom"/>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b w:val="1"/>
                <w:bCs w:val="1"/>
                <w:color w:val="auto"/>
              </w:rPr>
              <w:t>Decrease as a result of tax positions taken during a prior period</w:t>
            </w:r>
          </w:p>
        </w:tc>
        <w:tc>
          <w:tcPr>
            <w:tcW w:w="3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(626)</w:t>
            </w:r>
          </w:p>
        </w:tc>
      </w:tr>
      <w:tr>
        <w:trPr>
          <w:trHeight w:val="151"/>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Increase as a result of tax positions taken during the current period</w:t>
            </w:r>
          </w:p>
        </w:tc>
        <w:tc>
          <w:tcPr>
            <w:tcW w:w="3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940</w:t>
            </w:r>
          </w:p>
        </w:tc>
        <w:tc>
          <w:tcPr>
            <w:tcW w:w="16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Decrease relating to settlements with taxing authorities</w:t>
            </w:r>
          </w:p>
        </w:tc>
        <w:tc>
          <w:tcPr>
            <w:tcW w:w="3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(214)</w:t>
            </w:r>
          </w:p>
        </w:tc>
      </w:tr>
      <w:tr>
        <w:trPr>
          <w:trHeight w:val="151"/>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Reduction as a result of a lapse of the applicable statute of limitations</w:t>
            </w:r>
          </w:p>
        </w:tc>
        <w:tc>
          <w:tcPr>
            <w:tcW w:w="3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(15)</w:t>
            </w:r>
          </w:p>
        </w:tc>
      </w:tr>
      <w:tr>
        <w:trPr>
          <w:trHeight w:val="25"/>
        </w:trPr>
        <w:tc>
          <w:tcPr>
            <w:tcW w:w="6960" w:type="dxa"/>
            <w:vAlign w:val="bottom"/>
            <w:gridSpan w:val="2"/>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6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Balance as of October 31, 2013</w:t>
            </w:r>
          </w:p>
        </w:tc>
        <w:tc>
          <w:tcPr>
            <w:tcW w:w="3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$ 4,506</w:t>
            </w:r>
          </w:p>
        </w:tc>
        <w:tc>
          <w:tcPr>
            <w:tcW w:w="160" w:type="dxa"/>
            <w:vAlign w:val="bottom"/>
          </w:tcPr>
          <w:p>
            <w:pPr>
              <w:spacing w:after="0"/>
              <w:rPr>
                <w:sz w:val="14"/>
                <w:szCs w:val="14"/>
                <w:color w:val="auto"/>
              </w:rPr>
            </w:pPr>
          </w:p>
        </w:tc>
      </w:tr>
    </w:tbl>
    <w:p>
      <w:pPr>
        <w:spacing w:after="0" w:line="184" w:lineRule="exact"/>
        <w:rPr>
          <w:sz w:val="20"/>
          <w:szCs w:val="20"/>
          <w:color w:val="auto"/>
        </w:rPr>
      </w:pPr>
    </w:p>
    <w:p>
      <w:pPr>
        <w:ind w:right="40" w:firstLine="136"/>
        <w:spacing w:after="0" w:line="291" w:lineRule="auto"/>
        <w:rPr>
          <w:sz w:val="20"/>
          <w:szCs w:val="20"/>
          <w:color w:val="auto"/>
        </w:rPr>
      </w:pPr>
      <w:r>
        <w:rPr>
          <w:rFonts w:ascii="Arial" w:cs="Arial" w:eastAsia="Arial" w:hAnsi="Arial"/>
          <w:sz w:val="16"/>
          <w:szCs w:val="16"/>
          <w:color w:val="auto"/>
        </w:rPr>
        <w:t>Included in the balance of unrecognized tax benefits as of October 31, 2013 are potential benefits of $3,276 that, if recognized, would affect the effective tax rate from continuing operations.</w:t>
      </w:r>
    </w:p>
    <w:p>
      <w:pPr>
        <w:spacing w:after="0" w:line="131" w:lineRule="exact"/>
        <w:rPr>
          <w:sz w:val="20"/>
          <w:szCs w:val="20"/>
          <w:color w:val="auto"/>
        </w:rPr>
      </w:pPr>
    </w:p>
    <w:p>
      <w:pPr>
        <w:ind w:right="60" w:firstLine="133"/>
        <w:spacing w:after="0" w:line="260" w:lineRule="auto"/>
        <w:rPr>
          <w:sz w:val="20"/>
          <w:szCs w:val="20"/>
          <w:color w:val="auto"/>
        </w:rPr>
      </w:pPr>
      <w:r>
        <w:rPr>
          <w:rFonts w:ascii="Arial" w:cs="Arial" w:eastAsia="Arial" w:hAnsi="Arial"/>
          <w:sz w:val="16"/>
          <w:szCs w:val="16"/>
          <w:color w:val="auto"/>
        </w:rPr>
        <w:t>The company recognizes potential accrued interest and penalties related to unrecognized tax benefits as a component of the provision for income taxes. In addition to the liability of $4,506 for unrecognized tax benefits as of October 31, 2013 was an amount of approximately $66 for accrued interest and penalties. To the extent interest and penalties are not assessed with respect to uncertain tax positions, the amounts accrued will be revised and reflected as an adjustment to the provision for income taxes.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company anticipates that total unrecognized tax benefits will not change significantly within the next 12 months.</w:t>
      </w:r>
    </w:p>
    <w:p>
      <w:pPr>
        <w:spacing w:after="0" w:line="205" w:lineRule="exact"/>
        <w:rPr>
          <w:sz w:val="20"/>
          <w:szCs w:val="20"/>
          <w:color w:val="auto"/>
        </w:rPr>
      </w:pPr>
    </w:p>
    <w:p>
      <w:pPr>
        <w:ind w:right="160" w:firstLine="133"/>
        <w:spacing w:after="0" w:line="268"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2010 and with limited exceptions, state and foreign income tax examinations for fiscal years before 2008.</w:t>
      </w:r>
    </w:p>
    <w:p>
      <w:pPr>
        <w:spacing w:after="0" w:line="110" w:lineRule="exact"/>
        <w:rPr>
          <w:sz w:val="20"/>
          <w:szCs w:val="20"/>
          <w:color w:val="auto"/>
        </w:rPr>
      </w:pPr>
    </w:p>
    <w:p>
      <w:pPr>
        <w:spacing w:after="0"/>
        <w:tabs>
          <w:tab w:leader="none" w:pos="820" w:val="left"/>
        </w:tabs>
        <w:rPr>
          <w:sz w:val="20"/>
          <w:szCs w:val="20"/>
          <w:color w:val="auto"/>
        </w:rPr>
      </w:pPr>
      <w:r>
        <w:rPr>
          <w:rFonts w:ascii="Arial" w:cs="Arial" w:eastAsia="Arial" w:hAnsi="Arial"/>
          <w:sz w:val="40"/>
          <w:szCs w:val="40"/>
          <w:b w:val="1"/>
          <w:bCs w:val="1"/>
          <w:color w:val="auto"/>
        </w:rPr>
        <w:t>10</w:t>
      </w:r>
      <w:r>
        <w:rPr>
          <w:sz w:val="20"/>
          <w:szCs w:val="20"/>
          <w:color w:val="auto"/>
        </w:rPr>
        <w:tab/>
      </w:r>
      <w:r>
        <w:rPr>
          <w:rFonts w:ascii="Arial" w:cs="Arial" w:eastAsia="Arial" w:hAnsi="Arial"/>
          <w:sz w:val="19"/>
          <w:szCs w:val="19"/>
          <w:b w:val="1"/>
          <w:bCs w:val="1"/>
          <w:color w:val="auto"/>
        </w:rPr>
        <w:t>STOCK-BASED COMPENSATION PLANS</w:t>
      </w:r>
    </w:p>
    <w:p>
      <w:pPr>
        <w:spacing w:after="0" w:line="24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company maintains The Toro Company 2010 Equity and Incentive Plan, as amended, for officers, other employees, and non-employee members of the company's Board of Directors. The company's incentive plan allows it to grant equity-based compensation awards, including stock options, restricted stock and restricted stock unit awards, and performance share awards.</w:t>
      </w:r>
    </w:p>
    <w:p>
      <w:pPr>
        <w:sectPr>
          <w:pgSz w:w="11900" w:h="16838" w:orient="portrait"/>
          <w:cols w:equalWidth="0" w:num="1">
            <w:col w:w="11400"/>
          </w:cols>
          <w:pgMar w:left="240" w:top="122" w:right="259" w:bottom="1015"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015" w:gutter="0" w:footer="0" w:header="0"/>
          <w:type w:val="continuous"/>
        </w:sectPr>
      </w:pPr>
    </w:p>
    <w:bookmarkStart w:id="56" w:name="page57"/>
    <w:bookmarkEnd w:id="56"/>
    <w:p>
      <w:pPr>
        <w:ind w:left="140"/>
        <w:spacing w:after="0"/>
        <w:rPr>
          <w:sz w:val="20"/>
          <w:szCs w:val="20"/>
          <w:color w:val="auto"/>
        </w:rPr>
      </w:pPr>
      <w:r>
        <w:rPr>
          <w:rFonts w:ascii="Arial" w:cs="Arial" w:eastAsia="Arial" w:hAnsi="Arial"/>
          <w:sz w:val="16"/>
          <w:szCs w:val="16"/>
          <w:color w:val="auto"/>
        </w:rPr>
        <w:t>The compensation costs related to stock-based awards were as follows:</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61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2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Stock option awards</w:t>
            </w:r>
          </w:p>
        </w:tc>
        <w:tc>
          <w:tcPr>
            <w:tcW w:w="21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4,710</w:t>
            </w:r>
          </w:p>
        </w:tc>
        <w:tc>
          <w:tcPr>
            <w:tcW w:w="1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4,200</w:t>
            </w:r>
          </w:p>
        </w:tc>
        <w:tc>
          <w:tcPr>
            <w:tcW w:w="5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$ 4,654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60" w:type="dxa"/>
            <w:vAlign w:val="bottom"/>
          </w:tcPr>
          <w:p>
            <w:pPr>
              <w:spacing w:after="0"/>
              <w:rPr>
                <w:sz w:val="20"/>
                <w:szCs w:val="20"/>
                <w:color w:val="auto"/>
              </w:rPr>
            </w:pPr>
            <w:r>
              <w:rPr>
                <w:rFonts w:ascii="Arial" w:cs="Arial" w:eastAsia="Arial" w:hAnsi="Arial"/>
                <w:sz w:val="13"/>
                <w:szCs w:val="13"/>
                <w:b w:val="1"/>
                <w:bCs w:val="1"/>
                <w:color w:val="auto"/>
              </w:rPr>
              <w:t>Restricted stock and restricted stock unit awards</w:t>
            </w:r>
          </w:p>
        </w:tc>
        <w:tc>
          <w:tcPr>
            <w:tcW w:w="2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1,694</w:t>
            </w:r>
          </w:p>
        </w:tc>
        <w:tc>
          <w:tcPr>
            <w:tcW w:w="160" w:type="dxa"/>
            <w:vAlign w:val="bottom"/>
          </w:tcPr>
          <w:p>
            <w:pPr>
              <w:spacing w:after="0"/>
              <w:rPr>
                <w:sz w:val="13"/>
                <w:szCs w:val="13"/>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1,721</w:t>
            </w:r>
          </w:p>
        </w:tc>
        <w:tc>
          <w:tcPr>
            <w:tcW w:w="500" w:type="dxa"/>
            <w:vAlign w:val="bottom"/>
          </w:tcPr>
          <w:p>
            <w:pPr>
              <w:jc w:val="right"/>
              <w:spacing w:after="0"/>
              <w:rPr>
                <w:sz w:val="20"/>
                <w:szCs w:val="20"/>
                <w:color w:val="auto"/>
              </w:rPr>
            </w:pPr>
            <w:r>
              <w:rPr>
                <w:rFonts w:ascii="Arial" w:cs="Arial" w:eastAsia="Arial" w:hAnsi="Arial"/>
                <w:sz w:val="13"/>
                <w:szCs w:val="13"/>
                <w:color w:val="auto"/>
              </w:rPr>
              <w:t>699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Performance share awards</w:t>
            </w:r>
          </w:p>
        </w:tc>
        <w:tc>
          <w:tcPr>
            <w:tcW w:w="2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3,833</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3,582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compensation cost for stock-based awards</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9,503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$ 8,533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Tax benefit realized for tax deductions from stock-based awards</w:t>
            </w:r>
          </w:p>
        </w:tc>
        <w:tc>
          <w:tcPr>
            <w:tcW w:w="21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10,614</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13,266</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$ 4,469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40" w:firstLine="133"/>
        <w:spacing w:after="0" w:line="291" w:lineRule="auto"/>
        <w:rPr>
          <w:sz w:val="20"/>
          <w:szCs w:val="20"/>
          <w:color w:val="auto"/>
        </w:rPr>
      </w:pPr>
      <w:r>
        <w:rPr>
          <w:rFonts w:ascii="Arial" w:cs="Arial" w:eastAsia="Arial" w:hAnsi="Arial"/>
          <w:sz w:val="16"/>
          <w:szCs w:val="16"/>
          <w:color w:val="auto"/>
        </w:rPr>
        <w:t>The number of unissued shares of common stock available for future equity-based grants under the company's equity-based compensation plan was 3,873,904 as of October 31, 2013. Stock options, restricted stock and restricted stock units, and performance shares are issued from treasury shares.</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auto"/>
        </w:rPr>
        <w:t xml:space="preserve">Stock Option Awards. </w:t>
      </w:r>
      <w:r>
        <w:rPr>
          <w:rFonts w:ascii="Arial" w:cs="Arial" w:eastAsia="Arial" w:hAnsi="Arial"/>
          <w:sz w:val="16"/>
          <w:szCs w:val="16"/>
          <w:color w:val="auto"/>
        </w:rPr>
        <w:t>Under the company's incentive plan, stock options are granted with an exercise price equal to the closing price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presents stock option activity for fiscal 2013:</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7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Weighted</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Weighted</w:t>
            </w: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Stock</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Average</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Average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Option</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Exercise</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Contractual</w:t>
            </w:r>
          </w:p>
        </w:tc>
        <w:tc>
          <w:tcPr>
            <w:tcW w:w="16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Awards</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Price</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Life(years)</w:t>
            </w:r>
          </w:p>
        </w:tc>
        <w:tc>
          <w:tcPr>
            <w:tcW w:w="16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Outstanding as of October 31, 2012</w:t>
            </w: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3,199,816</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3"/>
              <w:spacing w:after="0" w:line="148" w:lineRule="exact"/>
              <w:rPr>
                <w:sz w:val="20"/>
                <w:szCs w:val="20"/>
                <w:color w:val="auto"/>
              </w:rPr>
            </w:pPr>
            <w:r>
              <w:rPr>
                <w:rFonts w:ascii="Arial" w:cs="Arial" w:eastAsia="Arial" w:hAnsi="Arial"/>
                <w:sz w:val="13"/>
                <w:szCs w:val="13"/>
                <w:b w:val="1"/>
                <w:bCs w:val="1"/>
                <w:color w:val="auto"/>
              </w:rPr>
              <w:t>$22.54</w:t>
            </w:r>
          </w:p>
        </w:tc>
        <w:tc>
          <w:tcPr>
            <w:tcW w:w="840" w:type="dxa"/>
            <w:vAlign w:val="bottom"/>
            <w:tcBorders>
              <w:top w:val="single" w:sz="8" w:color="auto"/>
            </w:tcBorders>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6.0</w:t>
            </w: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62,982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b w:val="1"/>
                <w:bCs w:val="1"/>
                <w:color w:val="auto"/>
              </w:rPr>
              <w:t>Granted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381,639</w:t>
            </w:r>
          </w:p>
        </w:tc>
        <w:tc>
          <w:tcPr>
            <w:tcW w:w="100" w:type="dxa"/>
            <w:vAlign w:val="bottom"/>
          </w:tcPr>
          <w:p>
            <w:pPr>
              <w:spacing w:after="0"/>
              <w:rPr>
                <w:sz w:val="13"/>
                <w:szCs w:val="13"/>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42.14</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Exercised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(498,513</w:t>
            </w: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18.63</w:t>
            </w: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3"/>
                <w:szCs w:val="13"/>
                <w:b w:val="1"/>
                <w:bCs w:val="1"/>
                <w:color w:val="auto"/>
              </w:rPr>
              <w:t>Cancelled</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(13,164</w:t>
            </w: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35.91</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3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Outstanding as of October 31, 2013</w:t>
            </w: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3,069,778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$25.55</w:t>
            </w:r>
          </w:p>
        </w:tc>
        <w:tc>
          <w:tcPr>
            <w:tcW w:w="84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5.9</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w w:val="97"/>
              </w:rPr>
              <w:t>102,493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Exercisable as of October 31, 2013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2,220,781</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$21.97</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82,099</w:t>
            </w:r>
          </w:p>
        </w:tc>
        <w:tc>
          <w:tcPr>
            <w:tcW w:w="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500" w:firstLine="127"/>
        <w:spacing w:after="0" w:line="291" w:lineRule="auto"/>
        <w:rPr>
          <w:sz w:val="20"/>
          <w:szCs w:val="20"/>
          <w:color w:val="auto"/>
        </w:rPr>
      </w:pPr>
      <w:r>
        <w:rPr>
          <w:rFonts w:ascii="Arial" w:cs="Arial" w:eastAsia="Arial" w:hAnsi="Arial"/>
          <w:sz w:val="16"/>
          <w:szCs w:val="16"/>
          <w:color w:val="auto"/>
        </w:rPr>
        <w:t>As of October 31, 2013, there was $1,712 of total unrecognized compensation expense related to unvested stock options. That cost is expected to be recognized over a weighted-average period of 1.9 years.</w:t>
      </w:r>
    </w:p>
    <w:p>
      <w:pPr>
        <w:spacing w:after="0" w:line="131" w:lineRule="exact"/>
        <w:rPr>
          <w:sz w:val="20"/>
          <w:szCs w:val="20"/>
          <w:color w:val="auto"/>
        </w:rPr>
      </w:pPr>
    </w:p>
    <w:p>
      <w:pPr>
        <w:ind w:right="380" w:firstLine="133"/>
        <w:spacing w:after="0" w:line="291" w:lineRule="auto"/>
        <w:rPr>
          <w:sz w:val="20"/>
          <w:szCs w:val="20"/>
          <w:color w:val="auto"/>
        </w:rPr>
      </w:pPr>
      <w:r>
        <w:rPr>
          <w:rFonts w:ascii="Arial" w:cs="Arial" w:eastAsia="Arial" w:hAnsi="Arial"/>
          <w:sz w:val="16"/>
          <w:szCs w:val="16"/>
          <w:color w:val="auto"/>
        </w:rPr>
        <w:t>The following table presents the total market value of stock options exercised and the total intrinsic value of options exercised during the following fiscal years:</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Fiscal years ended October 31</w:t>
            </w:r>
          </w:p>
        </w:tc>
        <w:tc>
          <w:tcPr>
            <w:tcW w:w="33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Market value of stock options exercised</w:t>
            </w:r>
          </w:p>
        </w:tc>
        <w:tc>
          <w:tcPr>
            <w:tcW w:w="336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$ 23,160</w:t>
            </w:r>
          </w:p>
        </w:tc>
        <w:tc>
          <w:tcPr>
            <w:tcW w:w="640" w:type="dxa"/>
            <w:vAlign w:val="bottom"/>
            <w:tcBorders>
              <w:top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$ 35,901</w:t>
            </w:r>
          </w:p>
        </w:tc>
        <w:tc>
          <w:tcPr>
            <w:tcW w:w="5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$ 25,592</w:t>
            </w:r>
          </w:p>
        </w:tc>
        <w:tc>
          <w:tcPr>
            <w:tcW w:w="160" w:type="dxa"/>
            <w:vAlign w:val="bottom"/>
            <w:shd w:val="clear" w:color="auto" w:fill="CCEEFF"/>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Intrinsic value of options exercised</w:t>
            </w:r>
          </w:p>
        </w:tc>
        <w:tc>
          <w:tcPr>
            <w:tcW w:w="33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13,875</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16,061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11,434</w:t>
            </w:r>
          </w:p>
        </w:tc>
        <w:tc>
          <w:tcPr>
            <w:tcW w:w="160" w:type="dxa"/>
            <w:vAlign w:val="bottom"/>
          </w:tcPr>
          <w:p>
            <w:pPr>
              <w:spacing w:after="0"/>
              <w:rPr>
                <w:sz w:val="15"/>
                <w:szCs w:val="15"/>
                <w:color w:val="auto"/>
              </w:rPr>
            </w:pPr>
          </w:p>
        </w:tc>
      </w:tr>
    </w:tbl>
    <w:p>
      <w:pPr>
        <w:spacing w:after="0" w:line="184" w:lineRule="exact"/>
        <w:rPr>
          <w:sz w:val="20"/>
          <w:szCs w:val="20"/>
          <w:color w:val="auto"/>
        </w:rPr>
      </w:pPr>
    </w:p>
    <w:p>
      <w:pPr>
        <w:ind w:right="100" w:firstLine="133"/>
        <w:spacing w:after="0" w:line="252"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7" w:name="page58"/>
    <w:bookmarkEnd w:id="57"/>
    <w:p>
      <w:pPr>
        <w:ind w:left="140"/>
        <w:spacing w:after="0"/>
        <w:rPr>
          <w:sz w:val="20"/>
          <w:szCs w:val="20"/>
          <w:color w:val="auto"/>
        </w:rPr>
      </w:pPr>
      <w:r>
        <w:rPr>
          <w:rFonts w:ascii="Arial" w:cs="Arial" w:eastAsia="Arial" w:hAnsi="Arial"/>
          <w:sz w:val="16"/>
          <w:szCs w:val="16"/>
          <w:color w:val="auto"/>
        </w:rPr>
        <w:t>The following table illustrates the valuation assumptions of stock-based compensation for the following fiscal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3720" w:type="dxa"/>
            <w:vAlign w:val="bottom"/>
            <w:tcBorders>
              <w:top w:val="single" w:sz="8" w:color="auto"/>
              <w:bottom w:val="single" w:sz="8" w:color="auto"/>
            </w:tcBorders>
          </w:tcPr>
          <w:p>
            <w:pPr>
              <w:jc w:val="center"/>
              <w:ind w:left="2513"/>
              <w:spacing w:after="0"/>
              <w:rPr>
                <w:sz w:val="20"/>
                <w:szCs w:val="20"/>
                <w:color w:val="auto"/>
              </w:rPr>
            </w:pPr>
            <w:r>
              <w:rPr>
                <w:rFonts w:ascii="Arial" w:cs="Arial" w:eastAsia="Arial" w:hAnsi="Arial"/>
                <w:sz w:val="13"/>
                <w:szCs w:val="13"/>
                <w:b w:val="1"/>
                <w:bCs w:val="1"/>
                <w:color w:val="auto"/>
              </w:rPr>
              <w:t>2013</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2012</w:t>
            </w: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2011</w:t>
            </w: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Expected life of option in years</w:t>
            </w:r>
          </w:p>
        </w:tc>
        <w:tc>
          <w:tcPr>
            <w:tcW w:w="3720" w:type="dxa"/>
            <w:vAlign w:val="bottom"/>
            <w:shd w:val="clear" w:color="auto" w:fill="CCEEFF"/>
          </w:tcPr>
          <w:p>
            <w:pPr>
              <w:jc w:val="center"/>
              <w:ind w:left="2533"/>
              <w:spacing w:after="0" w:line="143" w:lineRule="exact"/>
              <w:rPr>
                <w:sz w:val="20"/>
                <w:szCs w:val="20"/>
                <w:color w:val="auto"/>
              </w:rPr>
            </w:pPr>
            <w:r>
              <w:rPr>
                <w:rFonts w:ascii="Arial" w:cs="Arial" w:eastAsia="Arial" w:hAnsi="Arial"/>
                <w:sz w:val="13"/>
                <w:szCs w:val="13"/>
                <w:b w:val="1"/>
                <w:bCs w:val="1"/>
                <w:color w:val="auto"/>
              </w:rPr>
              <w:t>6</w:t>
            </w: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rPr>
              <w:t>6</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right="393"/>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7"/>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Expected volatility</w:t>
            </w:r>
          </w:p>
        </w:tc>
        <w:tc>
          <w:tcPr>
            <w:tcW w:w="3720" w:type="dxa"/>
            <w:vAlign w:val="bottom"/>
          </w:tcPr>
          <w:p>
            <w:pPr>
              <w:jc w:val="center"/>
              <w:ind w:left="2533"/>
              <w:spacing w:after="0" w:line="137" w:lineRule="exact"/>
              <w:rPr>
                <w:sz w:val="20"/>
                <w:szCs w:val="20"/>
                <w:color w:val="auto"/>
              </w:rPr>
            </w:pPr>
            <w:r>
              <w:rPr>
                <w:rFonts w:ascii="Arial" w:cs="Arial" w:eastAsia="Arial" w:hAnsi="Arial"/>
                <w:sz w:val="13"/>
                <w:szCs w:val="13"/>
                <w:b w:val="1"/>
                <w:bCs w:val="1"/>
                <w:color w:val="auto"/>
              </w:rPr>
              <w:t>35.18% –</w:t>
            </w:r>
          </w:p>
        </w:tc>
        <w:tc>
          <w:tcPr>
            <w:tcW w:w="1160" w:type="dxa"/>
            <w:vAlign w:val="bottom"/>
          </w:tcPr>
          <w:p>
            <w:pPr>
              <w:jc w:val="center"/>
              <w:spacing w:after="0" w:line="137" w:lineRule="exact"/>
              <w:rPr>
                <w:sz w:val="20"/>
                <w:szCs w:val="20"/>
                <w:color w:val="auto"/>
              </w:rPr>
            </w:pPr>
            <w:r>
              <w:rPr>
                <w:rFonts w:ascii="Arial" w:cs="Arial" w:eastAsia="Arial" w:hAnsi="Arial"/>
                <w:sz w:val="13"/>
                <w:szCs w:val="13"/>
                <w:color w:val="auto"/>
              </w:rPr>
              <w:t>34.87% –</w:t>
            </w:r>
          </w:p>
        </w:tc>
        <w:tc>
          <w:tcPr>
            <w:tcW w:w="1060" w:type="dxa"/>
            <w:vAlign w:val="bottom"/>
            <w:gridSpan w:val="2"/>
          </w:tcPr>
          <w:p>
            <w:pPr>
              <w:jc w:val="center"/>
              <w:spacing w:after="0" w:line="137" w:lineRule="exact"/>
              <w:rPr>
                <w:sz w:val="20"/>
                <w:szCs w:val="20"/>
                <w:color w:val="auto"/>
              </w:rPr>
            </w:pPr>
            <w:r>
              <w:rPr>
                <w:rFonts w:ascii="Arial" w:cs="Arial" w:eastAsia="Arial" w:hAnsi="Arial"/>
                <w:sz w:val="13"/>
                <w:szCs w:val="13"/>
                <w:color w:val="auto"/>
              </w:rPr>
              <w:t>33.34% –</w:t>
            </w:r>
          </w:p>
        </w:tc>
        <w:tc>
          <w:tcPr>
            <w:tcW w:w="0" w:type="dxa"/>
            <w:vAlign w:val="bottom"/>
          </w:tcPr>
          <w:p>
            <w:pPr>
              <w:spacing w:after="0"/>
              <w:rPr>
                <w:sz w:val="1"/>
                <w:szCs w:val="1"/>
                <w:color w:val="auto"/>
              </w:rPr>
            </w:pPr>
          </w:p>
        </w:tc>
      </w:tr>
      <w:tr>
        <w:trPr>
          <w:trHeight w:val="164"/>
        </w:trPr>
        <w:tc>
          <w:tcPr>
            <w:tcW w:w="5480" w:type="dxa"/>
            <w:vAlign w:val="bottom"/>
            <w:vMerge w:val="continue"/>
          </w:tcPr>
          <w:p>
            <w:pPr>
              <w:spacing w:after="0"/>
              <w:rPr>
                <w:sz w:val="14"/>
                <w:szCs w:val="14"/>
                <w:color w:val="auto"/>
              </w:rPr>
            </w:pPr>
          </w:p>
        </w:tc>
        <w:tc>
          <w:tcPr>
            <w:tcW w:w="3720" w:type="dxa"/>
            <w:vAlign w:val="bottom"/>
          </w:tcPr>
          <w:p>
            <w:pPr>
              <w:jc w:val="center"/>
              <w:ind w:left="2533"/>
              <w:spacing w:after="0"/>
              <w:rPr>
                <w:sz w:val="20"/>
                <w:szCs w:val="20"/>
                <w:color w:val="auto"/>
              </w:rPr>
            </w:pPr>
            <w:r>
              <w:rPr>
                <w:rFonts w:ascii="Arial" w:cs="Arial" w:eastAsia="Arial" w:hAnsi="Arial"/>
                <w:sz w:val="13"/>
                <w:szCs w:val="13"/>
                <w:b w:val="1"/>
                <w:bCs w:val="1"/>
                <w:color w:val="auto"/>
                <w:w w:val="99"/>
              </w:rPr>
              <w:t>35.19%</w:t>
            </w:r>
          </w:p>
        </w:tc>
        <w:tc>
          <w:tcPr>
            <w:tcW w:w="1160" w:type="dxa"/>
            <w:vAlign w:val="bottom"/>
          </w:tcPr>
          <w:p>
            <w:pPr>
              <w:jc w:val="center"/>
              <w:spacing w:after="0"/>
              <w:rPr>
                <w:sz w:val="20"/>
                <w:szCs w:val="20"/>
                <w:color w:val="auto"/>
              </w:rPr>
            </w:pPr>
            <w:r>
              <w:rPr>
                <w:rFonts w:ascii="Arial" w:cs="Arial" w:eastAsia="Arial" w:hAnsi="Arial"/>
                <w:sz w:val="13"/>
                <w:szCs w:val="13"/>
                <w:color w:val="auto"/>
                <w:w w:val="99"/>
              </w:rPr>
              <w:t>35.02%</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33.43%</w:t>
            </w:r>
          </w:p>
        </w:tc>
        <w:tc>
          <w:tcPr>
            <w:tcW w:w="0" w:type="dxa"/>
            <w:vAlign w:val="bottom"/>
          </w:tcPr>
          <w:p>
            <w:pPr>
              <w:spacing w:after="0"/>
              <w:rPr>
                <w:sz w:val="1"/>
                <w:szCs w:val="1"/>
                <w:color w:val="auto"/>
              </w:rPr>
            </w:pPr>
          </w:p>
        </w:tc>
      </w:tr>
      <w:tr>
        <w:trPr>
          <w:trHeight w:val="151"/>
        </w:trPr>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Weighted-average volatility</w:t>
            </w:r>
          </w:p>
        </w:tc>
        <w:tc>
          <w:tcPr>
            <w:tcW w:w="3720" w:type="dxa"/>
            <w:vAlign w:val="bottom"/>
            <w:shd w:val="clear" w:color="auto" w:fill="CCEEFF"/>
          </w:tcPr>
          <w:p>
            <w:pPr>
              <w:jc w:val="center"/>
              <w:ind w:left="2533"/>
              <w:spacing w:after="0"/>
              <w:rPr>
                <w:sz w:val="20"/>
                <w:szCs w:val="20"/>
                <w:color w:val="auto"/>
              </w:rPr>
            </w:pPr>
            <w:r>
              <w:rPr>
                <w:rFonts w:ascii="Arial" w:cs="Arial" w:eastAsia="Arial" w:hAnsi="Arial"/>
                <w:sz w:val="13"/>
                <w:szCs w:val="13"/>
                <w:b w:val="1"/>
                <w:bCs w:val="1"/>
                <w:color w:val="auto"/>
                <w:w w:val="99"/>
              </w:rPr>
              <w:t>35.19%</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35.01%</w:t>
            </w:r>
          </w:p>
        </w:tc>
        <w:tc>
          <w:tcPr>
            <w:tcW w:w="1060" w:type="dxa"/>
            <w:vAlign w:val="bottom"/>
            <w:gridSpan w:val="2"/>
            <w:shd w:val="clear" w:color="auto" w:fill="CCEEFF"/>
          </w:tcPr>
          <w:p>
            <w:pPr>
              <w:jc w:val="center"/>
              <w:ind w:left="13"/>
              <w:spacing w:after="0"/>
              <w:rPr>
                <w:sz w:val="20"/>
                <w:szCs w:val="20"/>
                <w:color w:val="auto"/>
              </w:rPr>
            </w:pPr>
            <w:r>
              <w:rPr>
                <w:rFonts w:ascii="Arial" w:cs="Arial" w:eastAsia="Arial" w:hAnsi="Arial"/>
                <w:sz w:val="13"/>
                <w:szCs w:val="13"/>
                <w:color w:val="auto"/>
              </w:rPr>
              <w:t>33.42%</w:t>
            </w:r>
          </w:p>
        </w:tc>
        <w:tc>
          <w:tcPr>
            <w:tcW w:w="0" w:type="dxa"/>
            <w:vAlign w:val="bottom"/>
          </w:tcPr>
          <w:p>
            <w:pPr>
              <w:spacing w:after="0"/>
              <w:rPr>
                <w:sz w:val="1"/>
                <w:szCs w:val="1"/>
                <w:color w:val="auto"/>
              </w:rPr>
            </w:pPr>
          </w:p>
        </w:tc>
      </w:tr>
      <w:tr>
        <w:trPr>
          <w:trHeight w:val="151"/>
        </w:trPr>
        <w:tc>
          <w:tcPr>
            <w:tcW w:w="5480" w:type="dxa"/>
            <w:vAlign w:val="bottom"/>
          </w:tcPr>
          <w:p>
            <w:pPr>
              <w:spacing w:after="0"/>
              <w:rPr>
                <w:sz w:val="20"/>
                <w:szCs w:val="20"/>
                <w:color w:val="auto"/>
              </w:rPr>
            </w:pPr>
            <w:r>
              <w:rPr>
                <w:rFonts w:ascii="Arial" w:cs="Arial" w:eastAsia="Arial" w:hAnsi="Arial"/>
                <w:sz w:val="13"/>
                <w:szCs w:val="13"/>
                <w:b w:val="1"/>
                <w:bCs w:val="1"/>
                <w:color w:val="auto"/>
              </w:rPr>
              <w:t>Risk-free interest rate</w:t>
            </w:r>
          </w:p>
        </w:tc>
        <w:tc>
          <w:tcPr>
            <w:tcW w:w="3720" w:type="dxa"/>
            <w:vAlign w:val="bottom"/>
          </w:tcPr>
          <w:p>
            <w:pPr>
              <w:jc w:val="center"/>
              <w:ind w:left="2513"/>
              <w:spacing w:after="0"/>
              <w:rPr>
                <w:sz w:val="20"/>
                <w:szCs w:val="20"/>
                <w:color w:val="auto"/>
              </w:rPr>
            </w:pPr>
            <w:r>
              <w:rPr>
                <w:rFonts w:ascii="Arial" w:cs="Arial" w:eastAsia="Arial" w:hAnsi="Arial"/>
                <w:sz w:val="13"/>
                <w:szCs w:val="13"/>
                <w:b w:val="1"/>
                <w:bCs w:val="1"/>
                <w:color w:val="auto"/>
              </w:rPr>
              <w:t>0.88%</w:t>
            </w:r>
          </w:p>
        </w:tc>
        <w:tc>
          <w:tcPr>
            <w:tcW w:w="1160" w:type="dxa"/>
            <w:vAlign w:val="bottom"/>
          </w:tcPr>
          <w:p>
            <w:pPr>
              <w:jc w:val="center"/>
              <w:spacing w:after="0"/>
              <w:rPr>
                <w:sz w:val="20"/>
                <w:szCs w:val="20"/>
                <w:color w:val="auto"/>
              </w:rPr>
            </w:pPr>
            <w:r>
              <w:rPr>
                <w:rFonts w:ascii="Arial" w:cs="Arial" w:eastAsia="Arial" w:hAnsi="Arial"/>
                <w:sz w:val="13"/>
                <w:szCs w:val="13"/>
                <w:color w:val="auto"/>
              </w:rPr>
              <w:t>1.20%</w:t>
            </w:r>
          </w:p>
        </w:tc>
        <w:tc>
          <w:tcPr>
            <w:tcW w:w="520" w:type="dxa"/>
            <w:vAlign w:val="bottom"/>
          </w:tcPr>
          <w:p>
            <w:pPr>
              <w:jc w:val="right"/>
              <w:spacing w:after="0"/>
              <w:rPr>
                <w:sz w:val="20"/>
                <w:szCs w:val="20"/>
                <w:color w:val="auto"/>
              </w:rPr>
            </w:pPr>
            <w:r>
              <w:rPr>
                <w:rFonts w:ascii="Arial" w:cs="Arial" w:eastAsia="Arial" w:hAnsi="Arial"/>
                <w:sz w:val="13"/>
                <w:szCs w:val="13"/>
                <w:color w:val="auto"/>
              </w:rPr>
              <w:t>1.72%</w:t>
            </w:r>
          </w:p>
        </w:tc>
        <w:tc>
          <w:tcPr>
            <w:tcW w:w="540" w:type="dxa"/>
            <w:vAlign w:val="bottom"/>
          </w:tcPr>
          <w:p>
            <w:pPr>
              <w:spacing w:after="0"/>
              <w:rPr>
                <w:sz w:val="20"/>
                <w:szCs w:val="20"/>
                <w:color w:val="auto"/>
              </w:rPr>
            </w:pPr>
            <w:r>
              <w:rPr>
                <w:rFonts w:ascii="Arial" w:cs="Arial" w:eastAsia="Arial" w:hAnsi="Arial"/>
                <w:sz w:val="13"/>
                <w:szCs w:val="13"/>
                <w:color w:val="auto"/>
              </w:rPr>
              <w:t>– 2.36%</w:t>
            </w:r>
          </w:p>
        </w:tc>
        <w:tc>
          <w:tcPr>
            <w:tcW w:w="0" w:type="dxa"/>
            <w:vAlign w:val="bottom"/>
          </w:tcPr>
          <w:p>
            <w:pPr>
              <w:spacing w:after="0"/>
              <w:rPr>
                <w:sz w:val="1"/>
                <w:szCs w:val="1"/>
                <w:color w:val="auto"/>
              </w:rPr>
            </w:pPr>
          </w:p>
        </w:tc>
      </w:tr>
      <w:tr>
        <w:trPr>
          <w:trHeight w:val="151"/>
        </w:trPr>
        <w:tc>
          <w:tcPr>
            <w:tcW w:w="5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dividend yield</w:t>
            </w:r>
          </w:p>
        </w:tc>
        <w:tc>
          <w:tcPr>
            <w:tcW w:w="3720" w:type="dxa"/>
            <w:vAlign w:val="bottom"/>
            <w:shd w:val="clear" w:color="auto" w:fill="CCEEFF"/>
          </w:tcPr>
          <w:p>
            <w:pPr>
              <w:jc w:val="center"/>
              <w:ind w:left="2533"/>
              <w:spacing w:after="0"/>
              <w:rPr>
                <w:sz w:val="20"/>
                <w:szCs w:val="20"/>
                <w:color w:val="auto"/>
              </w:rPr>
            </w:pPr>
            <w:r>
              <w:rPr>
                <w:rFonts w:ascii="Arial" w:cs="Arial" w:eastAsia="Arial" w:hAnsi="Arial"/>
                <w:sz w:val="13"/>
                <w:szCs w:val="13"/>
                <w:b w:val="1"/>
                <w:bCs w:val="1"/>
                <w:color w:val="auto"/>
              </w:rPr>
              <w:t>1.04% – 1.07%</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1.31% – 1.40%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540" w:type="dxa"/>
            <w:vAlign w:val="bottom"/>
            <w:shd w:val="clear" w:color="auto" w:fill="CCEEFF"/>
          </w:tcPr>
          <w:p>
            <w:pPr>
              <w:spacing w:after="0"/>
              <w:rPr>
                <w:sz w:val="20"/>
                <w:szCs w:val="20"/>
                <w:color w:val="auto"/>
              </w:rPr>
            </w:pPr>
            <w:r>
              <w:rPr>
                <w:rFonts w:ascii="Arial" w:cs="Arial" w:eastAsia="Arial" w:hAnsi="Arial"/>
                <w:sz w:val="13"/>
                <w:szCs w:val="13"/>
                <w:color w:val="auto"/>
              </w:rPr>
              <w:t>– 1.16%</w:t>
            </w:r>
          </w:p>
        </w:tc>
        <w:tc>
          <w:tcPr>
            <w:tcW w:w="0" w:type="dxa"/>
            <w:vAlign w:val="bottom"/>
          </w:tcPr>
          <w:p>
            <w:pPr>
              <w:spacing w:after="0"/>
              <w:rPr>
                <w:sz w:val="1"/>
                <w:szCs w:val="1"/>
                <w:color w:val="auto"/>
              </w:rPr>
            </w:pPr>
          </w:p>
        </w:tc>
      </w:tr>
      <w:tr>
        <w:trPr>
          <w:trHeight w:val="176"/>
        </w:trPr>
        <w:tc>
          <w:tcPr>
            <w:tcW w:w="5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Weighted-average dividend yield</w:t>
            </w:r>
          </w:p>
        </w:tc>
        <w:tc>
          <w:tcPr>
            <w:tcW w:w="3720" w:type="dxa"/>
            <w:vAlign w:val="bottom"/>
            <w:tcBorders>
              <w:bottom w:val="single" w:sz="8" w:color="auto"/>
            </w:tcBorders>
          </w:tcPr>
          <w:p>
            <w:pPr>
              <w:jc w:val="center"/>
              <w:ind w:left="2513"/>
              <w:spacing w:after="0"/>
              <w:rPr>
                <w:sz w:val="20"/>
                <w:szCs w:val="20"/>
                <w:color w:val="auto"/>
              </w:rPr>
            </w:pPr>
            <w:r>
              <w:rPr>
                <w:rFonts w:ascii="Arial" w:cs="Arial" w:eastAsia="Arial" w:hAnsi="Arial"/>
                <w:sz w:val="13"/>
                <w:szCs w:val="13"/>
                <w:b w:val="1"/>
                <w:bCs w:val="1"/>
                <w:color w:val="auto"/>
              </w:rPr>
              <w:t>1.07%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1.32%</w:t>
            </w:r>
          </w:p>
        </w:tc>
        <w:tc>
          <w:tcPr>
            <w:tcW w:w="106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fair value at date of grant</w:t>
            </w:r>
          </w:p>
        </w:tc>
        <w:tc>
          <w:tcPr>
            <w:tcW w:w="3720" w:type="dxa"/>
            <w:vAlign w:val="bottom"/>
            <w:shd w:val="clear" w:color="auto" w:fill="CCEEFF"/>
          </w:tcPr>
          <w:p>
            <w:pPr>
              <w:jc w:val="center"/>
              <w:ind w:left="2533"/>
              <w:spacing w:after="0" w:line="143" w:lineRule="exact"/>
              <w:rPr>
                <w:sz w:val="20"/>
                <w:szCs w:val="20"/>
                <w:color w:val="auto"/>
              </w:rPr>
            </w:pPr>
            <w:r>
              <w:rPr>
                <w:rFonts w:ascii="Arial" w:cs="Arial" w:eastAsia="Arial" w:hAnsi="Arial"/>
                <w:sz w:val="13"/>
                <w:szCs w:val="13"/>
                <w:b w:val="1"/>
                <w:bCs w:val="1"/>
                <w:color w:val="auto"/>
              </w:rPr>
              <w:t>$13.03</w:t>
            </w:r>
          </w:p>
        </w:tc>
        <w:tc>
          <w:tcPr>
            <w:tcW w:w="116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8"/>
              </w:rPr>
              <w:t>$8.56</w:t>
            </w:r>
          </w:p>
        </w:tc>
        <w:tc>
          <w:tcPr>
            <w:tcW w:w="1060" w:type="dxa"/>
            <w:vAlign w:val="bottom"/>
            <w:gridSpan w:val="2"/>
            <w:shd w:val="clear" w:color="auto" w:fill="CCEEFF"/>
          </w:tcPr>
          <w:p>
            <w:pPr>
              <w:jc w:val="center"/>
              <w:ind w:left="13"/>
              <w:spacing w:after="0" w:line="143" w:lineRule="exact"/>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25"/>
        </w:trPr>
        <w:tc>
          <w:tcPr>
            <w:tcW w:w="54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Restricted Stock and Restricted Stock Unit Awards. </w:t>
      </w:r>
      <w:r>
        <w:rPr>
          <w:rFonts w:ascii="Arial" w:cs="Arial" w:eastAsia="Arial" w:hAnsi="Arial"/>
          <w:sz w:val="16"/>
          <w:szCs w:val="16"/>
          <w:color w:val="auto"/>
        </w:rPr>
        <w:t>Under the company's incentive plan, restricted stock and restricted stock unit awards are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to certain non-officer employees. Occasionally, restricted stock or restricted stock unit awards may be granted in connection with hiring, mid-year promotions, leadership transition, or retention. In fiscal 2013, the company began granting restricted stock unit awards.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company granted restricted stock and restricted stock unit awards during the following fiscal years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2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2012</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6"/>
                <w:szCs w:val="16"/>
                <w:color w:val="auto"/>
              </w:rPr>
            </w:pPr>
          </w:p>
        </w:tc>
      </w:tr>
      <w:tr>
        <w:trPr>
          <w:trHeight w:val="143"/>
        </w:trPr>
        <w:tc>
          <w:tcPr>
            <w:tcW w:w="58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fair value at date of grant</w:t>
            </w:r>
          </w:p>
        </w:tc>
        <w:tc>
          <w:tcPr>
            <w:tcW w:w="200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$ 46.10</w:t>
            </w:r>
          </w:p>
        </w:tc>
        <w:tc>
          <w:tcPr>
            <w:tcW w:w="62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$ 33.61</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$ 27.17</w:t>
            </w:r>
          </w:p>
        </w:tc>
        <w:tc>
          <w:tcPr>
            <w:tcW w:w="160" w:type="dxa"/>
            <w:vAlign w:val="bottom"/>
            <w:shd w:val="clear" w:color="auto" w:fill="CCEEFF"/>
          </w:tcPr>
          <w:p>
            <w:pPr>
              <w:spacing w:after="0"/>
              <w:rPr>
                <w:sz w:val="12"/>
                <w:szCs w:val="12"/>
                <w:color w:val="auto"/>
              </w:rPr>
            </w:pPr>
          </w:p>
        </w:tc>
      </w:tr>
      <w:tr>
        <w:trPr>
          <w:trHeight w:val="176"/>
        </w:trPr>
        <w:tc>
          <w:tcPr>
            <w:tcW w:w="5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Fair value of restricted stock and restricted stock unit awards vested</w:t>
            </w:r>
          </w:p>
        </w:tc>
        <w:tc>
          <w:tcPr>
            <w:tcW w:w="2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1,207</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967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5"/>
                <w:szCs w:val="15"/>
                <w:color w:val="auto"/>
              </w:rPr>
            </w:pPr>
          </w:p>
        </w:tc>
      </w:tr>
    </w:tbl>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summarizes the activity during fiscal 2013 for unvested restricted stock and restricted stock unit awards: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20"/>
        </w:trPr>
        <w:tc>
          <w:tcPr>
            <w:tcW w:w="9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1"/>
        </w:trPr>
        <w:tc>
          <w:tcPr>
            <w:tcW w:w="9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60"/>
              <w:spacing w:after="0" w:line="132" w:lineRule="exact"/>
              <w:rPr>
                <w:sz w:val="20"/>
                <w:szCs w:val="20"/>
                <w:color w:val="auto"/>
              </w:rPr>
            </w:pPr>
            <w:r>
              <w:rPr>
                <w:rFonts w:ascii="Arial" w:cs="Arial" w:eastAsia="Arial" w:hAnsi="Arial"/>
                <w:sz w:val="13"/>
                <w:szCs w:val="13"/>
                <w:color w:val="auto"/>
              </w:rPr>
              <w:t>Weighted-</w:t>
            </w:r>
          </w:p>
        </w:tc>
      </w:tr>
      <w:tr>
        <w:trPr>
          <w:trHeight w:val="151"/>
        </w:trPr>
        <w:tc>
          <w:tcPr>
            <w:tcW w:w="9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Restricted</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Average Fair</w:t>
            </w:r>
          </w:p>
        </w:tc>
      </w:tr>
      <w:tr>
        <w:trPr>
          <w:trHeight w:val="151"/>
        </w:trPr>
        <w:tc>
          <w:tcPr>
            <w:tcW w:w="9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Stock and</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Value at Date</w:t>
            </w:r>
          </w:p>
        </w:tc>
      </w:tr>
      <w:tr>
        <w:trPr>
          <w:trHeight w:val="183"/>
        </w:trPr>
        <w:tc>
          <w:tcPr>
            <w:tcW w:w="91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of Grant</w:t>
            </w:r>
          </w:p>
        </w:tc>
      </w:tr>
      <w:tr>
        <w:trPr>
          <w:trHeight w:val="147"/>
        </w:trPr>
        <w:tc>
          <w:tcPr>
            <w:tcW w:w="91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Unvested as of October 31, 2012</w:t>
            </w:r>
          </w:p>
        </w:tc>
        <w:tc>
          <w:tcPr>
            <w:tcW w:w="760" w:type="dxa"/>
            <w:vAlign w:val="bottom"/>
            <w:tcBorders>
              <w:top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114,914</w:t>
            </w: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30.02</w:t>
            </w:r>
          </w:p>
        </w:tc>
        <w:tc>
          <w:tcPr>
            <w:tcW w:w="160" w:type="dxa"/>
            <w:vAlign w:val="bottom"/>
            <w:shd w:val="clear" w:color="auto" w:fill="CCEEFF"/>
          </w:tcPr>
          <w:p>
            <w:pPr>
              <w:spacing w:after="0"/>
              <w:rPr>
                <w:sz w:val="12"/>
                <w:szCs w:val="12"/>
                <w:color w:val="auto"/>
              </w:rPr>
            </w:pPr>
          </w:p>
        </w:tc>
      </w:tr>
      <w:tr>
        <w:trPr>
          <w:trHeight w:val="151"/>
        </w:trPr>
        <w:tc>
          <w:tcPr>
            <w:tcW w:w="9160" w:type="dxa"/>
            <w:vAlign w:val="bottom"/>
          </w:tcPr>
          <w:p>
            <w:pPr>
              <w:spacing w:after="0"/>
              <w:rPr>
                <w:sz w:val="20"/>
                <w:szCs w:val="20"/>
                <w:color w:val="auto"/>
              </w:rPr>
            </w:pPr>
            <w:r>
              <w:rPr>
                <w:rFonts w:ascii="Arial" w:cs="Arial" w:eastAsia="Arial" w:hAnsi="Arial"/>
                <w:sz w:val="13"/>
                <w:szCs w:val="13"/>
                <w:b w:val="1"/>
                <w:bCs w:val="1"/>
                <w:color w:val="auto"/>
              </w:rPr>
              <w:t>Granted</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41,270</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46.10</w:t>
            </w:r>
          </w:p>
        </w:tc>
        <w:tc>
          <w:tcPr>
            <w:tcW w:w="160" w:type="dxa"/>
            <w:vAlign w:val="bottom"/>
          </w:tcPr>
          <w:p>
            <w:pPr>
              <w:spacing w:after="0"/>
              <w:rPr>
                <w:sz w:val="13"/>
                <w:szCs w:val="13"/>
                <w:color w:val="auto"/>
              </w:rPr>
            </w:pPr>
          </w:p>
        </w:tc>
      </w:tr>
      <w:tr>
        <w:trPr>
          <w:trHeight w:val="151"/>
        </w:trPr>
        <w:tc>
          <w:tcPr>
            <w:tcW w:w="9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Vested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(42,214)</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28.59</w:t>
            </w:r>
          </w:p>
        </w:tc>
        <w:tc>
          <w:tcPr>
            <w:tcW w:w="160" w:type="dxa"/>
            <w:vAlign w:val="bottom"/>
            <w:shd w:val="clear" w:color="auto" w:fill="CCEEFF"/>
          </w:tcPr>
          <w:p>
            <w:pPr>
              <w:spacing w:after="0"/>
              <w:rPr>
                <w:sz w:val="13"/>
                <w:szCs w:val="13"/>
                <w:color w:val="auto"/>
              </w:rPr>
            </w:pPr>
          </w:p>
        </w:tc>
      </w:tr>
      <w:tr>
        <w:trPr>
          <w:trHeight w:val="176"/>
        </w:trPr>
        <w:tc>
          <w:tcPr>
            <w:tcW w:w="9160" w:type="dxa"/>
            <w:vAlign w:val="bottom"/>
          </w:tcPr>
          <w:p>
            <w:pPr>
              <w:spacing w:after="0"/>
              <w:rPr>
                <w:sz w:val="20"/>
                <w:szCs w:val="20"/>
                <w:color w:val="auto"/>
              </w:rPr>
            </w:pPr>
            <w:r>
              <w:rPr>
                <w:rFonts w:ascii="Arial" w:cs="Arial" w:eastAsia="Arial" w:hAnsi="Arial"/>
                <w:sz w:val="13"/>
                <w:szCs w:val="13"/>
                <w:b w:val="1"/>
                <w:bCs w:val="1"/>
                <w:color w:val="auto"/>
              </w:rPr>
              <w:t>Forfeited</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(4,682)</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37.45</w:t>
            </w:r>
          </w:p>
        </w:tc>
        <w:tc>
          <w:tcPr>
            <w:tcW w:w="160" w:type="dxa"/>
            <w:vAlign w:val="bottom"/>
          </w:tcPr>
          <w:p>
            <w:pPr>
              <w:spacing w:after="0"/>
              <w:rPr>
                <w:sz w:val="15"/>
                <w:szCs w:val="15"/>
                <w:color w:val="auto"/>
              </w:rPr>
            </w:pPr>
          </w:p>
        </w:tc>
      </w:tr>
      <w:tr>
        <w:trPr>
          <w:trHeight w:val="143"/>
        </w:trPr>
        <w:tc>
          <w:tcPr>
            <w:tcW w:w="91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Unvested as of October 31, 2013</w:t>
            </w: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109,288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36.32</w:t>
            </w:r>
          </w:p>
        </w:tc>
        <w:tc>
          <w:tcPr>
            <w:tcW w:w="160" w:type="dxa"/>
            <w:vAlign w:val="bottom"/>
            <w:shd w:val="clear" w:color="auto" w:fill="CCEEFF"/>
          </w:tcPr>
          <w:p>
            <w:pPr>
              <w:spacing w:after="0"/>
              <w:rPr>
                <w:sz w:val="12"/>
                <w:szCs w:val="12"/>
                <w:color w:val="auto"/>
              </w:rPr>
            </w:pPr>
          </w:p>
        </w:tc>
      </w:tr>
      <w:tr>
        <w:trPr>
          <w:trHeight w:val="25"/>
        </w:trPr>
        <w:tc>
          <w:tcPr>
            <w:tcW w:w="9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October 31, 2013, there was $1,894 of total unrecognized compensation expense related to unvested restricted stock and restricted stock unit awards.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That cost is expected to be recognized over a weighted-average period of 2.1 years.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i w:val="1"/>
          <w:iCs w:val="1"/>
          <w:color w:val="auto"/>
        </w:rPr>
        <w:t xml:space="preserve">Performance Share Awards. </w:t>
      </w:r>
      <w:r>
        <w:rPr>
          <w:rFonts w:ascii="Arial" w:cs="Arial" w:eastAsia="Arial" w:hAnsi="Arial"/>
          <w:sz w:val="16"/>
          <w:szCs w:val="16"/>
          <w:color w:val="auto"/>
        </w:rPr>
        <w:t>The company grants performance share awards to executive officers and other employees under which they are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company granted performance share awards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2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6"/>
                <w:szCs w:val="16"/>
                <w:color w:val="auto"/>
              </w:rPr>
            </w:pPr>
          </w:p>
        </w:tc>
      </w:tr>
      <w:tr>
        <w:trPr>
          <w:trHeight w:val="143"/>
        </w:trPr>
        <w:tc>
          <w:tcPr>
            <w:tcW w:w="50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Weighted-average fair value at date of grant</w:t>
            </w:r>
          </w:p>
        </w:tc>
        <w:tc>
          <w:tcPr>
            <w:tcW w:w="2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  42.06</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  28.24</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  31.76</w:t>
            </w:r>
          </w:p>
        </w:tc>
        <w:tc>
          <w:tcPr>
            <w:tcW w:w="160" w:type="dxa"/>
            <w:vAlign w:val="bottom"/>
            <w:shd w:val="clear" w:color="auto" w:fill="CCEEFF"/>
          </w:tcPr>
          <w:p>
            <w:pPr>
              <w:spacing w:after="0"/>
              <w:rPr>
                <w:sz w:val="12"/>
                <w:szCs w:val="12"/>
                <w:color w:val="auto"/>
              </w:rPr>
            </w:pPr>
          </w:p>
        </w:tc>
      </w:tr>
      <w:tr>
        <w:trPr>
          <w:trHeight w:val="176"/>
        </w:trPr>
        <w:tc>
          <w:tcPr>
            <w:tcW w:w="5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Fair value of performance share awards vested</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w:t>
            </w:r>
          </w:p>
        </w:tc>
        <w:tc>
          <w:tcPr>
            <w:tcW w:w="160" w:type="dxa"/>
            <w:vAlign w:val="bottom"/>
          </w:tcPr>
          <w:p>
            <w:pPr>
              <w:spacing w:after="0"/>
              <w:rPr>
                <w:sz w:val="15"/>
                <w:szCs w:val="15"/>
                <w:color w:val="auto"/>
              </w:rPr>
            </w:pPr>
          </w:p>
        </w:tc>
      </w:tr>
    </w:tbl>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summarizes the activity during fiscal 2013 for unvested performance share awards: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87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Weighted-</w:t>
            </w: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Average Fair</w:t>
            </w:r>
          </w:p>
        </w:tc>
      </w:tr>
      <w:tr>
        <w:trPr>
          <w:trHeight w:val="15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Performance</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Value at Date</w:t>
            </w:r>
          </w:p>
        </w:tc>
      </w:tr>
      <w:tr>
        <w:trPr>
          <w:trHeight w:val="183"/>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of Grant</w:t>
            </w:r>
          </w:p>
        </w:tc>
      </w:tr>
      <w:tr>
        <w:trPr>
          <w:trHeight w:val="147"/>
        </w:trPr>
        <w:tc>
          <w:tcPr>
            <w:tcW w:w="20" w:type="dxa"/>
            <w:vAlign w:val="bottom"/>
          </w:tcPr>
          <w:p>
            <w:pPr>
              <w:spacing w:after="0"/>
              <w:rPr>
                <w:sz w:val="12"/>
                <w:szCs w:val="12"/>
                <w:color w:val="auto"/>
              </w:rPr>
            </w:pPr>
          </w:p>
        </w:tc>
        <w:tc>
          <w:tcPr>
            <w:tcW w:w="87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Unvested as of October 31, 2012</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583,332</w:t>
            </w: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26.33</w:t>
            </w:r>
          </w:p>
        </w:tc>
        <w:tc>
          <w:tcPr>
            <w:tcW w:w="16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8760" w:type="dxa"/>
            <w:vAlign w:val="bottom"/>
          </w:tcPr>
          <w:p>
            <w:pPr>
              <w:spacing w:after="0"/>
              <w:rPr>
                <w:sz w:val="20"/>
                <w:szCs w:val="20"/>
                <w:color w:val="auto"/>
              </w:rPr>
            </w:pPr>
            <w:r>
              <w:rPr>
                <w:rFonts w:ascii="Arial" w:cs="Arial" w:eastAsia="Arial" w:hAnsi="Arial"/>
                <w:sz w:val="13"/>
                <w:szCs w:val="13"/>
                <w:b w:val="1"/>
                <w:bCs w:val="1"/>
                <w:color w:val="auto"/>
              </w:rPr>
              <w:t>Granted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152,800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42.06</w:t>
            </w: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Vested</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(215,332)</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20.37</w:t>
            </w:r>
          </w:p>
        </w:tc>
        <w:tc>
          <w:tcPr>
            <w:tcW w:w="16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8760" w:type="dxa"/>
            <w:vAlign w:val="bottom"/>
          </w:tcPr>
          <w:p>
            <w:pPr>
              <w:spacing w:after="0"/>
              <w:rPr>
                <w:sz w:val="20"/>
                <w:szCs w:val="20"/>
                <w:color w:val="auto"/>
              </w:rPr>
            </w:pPr>
            <w:r>
              <w:rPr>
                <w:rFonts w:ascii="Arial" w:cs="Arial" w:eastAsia="Arial" w:hAnsi="Arial"/>
                <w:sz w:val="13"/>
                <w:szCs w:val="13"/>
                <w:b w:val="1"/>
                <w:bCs w:val="1"/>
                <w:color w:val="auto"/>
              </w:rPr>
              <w:t>Forfeited</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r>
      <w:tr>
        <w:trPr>
          <w:trHeight w:val="143"/>
        </w:trPr>
        <w:tc>
          <w:tcPr>
            <w:tcW w:w="20" w:type="dxa"/>
            <w:vAlign w:val="bottom"/>
          </w:tcPr>
          <w:p>
            <w:pPr>
              <w:spacing w:after="0"/>
              <w:rPr>
                <w:sz w:val="12"/>
                <w:szCs w:val="12"/>
                <w:color w:val="auto"/>
              </w:rPr>
            </w:pPr>
          </w:p>
        </w:tc>
        <w:tc>
          <w:tcPr>
            <w:tcW w:w="87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Unvested as of October 31, 2013</w:t>
            </w:r>
          </w:p>
        </w:tc>
        <w:tc>
          <w:tcPr>
            <w:tcW w:w="8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520,800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33.41</w:t>
            </w:r>
          </w:p>
        </w:tc>
        <w:tc>
          <w:tcPr>
            <w:tcW w:w="160" w:type="dxa"/>
            <w:vAlign w:val="bottom"/>
            <w:shd w:val="clear" w:color="auto" w:fill="CCEEFF"/>
          </w:tcPr>
          <w:p>
            <w:pPr>
              <w:spacing w:after="0"/>
              <w:rPr>
                <w:sz w:val="12"/>
                <w:szCs w:val="12"/>
                <w:color w:val="auto"/>
              </w:rPr>
            </w:pPr>
          </w:p>
        </w:tc>
      </w:tr>
      <w:tr>
        <w:trPr>
          <w:trHeight w:val="25"/>
        </w:trPr>
        <w:tc>
          <w:tcPr>
            <w:tcW w:w="20" w:type="dxa"/>
            <w:vAlign w:val="bottom"/>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4" w:lineRule="exact"/>
        <w:rPr>
          <w:sz w:val="20"/>
          <w:szCs w:val="20"/>
          <w:color w:val="auto"/>
        </w:rPr>
      </w:pPr>
    </w:p>
    <w:p>
      <w:pPr>
        <w:ind w:right="660" w:firstLine="127"/>
        <w:spacing w:after="0" w:line="291" w:lineRule="auto"/>
        <w:rPr>
          <w:sz w:val="20"/>
          <w:szCs w:val="20"/>
          <w:color w:val="auto"/>
        </w:rPr>
      </w:pPr>
      <w:r>
        <w:rPr>
          <w:rFonts w:ascii="Arial" w:cs="Arial" w:eastAsia="Arial" w:hAnsi="Arial"/>
          <w:sz w:val="16"/>
          <w:szCs w:val="16"/>
          <w:color w:val="auto"/>
        </w:rPr>
        <w:t>As of October 31, 2013, there was $3,497 of total unrecognized compensation expense related to unvested performance share awards. That cost is expected to be recognized over a weighted-average period of 1.7 years.</w:t>
      </w:r>
    </w:p>
    <w:p>
      <w:pPr>
        <w:spacing w:after="0" w:line="92" w:lineRule="exact"/>
        <w:rPr>
          <w:sz w:val="20"/>
          <w:szCs w:val="20"/>
          <w:color w:val="auto"/>
        </w:rPr>
      </w:pPr>
    </w:p>
    <w:p>
      <w:pPr>
        <w:spacing w:after="0"/>
        <w:tabs>
          <w:tab w:leader="none" w:pos="820" w:val="left"/>
        </w:tabs>
        <w:rPr>
          <w:sz w:val="20"/>
          <w:szCs w:val="20"/>
          <w:color w:val="auto"/>
        </w:rPr>
      </w:pPr>
      <w:r>
        <w:rPr>
          <w:rFonts w:ascii="Arial" w:cs="Arial" w:eastAsia="Arial" w:hAnsi="Arial"/>
          <w:sz w:val="40"/>
          <w:szCs w:val="40"/>
          <w:b w:val="1"/>
          <w:bCs w:val="1"/>
          <w:color w:val="auto"/>
        </w:rPr>
        <w:t>11</w:t>
      </w:r>
      <w:r>
        <w:rPr>
          <w:sz w:val="20"/>
          <w:szCs w:val="20"/>
          <w:color w:val="auto"/>
        </w:rPr>
        <w:tab/>
      </w:r>
      <w:r>
        <w:rPr>
          <w:rFonts w:ascii="Arial" w:cs="Arial" w:eastAsia="Arial" w:hAnsi="Arial"/>
          <w:sz w:val="20"/>
          <w:szCs w:val="20"/>
          <w:b w:val="1"/>
          <w:bCs w:val="1"/>
          <w:color w:val="auto"/>
        </w:rPr>
        <w:t>EMPLOYEE RETIREMENT PLANS</w:t>
      </w:r>
    </w:p>
    <w:p>
      <w:pPr>
        <w:spacing w:after="0" w:line="243"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$14,931, $14,304, and $12,686 for the fiscal years ended October 31, 2013, 2012, and 2011, respectively.</w:t>
      </w:r>
    </w:p>
    <w:p>
      <w:pPr>
        <w:spacing w:after="0" w:line="131" w:lineRule="exact"/>
        <w:rPr>
          <w:sz w:val="20"/>
          <w:szCs w:val="20"/>
          <w:color w:val="auto"/>
        </w:rPr>
      </w:pPr>
    </w:p>
    <w:p>
      <w:pPr>
        <w:jc w:val="both"/>
        <w:ind w:right="80" w:firstLine="136"/>
        <w:spacing w:after="0" w:line="268" w:lineRule="auto"/>
        <w:rPr>
          <w:sz w:val="20"/>
          <w:szCs w:val="20"/>
          <w:color w:val="auto"/>
        </w:rPr>
      </w:pPr>
      <w:r>
        <w:rPr>
          <w:rFonts w:ascii="Arial" w:cs="Arial" w:eastAsia="Arial" w:hAnsi="Arial"/>
          <w:sz w:val="16"/>
          <w:szCs w:val="16"/>
          <w:color w:val="auto"/>
        </w:rPr>
        <w:t>In addition, the company and its subsidiaries have defined benefit, supplemental, and other retirement plans covering certain employees in the U.S. and the United Kingdom. The projected benefit obligation of these plans as of October 31, 2013 and 2012 was $42,034 and $41,701, respectively, and the net liability amount recognized in the consolidated balance sheets as of October 31, 2013 and 2012 was $3,982 and $3,881, respectively. The</w:t>
      </w:r>
    </w:p>
    <w:p>
      <w:pPr>
        <w:sectPr>
          <w:pgSz w:w="11900" w:h="16838" w:orient="portrait"/>
          <w:cols w:equalWidth="0" w:num="1">
            <w:col w:w="11420"/>
          </w:cols>
          <w:pgMar w:left="240" w:top="122"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accumulated benefit obligation of these plans as of October 31, 2013 and 2012 was $39,967 and $39,612, respectively. The funded status of these plans as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October 31, 2013 and 2012 was $9,063 and $10,510, respectively. The fair value of the plan assets as of October 31, 2013 and 2012 was $32,971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$31,191, respectively. The net expense recognized in the consolidated financial statements for these plans was $1,149, $703, and $1,520 for the fiscal years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ended October 31, 2013, 2012, and 2011, respectively.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recognized in accumulated other comprehensive loss consisted of: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Defined</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Other</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20"/>
                <w:szCs w:val="20"/>
                <w:color w:val="auto"/>
              </w:rPr>
            </w:pPr>
            <w:r>
              <w:rPr>
                <w:rFonts w:ascii="Arial" w:cs="Arial" w:eastAsia="Arial" w:hAnsi="Arial"/>
                <w:sz w:val="13"/>
                <w:szCs w:val="13"/>
                <w:color w:val="auto"/>
              </w:rPr>
              <w:t>Fiscal years ended</w:t>
            </w:r>
          </w:p>
        </w:tc>
        <w:tc>
          <w:tcPr>
            <w:tcW w:w="3280" w:type="dxa"/>
            <w:vAlign w:val="bottom"/>
          </w:tcPr>
          <w:p>
            <w:pPr>
              <w:spacing w:after="0"/>
              <w:rPr>
                <w:sz w:val="13"/>
                <w:szCs w:val="13"/>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Pension</w:t>
            </w:r>
          </w:p>
        </w:tc>
        <w:tc>
          <w:tcPr>
            <w:tcW w:w="2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Postretirement</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Arial" w:cs="Arial" w:eastAsia="Arial" w:hAnsi="Arial"/>
                <w:sz w:val="13"/>
                <w:szCs w:val="13"/>
                <w:color w:val="auto"/>
              </w:rPr>
              <w:t>October 31</w:t>
            </w:r>
          </w:p>
        </w:tc>
        <w:tc>
          <w:tcPr>
            <w:tcW w:w="32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Plans</w:t>
            </w:r>
          </w:p>
        </w:tc>
        <w:tc>
          <w:tcPr>
            <w:tcW w:w="20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Benefit Plans</w:t>
            </w:r>
          </w:p>
        </w:tc>
        <w:tc>
          <w:tcPr>
            <w:tcW w:w="620" w:type="dxa"/>
            <w:vAlign w:val="bottom"/>
            <w:gridSpan w:val="3"/>
          </w:tcPr>
          <w:p>
            <w:pPr>
              <w:ind w:left="2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7"/>
        </w:trPr>
        <w:tc>
          <w:tcPr>
            <w:tcW w:w="56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2013</w:t>
            </w:r>
          </w:p>
        </w:tc>
        <w:tc>
          <w:tcPr>
            <w:tcW w:w="3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20"/>
                <w:szCs w:val="20"/>
                <w:color w:val="auto"/>
              </w:rPr>
            </w:pPr>
            <w:r>
              <w:rPr>
                <w:rFonts w:ascii="Arial" w:cs="Arial" w:eastAsia="Arial" w:hAnsi="Arial"/>
                <w:sz w:val="13"/>
                <w:szCs w:val="13"/>
                <w:b w:val="1"/>
                <w:bCs w:val="1"/>
                <w:color w:val="auto"/>
              </w:rPr>
              <w:t>Net actuarial loss</w:t>
            </w:r>
          </w:p>
        </w:tc>
        <w:tc>
          <w:tcPr>
            <w:tcW w:w="328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2,915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611</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$ 3,526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prior service cost (credit)</w:t>
            </w:r>
          </w:p>
        </w:tc>
        <w:tc>
          <w:tcPr>
            <w:tcW w:w="3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289</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157</w:t>
            </w:r>
          </w:p>
        </w:tc>
        <w:tc>
          <w:tcPr>
            <w:tcW w:w="0" w:type="dxa"/>
            <w:vAlign w:val="bottom"/>
          </w:tcPr>
          <w:p>
            <w:pPr>
              <w:spacing w:after="0"/>
              <w:rPr>
                <w:sz w:val="1"/>
                <w:szCs w:val="1"/>
                <w:color w:val="auto"/>
              </w:rPr>
            </w:pPr>
          </w:p>
        </w:tc>
      </w:tr>
      <w:tr>
        <w:trPr>
          <w:trHeight w:val="25"/>
        </w:trPr>
        <w:tc>
          <w:tcPr>
            <w:tcW w:w="56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Accumulated other comprehensive loss</w:t>
            </w:r>
          </w:p>
        </w:tc>
        <w:tc>
          <w:tcPr>
            <w:tcW w:w="32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3,204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479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$ 3,683</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2012</w:t>
            </w:r>
          </w:p>
        </w:tc>
        <w:tc>
          <w:tcPr>
            <w:tcW w:w="3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20" w:type="dxa"/>
            <w:vAlign w:val="bottom"/>
          </w:tcPr>
          <w:p>
            <w:pPr>
              <w:spacing w:after="0"/>
              <w:rPr>
                <w:sz w:val="20"/>
                <w:szCs w:val="20"/>
                <w:color w:val="auto"/>
              </w:rPr>
            </w:pPr>
            <w:r>
              <w:rPr>
                <w:rFonts w:ascii="Arial" w:cs="Arial" w:eastAsia="Arial" w:hAnsi="Arial"/>
                <w:sz w:val="13"/>
                <w:szCs w:val="13"/>
                <w:color w:val="auto"/>
              </w:rPr>
              <w:t>Net actuarial loss</w:t>
            </w:r>
          </w:p>
        </w:tc>
        <w:tc>
          <w:tcPr>
            <w:tcW w:w="3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3,316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926</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$ 4,242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Net prior service cost (credit)</w:t>
            </w:r>
          </w:p>
        </w:tc>
        <w:tc>
          <w:tcPr>
            <w:tcW w:w="3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324</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Accumulated other comprehensive loss</w:t>
            </w:r>
          </w:p>
        </w:tc>
        <w:tc>
          <w:tcPr>
            <w:tcW w:w="3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3,640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688</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$ 4,328</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firstLine="133"/>
        <w:spacing w:after="0" w:line="291" w:lineRule="auto"/>
        <w:rPr>
          <w:sz w:val="20"/>
          <w:szCs w:val="20"/>
          <w:color w:val="auto"/>
        </w:rPr>
      </w:pPr>
      <w:r>
        <w:rPr>
          <w:rFonts w:ascii="Arial" w:cs="Arial" w:eastAsia="Arial" w:hAnsi="Arial"/>
          <w:sz w:val="16"/>
          <w:szCs w:val="16"/>
          <w:color w:val="auto"/>
        </w:rPr>
        <w:t>The following amounts are included in accumulated other comprehensive loss as of October 31, 2013 and are expected to be recognized as components of net periodic benefit cost during fiscal 2014.</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96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Other</w:t>
            </w: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Defined Benefit</w:t>
            </w:r>
          </w:p>
        </w:tc>
        <w:tc>
          <w:tcPr>
            <w:tcW w:w="160" w:type="dxa"/>
            <w:vAlign w:val="bottom"/>
          </w:tcPr>
          <w:p>
            <w:pPr>
              <w:spacing w:after="0"/>
              <w:rPr>
                <w:sz w:val="13"/>
                <w:szCs w:val="13"/>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Postretirement</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Pension Plans</w:t>
            </w:r>
          </w:p>
        </w:tc>
        <w:tc>
          <w:tcPr>
            <w:tcW w:w="16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Benefit Plans</w:t>
            </w:r>
          </w:p>
        </w:tc>
        <w:tc>
          <w:tcPr>
            <w:tcW w:w="1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Total</w:t>
            </w:r>
          </w:p>
        </w:tc>
      </w:tr>
      <w:tr>
        <w:trPr>
          <w:trHeight w:val="147"/>
        </w:trPr>
        <w:tc>
          <w:tcPr>
            <w:tcW w:w="20" w:type="dxa"/>
            <w:vAlign w:val="bottom"/>
          </w:tcPr>
          <w:p>
            <w:pPr>
              <w:spacing w:after="0"/>
              <w:rPr>
                <w:sz w:val="12"/>
                <w:szCs w:val="12"/>
                <w:color w:val="auto"/>
              </w:rPr>
            </w:pPr>
          </w:p>
        </w:tc>
        <w:tc>
          <w:tcPr>
            <w:tcW w:w="4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actuarial loss</w:t>
            </w:r>
          </w:p>
        </w:tc>
        <w:tc>
          <w:tcPr>
            <w:tcW w:w="31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424</w:t>
            </w: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33"/>
              <w:spacing w:after="0" w:line="148" w:lineRule="exact"/>
              <w:rPr>
                <w:sz w:val="20"/>
                <w:szCs w:val="20"/>
                <w:color w:val="auto"/>
              </w:rPr>
            </w:pPr>
            <w:r>
              <w:rPr>
                <w:rFonts w:ascii="Arial" w:cs="Arial" w:eastAsia="Arial" w:hAnsi="Arial"/>
                <w:sz w:val="13"/>
                <w:szCs w:val="13"/>
                <w:color w:val="auto"/>
              </w:rPr>
              <w:t>14</w:t>
            </w: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438</w:t>
            </w:r>
          </w:p>
        </w:tc>
        <w:tc>
          <w:tcPr>
            <w:tcW w:w="16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3"/>
                <w:szCs w:val="13"/>
                <w:b w:val="1"/>
                <w:bCs w:val="1"/>
                <w:color w:val="auto"/>
              </w:rPr>
              <w:t>Net prior service cost (credit)</w:t>
            </w:r>
          </w:p>
        </w:tc>
        <w:tc>
          <w:tcPr>
            <w:tcW w:w="3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(168)</w:t>
            </w:r>
          </w:p>
        </w:tc>
        <w:tc>
          <w:tcPr>
            <w:tcW w:w="1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w:t>
            </w:r>
          </w:p>
        </w:tc>
      </w:tr>
      <w:tr>
        <w:trPr>
          <w:trHeight w:val="143"/>
        </w:trPr>
        <w:tc>
          <w:tcPr>
            <w:tcW w:w="20" w:type="dxa"/>
            <w:vAlign w:val="bottom"/>
          </w:tcPr>
          <w:p>
            <w:pPr>
              <w:spacing w:after="0"/>
              <w:rPr>
                <w:sz w:val="12"/>
                <w:szCs w:val="12"/>
                <w:color w:val="auto"/>
              </w:rPr>
            </w:pPr>
          </w:p>
        </w:tc>
        <w:tc>
          <w:tcPr>
            <w:tcW w:w="49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31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475</w:t>
            </w:r>
          </w:p>
        </w:tc>
        <w:tc>
          <w:tcPr>
            <w:tcW w:w="1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(154)</w:t>
            </w:r>
          </w:p>
        </w:tc>
        <w:tc>
          <w:tcPr>
            <w:tcW w:w="1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321</w:t>
            </w:r>
          </w:p>
        </w:tc>
        <w:tc>
          <w:tcPr>
            <w:tcW w:w="160" w:type="dxa"/>
            <w:vAlign w:val="bottom"/>
            <w:shd w:val="clear" w:color="auto" w:fill="CCEEFF"/>
          </w:tcPr>
          <w:p>
            <w:pPr>
              <w:spacing w:after="0"/>
              <w:rPr>
                <w:sz w:val="12"/>
                <w:szCs w:val="12"/>
                <w:color w:val="auto"/>
              </w:rPr>
            </w:pPr>
          </w:p>
        </w:tc>
      </w:tr>
      <w:tr>
        <w:trPr>
          <w:trHeight w:val="25"/>
        </w:trPr>
        <w:tc>
          <w:tcPr>
            <w:tcW w:w="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recognized in net periodic benefit cost and other comprehensive income consisted of:</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6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Other</w:t>
            </w: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620" w:type="dxa"/>
            <w:vAlign w:val="bottom"/>
            <w:gridSpan w:val="2"/>
          </w:tcPr>
          <w:p>
            <w:pPr>
              <w:spacing w:after="0"/>
              <w:rPr>
                <w:sz w:val="20"/>
                <w:szCs w:val="20"/>
                <w:color w:val="auto"/>
              </w:rPr>
            </w:pPr>
            <w:r>
              <w:rPr>
                <w:rFonts w:ascii="Arial" w:cs="Arial" w:eastAsia="Arial" w:hAnsi="Arial"/>
                <w:sz w:val="13"/>
                <w:szCs w:val="13"/>
                <w:color w:val="auto"/>
              </w:rPr>
              <w:t>Fiscal years ended</w:t>
            </w:r>
          </w:p>
        </w:tc>
        <w:tc>
          <w:tcPr>
            <w:tcW w:w="134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Defined Benefit</w:t>
            </w:r>
          </w:p>
        </w:tc>
        <w:tc>
          <w:tcPr>
            <w:tcW w:w="14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w w:val="99"/>
              </w:rPr>
              <w:t>Postretirement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gridSpan w:val="2"/>
          </w:tcPr>
          <w:p>
            <w:pPr>
              <w:spacing w:after="0"/>
              <w:rPr>
                <w:sz w:val="20"/>
                <w:szCs w:val="20"/>
                <w:color w:val="auto"/>
              </w:rPr>
            </w:pPr>
            <w:r>
              <w:rPr>
                <w:rFonts w:ascii="Arial" w:cs="Arial" w:eastAsia="Arial" w:hAnsi="Arial"/>
                <w:sz w:val="13"/>
                <w:szCs w:val="13"/>
                <w:color w:val="auto"/>
              </w:rPr>
              <w:t>October 31</w:t>
            </w:r>
          </w:p>
        </w:tc>
        <w:tc>
          <w:tcPr>
            <w:tcW w:w="134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Pension Plans</w:t>
            </w:r>
          </w:p>
        </w:tc>
        <w:tc>
          <w:tcPr>
            <w:tcW w:w="14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Benefit Plans</w:t>
            </w:r>
          </w:p>
        </w:tc>
        <w:tc>
          <w:tcPr>
            <w:tcW w:w="140" w:type="dxa"/>
            <w:vAlign w:val="bottom"/>
          </w:tcPr>
          <w:p>
            <w:pPr>
              <w:spacing w:after="0"/>
              <w:rPr>
                <w:sz w:val="15"/>
                <w:szCs w:val="15"/>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2013</w:t>
            </w:r>
          </w:p>
        </w:tc>
        <w:tc>
          <w:tcPr>
            <w:tcW w:w="13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b w:val="1"/>
                <w:bCs w:val="1"/>
                <w:color w:val="auto"/>
              </w:rPr>
              <w:t>Net actuarial gain</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(1,170)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(283)</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7"/>
              </w:rPr>
              <w:t>(1,453)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Amortization of unrecognized prior service (credit) cost</w:t>
            </w:r>
          </w:p>
        </w:tc>
        <w:tc>
          <w:tcPr>
            <w:tcW w:w="1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106</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72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Amortization of unrecognized actuarial loss (gain)</w:t>
            </w:r>
          </w:p>
        </w:tc>
        <w:tc>
          <w:tcPr>
            <w:tcW w:w="1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768</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recognized in other comprehensive loss (income)</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(436)</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(209)</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3"/>
                <w:szCs w:val="13"/>
                <w:b w:val="1"/>
                <w:bCs w:val="1"/>
                <w:color w:val="auto"/>
              </w:rPr>
              <w:t>(645)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recognized in net periodic benefit cost and other comprehensive loss (income)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504</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2012</w:t>
            </w:r>
          </w:p>
        </w:tc>
        <w:tc>
          <w:tcPr>
            <w:tcW w:w="1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Net actuarial loss (gain)</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298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Curtailment loss</w:t>
            </w:r>
          </w:p>
        </w:tc>
        <w:tc>
          <w:tcPr>
            <w:tcW w:w="1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311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Prior service cost</w:t>
            </w:r>
          </w:p>
        </w:tc>
        <w:tc>
          <w:tcPr>
            <w:tcW w:w="134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186</w:t>
            </w:r>
          </w:p>
        </w:tc>
        <w:tc>
          <w:tcPr>
            <w:tcW w:w="14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unrecognized prior service (credit) cost</w:t>
            </w:r>
          </w:p>
        </w:tc>
        <w:tc>
          <w:tcPr>
            <w:tcW w:w="1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Amortization of unrecognized actuarial loss (gain)</w:t>
            </w:r>
          </w:p>
        </w:tc>
        <w:tc>
          <w:tcPr>
            <w:tcW w:w="1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919</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recognized in other comprehensive loss (income)</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1,659</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(1,131)</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6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6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Total recognized in net periodic benefit cost and other comprehensive loss (income)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1,522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1,231</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firstLine="133"/>
        <w:spacing w:after="0" w:line="291" w:lineRule="auto"/>
        <w:rPr>
          <w:sz w:val="20"/>
          <w:szCs w:val="20"/>
          <w:color w:val="auto"/>
        </w:rPr>
      </w:pPr>
      <w:r>
        <w:rPr>
          <w:rFonts w:ascii="Arial" w:cs="Arial" w:eastAsia="Arial" w:hAnsi="Arial"/>
          <w:sz w:val="16"/>
          <w:szCs w:val="16"/>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92" w:lineRule="exact"/>
        <w:rPr>
          <w:sz w:val="20"/>
          <w:szCs w:val="20"/>
          <w:color w:val="auto"/>
        </w:rPr>
      </w:pPr>
    </w:p>
    <w:p>
      <w:pPr>
        <w:spacing w:after="0"/>
        <w:tabs>
          <w:tab w:leader="none" w:pos="820" w:val="left"/>
        </w:tabs>
        <w:rPr>
          <w:sz w:val="20"/>
          <w:szCs w:val="20"/>
          <w:color w:val="auto"/>
        </w:rPr>
      </w:pPr>
      <w:r>
        <w:rPr>
          <w:rFonts w:ascii="Arial" w:cs="Arial" w:eastAsia="Arial" w:hAnsi="Arial"/>
          <w:sz w:val="40"/>
          <w:szCs w:val="40"/>
          <w:b w:val="1"/>
          <w:bCs w:val="1"/>
          <w:color w:val="auto"/>
        </w:rPr>
        <w:t>12</w:t>
      </w:r>
      <w:r>
        <w:rPr>
          <w:sz w:val="20"/>
          <w:szCs w:val="20"/>
          <w:color w:val="auto"/>
        </w:rPr>
        <w:tab/>
      </w:r>
      <w:r>
        <w:rPr>
          <w:rFonts w:ascii="Arial" w:cs="Arial" w:eastAsia="Arial" w:hAnsi="Arial"/>
          <w:sz w:val="19"/>
          <w:szCs w:val="19"/>
          <w:b w:val="1"/>
          <w:bCs w:val="1"/>
          <w:color w:val="auto"/>
        </w:rPr>
        <w:t>SEGMENT DATA</w:t>
      </w: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organizes segments for making operating and investment decisions and assessing performance. The company has identified eight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and elimination of intersegment revenues and expenses and is shown as "Other" due to the insignificance of the segment.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ind w:right="20" w:firstLine="133"/>
        <w:spacing w:after="0" w:line="252" w:lineRule="auto"/>
        <w:rPr>
          <w:sz w:val="20"/>
          <w:szCs w:val="20"/>
          <w:color w:val="auto"/>
        </w:rPr>
      </w:pPr>
      <w:r>
        <w:rPr>
          <w:rFonts w:ascii="Arial" w:cs="Arial" w:eastAsia="Arial" w:hAnsi="Arial"/>
          <w:sz w:val="16"/>
          <w:szCs w:val="16"/>
          <w:color w:val="auto"/>
        </w:rPr>
        <w:t>The Professional business segment consists of turf and landscape equipment and irrigation products. Turf and landscape equipment products include sports fields and grounds maintenance equipment, golf course mowing and maintenance equipment, landscape contractor mowing equipment, landscape creation and renovation equipment, rental and construction equipment, and other maintenance equipment. Irrigation and lighting products consist of sprinkler heads, electric and hydraulic valves, controllers, computer irrigation central control systems, and micro-irrigation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and residential and commercial landscapes, as well as directly to government customers, rental companies, and large retailers.</w:t>
      </w:r>
    </w:p>
    <w:p>
      <w:pPr>
        <w:spacing w:after="0" w:line="354" w:lineRule="exact"/>
        <w:rPr>
          <w:sz w:val="20"/>
          <w:szCs w:val="20"/>
          <w:color w:val="auto"/>
        </w:rPr>
      </w:pPr>
    </w:p>
    <w:p>
      <w:pPr>
        <w:ind w:right="360" w:firstLine="133"/>
        <w:spacing w:after="0" w:line="260" w:lineRule="auto"/>
        <w:rPr>
          <w:sz w:val="20"/>
          <w:szCs w:val="20"/>
          <w:color w:val="auto"/>
        </w:rPr>
      </w:pPr>
      <w:r>
        <w:rPr>
          <w:rFonts w:ascii="Arial" w:cs="Arial" w:eastAsia="Arial" w:hAnsi="Arial"/>
          <w:sz w:val="16"/>
          <w:szCs w:val="16"/>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156" w:lineRule="exact"/>
        <w:rPr>
          <w:sz w:val="20"/>
          <w:szCs w:val="20"/>
          <w:color w:val="auto"/>
        </w:rPr>
      </w:pPr>
    </w:p>
    <w:p>
      <w:pPr>
        <w:ind w:right="100" w:firstLine="133"/>
        <w:spacing w:after="0" w:line="268"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w:t>
      </w:r>
    </w:p>
    <w:p>
      <w:pPr>
        <w:spacing w:after="0" w:line="149" w:lineRule="exact"/>
        <w:rPr>
          <w:sz w:val="20"/>
          <w:szCs w:val="20"/>
          <w:color w:val="auto"/>
        </w:rPr>
      </w:pPr>
    </w:p>
    <w:p>
      <w:pPr>
        <w:ind w:right="160" w:firstLine="133"/>
        <w:spacing w:after="0" w:line="254"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domestic wholly owned distribution companies,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shows summarized financial information concerning the company's reportable segments: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0" w:type="dxa"/>
            <w:vAlign w:val="bottom"/>
          </w:tcPr>
          <w:p>
            <w:pPr>
              <w:spacing w:after="0"/>
              <w:rPr>
                <w:sz w:val="14"/>
                <w:szCs w:val="14"/>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Fiscal years ended October 31</w:t>
            </w:r>
          </w:p>
        </w:tc>
        <w:tc>
          <w:tcPr>
            <w:tcW w:w="3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w w:val="97"/>
              </w:rPr>
              <w:t>Professional</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w w:val="99"/>
              </w:rPr>
              <w:t>Residential</w:t>
            </w:r>
          </w:p>
        </w:tc>
        <w:tc>
          <w:tcPr>
            <w:tcW w:w="160" w:type="dxa"/>
            <w:vAlign w:val="bottom"/>
          </w:tcPr>
          <w:p>
            <w:pPr>
              <w:spacing w:after="0"/>
              <w:rPr>
                <w:sz w:val="14"/>
                <w:szCs w:val="14"/>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Other</w:t>
            </w:r>
          </w:p>
        </w:tc>
        <w:tc>
          <w:tcPr>
            <w:tcW w:w="900" w:type="dxa"/>
            <w:vAlign w:val="bottom"/>
            <w:gridSpan w:val="4"/>
          </w:tcPr>
          <w:p>
            <w:pPr>
              <w:jc w:val="right"/>
              <w:ind w:right="160"/>
              <w:spacing w:after="0"/>
              <w:rPr>
                <w:sz w:val="20"/>
                <w:szCs w:val="20"/>
                <w:color w:val="auto"/>
              </w:rPr>
            </w:pPr>
            <w:r>
              <w:rPr>
                <w:rFonts w:ascii="Arial" w:cs="Arial" w:eastAsia="Arial" w:hAnsi="Arial"/>
                <w:sz w:val="13"/>
                <w:szCs w:val="13"/>
                <w:color w:val="auto"/>
              </w:rPr>
              <w:t>Total</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6800" w:type="dxa"/>
            <w:vAlign w:val="bottom"/>
            <w:tcBorders>
              <w:top w:val="single" w:sz="8" w:color="auto"/>
            </w:tcBorders>
            <w:gridSpan w:val="4"/>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b w:val="1"/>
                <w:bCs w:val="1"/>
                <w:color w:val="auto"/>
              </w:rPr>
              <w:t>Net sales</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1,425,259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594,411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21,761</w:t>
            </w: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$2,041,431</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Intersegment gross sales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40,416</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402</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(40,818)</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b w:val="1"/>
                <w:bCs w:val="1"/>
                <w:color w:val="auto"/>
              </w:rPr>
              <w:t>Earnings (loss) before income taxes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254,424</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62,033</w:t>
            </w:r>
          </w:p>
        </w:tc>
        <w:tc>
          <w:tcPr>
            <w:tcW w:w="1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(89,744)</w:t>
            </w: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rPr>
              <w:t>226,713</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528,926</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167,918</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305,904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1,002,748</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32,362</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7,838</w:t>
            </w:r>
          </w:p>
        </w:tc>
        <w:tc>
          <w:tcPr>
            <w:tcW w:w="160" w:type="dxa"/>
            <w:vAlign w:val="bottom"/>
          </w:tcPr>
          <w:p>
            <w:pPr>
              <w:spacing w:after="0"/>
              <w:rPr>
                <w:sz w:val="13"/>
                <w:szCs w:val="13"/>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9,227</w:t>
            </w: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rPr>
              <w:t>49,427</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34,706</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10,321</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9,107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54,134</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680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3"/>
                <w:szCs w:val="13"/>
                <w:color w:val="auto"/>
              </w:rPr>
              <w:t>2012</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1,329,504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607,435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21,751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$1,958,690</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Intersegment gross sales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37,324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(37,350)</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Earnings (loss) before income taxes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232,104</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57,889</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(93,731)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196,262</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Total assets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527,159</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169,899</w:t>
            </w:r>
          </w:p>
        </w:tc>
        <w:tc>
          <w:tcPr>
            <w:tcW w:w="160" w:type="dxa"/>
            <w:vAlign w:val="bottom"/>
          </w:tcPr>
          <w:p>
            <w:pPr>
              <w:spacing w:after="0"/>
              <w:rPr>
                <w:sz w:val="13"/>
                <w:szCs w:val="13"/>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238,141</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935,199</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29,313</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4,164</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9,765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43,242</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680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Depreciation and amortization</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34,876</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10,919</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7,839</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53,634</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6800" w:type="dxa"/>
            <w:vAlign w:val="bottom"/>
            <w:gridSpan w:val="4"/>
            <w:shd w:val="clear" w:color="auto" w:fill="CCEEFF"/>
          </w:tcPr>
          <w:p>
            <w:pPr>
              <w:spacing w:after="0" w:line="143" w:lineRule="exact"/>
              <w:rPr>
                <w:sz w:val="20"/>
                <w:szCs w:val="20"/>
                <w:color w:val="auto"/>
              </w:rPr>
            </w:pPr>
            <w:r>
              <w:rPr>
                <w:rFonts w:ascii="Arial" w:cs="Arial" w:eastAsia="Arial" w:hAnsi="Arial"/>
                <w:sz w:val="13"/>
                <w:szCs w:val="13"/>
                <w:color w:val="auto"/>
              </w:rPr>
              <w:t>2011</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Net sales</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1,239,068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623,889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20,996</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$1,883,953</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Intersegment gross sales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35,539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3,560</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(39,099)</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Earnings (loss) before income taxes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205,009</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54,410</w:t>
            </w:r>
          </w:p>
        </w:tc>
        <w:tc>
          <w:tcPr>
            <w:tcW w:w="1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(84,593)</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174,826</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assets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497,388</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202,222</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171,053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870,663</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tcPr>
          <w:p>
            <w:pPr>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43,933</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5,615</w:t>
            </w:r>
          </w:p>
        </w:tc>
        <w:tc>
          <w:tcPr>
            <w:tcW w:w="160" w:type="dxa"/>
            <w:vAlign w:val="bottom"/>
          </w:tcPr>
          <w:p>
            <w:pPr>
              <w:spacing w:after="0"/>
              <w:rPr>
                <w:sz w:val="13"/>
                <w:szCs w:val="13"/>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7,899</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57,447</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31,380</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9,846</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7,280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48,506</w:t>
            </w: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7320" w:type="dxa"/>
            <w:vAlign w:val="bottom"/>
            <w:gridSpan w:val="5"/>
          </w:tcPr>
          <w:p>
            <w:pPr>
              <w:ind w:left="140"/>
              <w:spacing w:after="0"/>
              <w:rPr>
                <w:sz w:val="20"/>
                <w:szCs w:val="20"/>
                <w:color w:val="auto"/>
              </w:rPr>
            </w:pPr>
            <w:r>
              <w:rPr>
                <w:rFonts w:ascii="Arial" w:cs="Arial" w:eastAsia="Arial" w:hAnsi="Arial"/>
                <w:sz w:val="16"/>
                <w:szCs w:val="16"/>
                <w:color w:val="auto"/>
              </w:rPr>
              <w:t>The following table presents the details of the other segment operating loss before income taxes: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4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Corporate expenses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$(85,359)</w:t>
            </w:r>
          </w:p>
        </w:tc>
        <w:tc>
          <w:tcPr>
            <w:tcW w:w="740" w:type="dxa"/>
            <w:vAlign w:val="bottom"/>
            <w:gridSpan w:val="3"/>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$(81,376)</w:t>
            </w:r>
          </w:p>
        </w:tc>
        <w:tc>
          <w:tcPr>
            <w:tcW w:w="720" w:type="dxa"/>
            <w:vAlign w:val="bottom"/>
            <w:gridSpan w:val="3"/>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$(72,726)</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Pr>
          <w:p>
            <w:pPr>
              <w:spacing w:after="0"/>
              <w:rPr>
                <w:sz w:val="20"/>
                <w:szCs w:val="20"/>
                <w:color w:val="auto"/>
              </w:rPr>
            </w:pPr>
            <w:r>
              <w:rPr>
                <w:rFonts w:ascii="Arial" w:cs="Arial" w:eastAsia="Arial" w:hAnsi="Arial"/>
                <w:sz w:val="13"/>
                <w:szCs w:val="13"/>
                <w:b w:val="1"/>
                <w:bCs w:val="1"/>
                <w:color w:val="auto"/>
              </w:rPr>
              <w:t>Interest expense</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(16,210)</w:t>
            </w:r>
          </w:p>
        </w:tc>
        <w:tc>
          <w:tcPr>
            <w:tcW w:w="160" w:type="dxa"/>
            <w:vAlign w:val="bottom"/>
          </w:tcPr>
          <w:p>
            <w:pPr>
              <w:spacing w:after="0"/>
              <w:rPr>
                <w:sz w:val="13"/>
                <w:szCs w:val="13"/>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w w:val="99"/>
              </w:rPr>
              <w:t>(16,906)</w:t>
            </w:r>
          </w:p>
        </w:tc>
        <w:tc>
          <w:tcPr>
            <w:tcW w:w="720" w:type="dxa"/>
            <w:vAlign w:val="bottom"/>
            <w:gridSpan w:val="3"/>
          </w:tcPr>
          <w:p>
            <w:pPr>
              <w:jc w:val="right"/>
              <w:ind w:right="33"/>
              <w:spacing w:after="0"/>
              <w:rPr>
                <w:sz w:val="20"/>
                <w:szCs w:val="20"/>
                <w:color w:val="auto"/>
              </w:rPr>
            </w:pPr>
            <w:r>
              <w:rPr>
                <w:rFonts w:ascii="Arial" w:cs="Arial" w:eastAsia="Arial" w:hAnsi="Arial"/>
                <w:sz w:val="13"/>
                <w:szCs w:val="13"/>
                <w:color w:val="auto"/>
              </w:rPr>
              <w:t>(16,970)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11,825</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6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$(89,744)</w:t>
            </w:r>
          </w:p>
        </w:tc>
        <w:tc>
          <w:tcPr>
            <w:tcW w:w="74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3"/>
                <w:szCs w:val="13"/>
                <w:color w:val="auto"/>
              </w:rPr>
              <w:t>$(93,731)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$(84,593)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7320" w:type="dxa"/>
            <w:vAlign w:val="bottom"/>
            <w:gridSpan w:val="5"/>
          </w:tcPr>
          <w:p>
            <w:pPr>
              <w:ind w:left="140"/>
              <w:spacing w:after="0"/>
              <w:rPr>
                <w:sz w:val="20"/>
                <w:szCs w:val="20"/>
                <w:color w:val="auto"/>
              </w:rPr>
            </w:pPr>
            <w:r>
              <w:rPr>
                <w:rFonts w:ascii="Arial" w:cs="Arial" w:eastAsia="Arial" w:hAnsi="Arial"/>
                <w:sz w:val="16"/>
                <w:szCs w:val="16"/>
                <w:color w:val="auto"/>
              </w:rPr>
              <w:t>The following table presents net sales for groups of similar products and services: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6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Fiscal years ended October 31</w:t>
            </w: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2012</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4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Equipment</w:t>
            </w:r>
          </w:p>
        </w:tc>
        <w:tc>
          <w:tcPr>
            <w:tcW w:w="3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gridSpan w:val="3"/>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$1,649,489</w:t>
            </w:r>
          </w:p>
        </w:tc>
        <w:tc>
          <w:tcPr>
            <w:tcW w:w="940" w:type="dxa"/>
            <w:vAlign w:val="bottom"/>
            <w:tcBorders>
              <w:top w:val="single" w:sz="8" w:color="auto"/>
            </w:tcBorders>
            <w:gridSpan w:val="3"/>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$1,586,864</w:t>
            </w:r>
          </w:p>
        </w:tc>
        <w:tc>
          <w:tcPr>
            <w:tcW w:w="700" w:type="dxa"/>
            <w:vAlign w:val="bottom"/>
            <w:tcBorders>
              <w:top w:val="single" w:sz="8" w:color="auto"/>
            </w:tcBorders>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$1,529,470</w:t>
            </w:r>
          </w:p>
        </w:tc>
        <w:tc>
          <w:tcPr>
            <w:tcW w:w="120" w:type="dxa"/>
            <w:vAlign w:val="bottom"/>
            <w:shd w:val="clear" w:color="auto" w:fill="CCEEFF"/>
          </w:tcPr>
          <w:p>
            <w:pPr>
              <w:spacing w:after="0"/>
              <w:rPr>
                <w:sz w:val="12"/>
                <w:szCs w:val="12"/>
                <w:color w:val="auto"/>
              </w:rPr>
            </w:pPr>
          </w:p>
        </w:tc>
        <w:tc>
          <w:tcPr>
            <w:tcW w:w="180" w:type="dxa"/>
            <w:vAlign w:val="bottom"/>
            <w:tcBorders>
              <w:left w:val="single" w:sz="8" w:color="CCEEFF"/>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Arial" w:cs="Arial" w:eastAsia="Arial" w:hAnsi="Arial"/>
                <w:sz w:val="13"/>
                <w:szCs w:val="13"/>
                <w:b w:val="1"/>
                <w:bCs w:val="1"/>
                <w:color w:val="auto"/>
              </w:rPr>
              <w:t>Irrigation and lighting</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391,942</w:t>
            </w:r>
          </w:p>
        </w:tc>
        <w:tc>
          <w:tcPr>
            <w:tcW w:w="300" w:type="dxa"/>
            <w:vAlign w:val="bottom"/>
          </w:tcPr>
          <w:p>
            <w:pPr>
              <w:spacing w:after="0"/>
              <w:rPr>
                <w:sz w:val="15"/>
                <w:szCs w:val="15"/>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371,826</w:t>
            </w:r>
          </w:p>
        </w:tc>
        <w:tc>
          <w:tcPr>
            <w:tcW w:w="100" w:type="dxa"/>
            <w:vAlign w:val="bottom"/>
          </w:tcPr>
          <w:p>
            <w:pPr>
              <w:spacing w:after="0"/>
              <w:rPr>
                <w:sz w:val="15"/>
                <w:szCs w:val="15"/>
                <w:color w:val="auto"/>
              </w:rPr>
            </w:pPr>
          </w:p>
        </w:tc>
        <w:tc>
          <w:tcPr>
            <w:tcW w:w="720" w:type="dxa"/>
            <w:vAlign w:val="bottom"/>
            <w:gridSpan w:val="3"/>
          </w:tcPr>
          <w:p>
            <w:pPr>
              <w:jc w:val="right"/>
              <w:ind w:right="73"/>
              <w:spacing w:after="0"/>
              <w:rPr>
                <w:sz w:val="20"/>
                <w:szCs w:val="20"/>
                <w:color w:val="auto"/>
              </w:rPr>
            </w:pPr>
            <w:r>
              <w:rPr>
                <w:rFonts w:ascii="Arial" w:cs="Arial" w:eastAsia="Arial" w:hAnsi="Arial"/>
                <w:sz w:val="13"/>
                <w:szCs w:val="13"/>
                <w:color w:val="auto"/>
              </w:rPr>
              <w:t>354,483</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4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3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gridSpan w:val="3"/>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$2,041,431</w:t>
            </w:r>
          </w:p>
        </w:tc>
        <w:tc>
          <w:tcPr>
            <w:tcW w:w="940" w:type="dxa"/>
            <w:vAlign w:val="bottom"/>
            <w:tcBorders>
              <w:top w:val="single" w:sz="8" w:color="auto"/>
            </w:tcBorders>
            <w:gridSpan w:val="3"/>
            <w:shd w:val="clear" w:color="auto" w:fill="CCEEFF"/>
          </w:tcPr>
          <w:p>
            <w:pPr>
              <w:jc w:val="right"/>
              <w:ind w:right="73"/>
              <w:spacing w:after="0" w:line="143" w:lineRule="exact"/>
              <w:rPr>
                <w:sz w:val="20"/>
                <w:szCs w:val="20"/>
                <w:color w:val="auto"/>
              </w:rPr>
            </w:pPr>
            <w:r>
              <w:rPr>
                <w:rFonts w:ascii="Arial" w:cs="Arial" w:eastAsia="Arial" w:hAnsi="Arial"/>
                <w:sz w:val="13"/>
                <w:szCs w:val="13"/>
                <w:color w:val="auto"/>
              </w:rPr>
              <w:t>$1,958,690</w:t>
            </w:r>
          </w:p>
        </w:tc>
        <w:tc>
          <w:tcPr>
            <w:tcW w:w="700" w:type="dxa"/>
            <w:vAlign w:val="bottom"/>
            <w:tcBorders>
              <w:top w:val="single" w:sz="8" w:color="auto"/>
            </w:tcBorders>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$1,883,953</w:t>
            </w:r>
          </w:p>
        </w:tc>
        <w:tc>
          <w:tcPr>
            <w:tcW w:w="120" w:type="dxa"/>
            <w:vAlign w:val="bottom"/>
            <w:shd w:val="clear" w:color="auto" w:fill="CCEEFF"/>
          </w:tcPr>
          <w:p>
            <w:pPr>
              <w:spacing w:after="0"/>
              <w:rPr>
                <w:sz w:val="12"/>
                <w:szCs w:val="12"/>
                <w:color w:val="auto"/>
              </w:rPr>
            </w:pPr>
          </w:p>
        </w:tc>
        <w:tc>
          <w:tcPr>
            <w:tcW w:w="180" w:type="dxa"/>
            <w:vAlign w:val="bottom"/>
            <w:tcBorders>
              <w:left w:val="single" w:sz="8" w:color="CCEEFF"/>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80" w:type="dxa"/>
            <w:vAlign w:val="bottom"/>
            <w:gridSpan w:val="3"/>
          </w:tcPr>
          <w:p>
            <w:pPr>
              <w:spacing w:after="0"/>
              <w:rPr>
                <w:sz w:val="2"/>
                <w:szCs w:val="2"/>
                <w:color w:val="auto"/>
              </w:rPr>
            </w:pPr>
          </w:p>
        </w:tc>
        <w:tc>
          <w:tcPr>
            <w:tcW w:w="6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7320" w:type="dxa"/>
            <w:vAlign w:val="bottom"/>
            <w:gridSpan w:val="5"/>
          </w:tcPr>
          <w:p>
            <w:pPr>
              <w:jc w:val="right"/>
              <w:ind w:right="1453"/>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6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60" w:firstLine="136"/>
        <w:spacing w:after="0" w:line="291" w:lineRule="auto"/>
        <w:rPr>
          <w:sz w:val="20"/>
          <w:szCs w:val="20"/>
          <w:color w:val="auto"/>
        </w:rPr>
      </w:pPr>
      <w:r>
        <w:rPr>
          <w:rFonts w:ascii="Arial" w:cs="Arial" w:eastAsia="Arial" w:hAnsi="Arial"/>
          <w:sz w:val="16"/>
          <w:szCs w:val="16"/>
          <w:color w:val="auto"/>
        </w:rPr>
        <w:t>Sales to one customer in the residential segment accounted for 10 percent of total consolidated gross sales in fiscal 2013 and 11 percent of consolidated gross sales in both fiscal 2012 and 2011.</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Data</w:t>
      </w:r>
    </w:p>
    <w:p>
      <w:pPr>
        <w:spacing w:after="0" w:line="2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United</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Foreign</w:t>
            </w: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6480" w:type="dxa"/>
            <w:vAlign w:val="bottom"/>
            <w:gridSpan w:val="2"/>
          </w:tcPr>
          <w:p>
            <w:pPr>
              <w:ind w:left="20"/>
              <w:spacing w:after="0"/>
              <w:rPr>
                <w:sz w:val="20"/>
                <w:szCs w:val="20"/>
                <w:color w:val="auto"/>
              </w:rPr>
            </w:pPr>
            <w:r>
              <w:rPr>
                <w:rFonts w:ascii="Arial" w:cs="Arial" w:eastAsia="Arial" w:hAnsi="Arial"/>
                <w:sz w:val="13"/>
                <w:szCs w:val="13"/>
                <w:color w:val="auto"/>
              </w:rPr>
              <w:t>Fiscal years ended October 31</w:t>
            </w:r>
          </w:p>
        </w:tc>
        <w:tc>
          <w:tcPr>
            <w:tcW w:w="2260" w:type="dxa"/>
            <w:vAlign w:val="bottom"/>
          </w:tcPr>
          <w:p>
            <w:pPr>
              <w:jc w:val="right"/>
              <w:spacing w:after="0"/>
              <w:rPr>
                <w:sz w:val="20"/>
                <w:szCs w:val="20"/>
                <w:color w:val="auto"/>
              </w:rPr>
            </w:pPr>
            <w:r>
              <w:rPr>
                <w:rFonts w:ascii="Arial" w:cs="Arial" w:eastAsia="Arial" w:hAnsi="Arial"/>
                <w:sz w:val="13"/>
                <w:szCs w:val="13"/>
                <w:color w:val="auto"/>
              </w:rPr>
              <w:t>States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Countries</w:t>
            </w:r>
          </w:p>
        </w:tc>
        <w:tc>
          <w:tcPr>
            <w:tcW w:w="920" w:type="dxa"/>
            <w:vAlign w:val="bottom"/>
            <w:gridSpan w:val="2"/>
          </w:tcPr>
          <w:p>
            <w:pPr>
              <w:ind w:left="4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2013</w:t>
            </w:r>
          </w:p>
        </w:tc>
        <w:tc>
          <w:tcPr>
            <w:tcW w:w="2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Pr>
          <w:p>
            <w:pPr>
              <w:spacing w:after="0"/>
              <w:rPr>
                <w:sz w:val="20"/>
                <w:szCs w:val="20"/>
                <w:color w:val="auto"/>
              </w:rPr>
            </w:pPr>
            <w:r>
              <w:rPr>
                <w:rFonts w:ascii="Arial" w:cs="Arial" w:eastAsia="Arial" w:hAnsi="Arial"/>
                <w:sz w:val="13"/>
                <w:szCs w:val="13"/>
                <w:b w:val="1"/>
                <w:bCs w:val="1"/>
                <w:color w:val="auto"/>
              </w:rPr>
              <w:t>Net sales</w:t>
            </w:r>
          </w:p>
        </w:tc>
        <w:tc>
          <w:tcPr>
            <w:tcW w:w="2260" w:type="dxa"/>
            <w:vAlign w:val="bottom"/>
          </w:tcPr>
          <w:p>
            <w:pPr>
              <w:jc w:val="right"/>
              <w:spacing w:after="0"/>
              <w:rPr>
                <w:sz w:val="20"/>
                <w:szCs w:val="20"/>
                <w:color w:val="auto"/>
              </w:rPr>
            </w:pPr>
            <w:r>
              <w:rPr>
                <w:rFonts w:ascii="Arial" w:cs="Arial" w:eastAsia="Arial" w:hAnsi="Arial"/>
                <w:sz w:val="13"/>
                <w:szCs w:val="13"/>
                <w:b w:val="1"/>
                <w:bCs w:val="1"/>
                <w:color w:val="auto"/>
              </w:rPr>
              <w:t>$1,426,060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615,371</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$2,041,431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143,547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41,549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185,096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2012</w:t>
            </w:r>
          </w:p>
        </w:tc>
        <w:tc>
          <w:tcPr>
            <w:tcW w:w="2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$1,364,377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594,313</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$1,958,690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Long-lived assets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137,708</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2011</w:t>
            </w: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Pr>
          <w:p>
            <w:pPr>
              <w:spacing w:after="0"/>
              <w:rPr>
                <w:sz w:val="20"/>
                <w:szCs w:val="20"/>
                <w:color w:val="auto"/>
              </w:rPr>
            </w:pPr>
            <w:r>
              <w:rPr>
                <w:rFonts w:ascii="Arial" w:cs="Arial" w:eastAsia="Arial" w:hAnsi="Arial"/>
                <w:sz w:val="13"/>
                <w:szCs w:val="13"/>
                <w:color w:val="auto"/>
              </w:rPr>
              <w:t>Net sales</w:t>
            </w:r>
          </w:p>
        </w:tc>
        <w:tc>
          <w:tcPr>
            <w:tcW w:w="2260" w:type="dxa"/>
            <w:vAlign w:val="bottom"/>
          </w:tcPr>
          <w:p>
            <w:pPr>
              <w:jc w:val="right"/>
              <w:spacing w:after="0"/>
              <w:rPr>
                <w:sz w:val="20"/>
                <w:szCs w:val="20"/>
                <w:color w:val="auto"/>
              </w:rPr>
            </w:pPr>
            <w:r>
              <w:rPr>
                <w:rFonts w:ascii="Arial" w:cs="Arial" w:eastAsia="Arial" w:hAnsi="Arial"/>
                <w:sz w:val="13"/>
                <w:szCs w:val="13"/>
                <w:color w:val="auto"/>
              </w:rPr>
              <w:t>$1,276,038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607,915</w:t>
            </w:r>
          </w:p>
        </w:tc>
        <w:tc>
          <w:tcPr>
            <w:tcW w:w="760" w:type="dxa"/>
            <w:vAlign w:val="bottom"/>
          </w:tcPr>
          <w:p>
            <w:pPr>
              <w:jc w:val="right"/>
              <w:spacing w:after="0"/>
              <w:rPr>
                <w:sz w:val="20"/>
                <w:szCs w:val="20"/>
                <w:color w:val="auto"/>
              </w:rPr>
            </w:pPr>
            <w:r>
              <w:rPr>
                <w:rFonts w:ascii="Arial" w:cs="Arial" w:eastAsia="Arial" w:hAnsi="Arial"/>
                <w:sz w:val="13"/>
                <w:szCs w:val="13"/>
                <w:color w:val="auto"/>
              </w:rPr>
              <w:t>$1,883,953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145,169</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45,971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191,140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80" w:type="dxa"/>
            <w:vAlign w:val="bottom"/>
            <w:vMerge w:val="restart"/>
          </w:tcPr>
          <w:p>
            <w:pPr>
              <w:jc w:val="right"/>
              <w:spacing w:after="0"/>
              <w:rPr>
                <w:sz w:val="20"/>
                <w:szCs w:val="20"/>
                <w:color w:val="auto"/>
              </w:rPr>
            </w:pPr>
            <w:r>
              <w:rPr>
                <w:rFonts w:ascii="Arial" w:cs="Arial" w:eastAsia="Arial" w:hAnsi="Arial"/>
                <w:sz w:val="40"/>
                <w:szCs w:val="40"/>
                <w:b w:val="1"/>
                <w:bCs w:val="1"/>
                <w:color w:val="auto"/>
                <w:w w:val="94"/>
              </w:rPr>
              <w:t>13</w:t>
            </w:r>
          </w:p>
        </w:tc>
        <w:tc>
          <w:tcPr>
            <w:tcW w:w="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7"/>
        </w:trPr>
        <w:tc>
          <w:tcPr>
            <w:tcW w:w="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Pr>
          <w:p>
            <w:pPr>
              <w:ind w:left="340"/>
              <w:spacing w:after="0"/>
              <w:rPr>
                <w:sz w:val="20"/>
                <w:szCs w:val="20"/>
                <w:color w:val="auto"/>
              </w:rPr>
            </w:pPr>
            <w:r>
              <w:rPr>
                <w:rFonts w:ascii="Arial" w:cs="Arial" w:eastAsia="Arial" w:hAnsi="Arial"/>
                <w:sz w:val="20"/>
                <w:szCs w:val="20"/>
                <w:b w:val="1"/>
                <w:bCs w:val="1"/>
                <w:color w:val="auto"/>
              </w:rPr>
              <w:t>COMMITMENTS AND CONTINGENT LIABILITIES</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Total rental expense for operating leases was $24,399, $22,166, and $21,840 for the fiscal years ended October 31, 2013, 2012, and 2011, respectively. As of October 31, 2013, future minimum lease payments under noncancelable operating leases amounted to $73,165 as follows: 2014, $14,632; 2015, $12,544; 2016, $9,307; 2017, $5,283; 2018, $4,212 and after 2018, $27,187.</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Financing</w:t>
      </w:r>
    </w:p>
    <w:p>
      <w:pPr>
        <w:spacing w:after="0" w:line="20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In fiscal 2009, Toro Credit Company sold its receivable portfolio to Red Iron, the company's joint venture with TCFIF. See Note 3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information related to Red Iron. Some products sold to independent dealers in Australia finance their products with a third party finance company. This third party financing company purchased $26,526 of receivables from the company during fiscal 2013. As of October 31, 2013, $13,273 of receivables financed by the third party financing company, excluding Red Iron, was outstanding.</w:t>
      </w:r>
    </w:p>
    <w:p>
      <w:pPr>
        <w:spacing w:after="0" w:line="156" w:lineRule="exact"/>
        <w:rPr>
          <w:sz w:val="20"/>
          <w:szCs w:val="20"/>
          <w:color w:val="auto"/>
        </w:rPr>
      </w:pPr>
    </w:p>
    <w:p>
      <w:pPr>
        <w:ind w:right="120" w:firstLine="133"/>
        <w:spacing w:after="0" w:line="260" w:lineRule="auto"/>
        <w:rPr>
          <w:sz w:val="20"/>
          <w:szCs w:val="20"/>
          <w:color w:val="auto"/>
        </w:rPr>
      </w:pPr>
      <w:r>
        <w:rPr>
          <w:rFonts w:ascii="Arial" w:cs="Arial" w:eastAsia="Arial" w:hAnsi="Arial"/>
          <w:sz w:val="16"/>
          <w:szCs w:val="16"/>
          <w:color w:val="auto"/>
        </w:rPr>
        <w:t>The company also enters into limited inventory repurchase agreements with third party financing companies and Red Iron for receivables financed by third party financing companies and Red Iron. As of October 31, 2013, the company was contingently liable to repurchase up to a maximum amount of $10,153 of inventory related to receivables under these financing arrangements. The company has repurchased only immaterial amounts of inventory under these repurchase agreements since inception.</w:t>
      </w:r>
    </w:p>
    <w:p>
      <w:pPr>
        <w:spacing w:after="0" w:line="156"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b w:val="1"/>
          <w:bCs w:val="1"/>
          <w:i w:val="1"/>
          <w:iCs w:val="1"/>
          <w:color w:val="auto"/>
        </w:rPr>
        <w:t xml:space="preserve">End-User Financing. </w:t>
      </w:r>
      <w:r>
        <w:rPr>
          <w:rFonts w:ascii="Arial" w:cs="Arial" w:eastAsia="Arial" w:hAnsi="Arial"/>
          <w:sz w:val="16"/>
          <w:szCs w:val="16"/>
          <w:color w:val="auto"/>
        </w:rPr>
        <w:t>The company has agreements with third party financing companies to provide lease-financing options to golf course and sports fields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grounds equipment customers in the U.S. and select countries in Europe. The company has no contingent liabilities for residual value or credit collection risk under these agreements with third party financing companies.</w:t>
      </w:r>
    </w:p>
    <w:p>
      <w:pPr>
        <w:spacing w:after="0" w:line="149" w:lineRule="exact"/>
        <w:rPr>
          <w:sz w:val="20"/>
          <w:szCs w:val="20"/>
          <w:color w:val="auto"/>
        </w:rPr>
      </w:pPr>
    </w:p>
    <w:p>
      <w:pPr>
        <w:ind w:right="140" w:firstLine="136"/>
        <w:spacing w:after="0" w:line="291" w:lineRule="auto"/>
        <w:rPr>
          <w:sz w:val="20"/>
          <w:szCs w:val="20"/>
          <w:color w:val="auto"/>
        </w:rPr>
      </w:pPr>
      <w:r>
        <w:rPr>
          <w:rFonts w:ascii="Arial" w:cs="Arial" w:eastAsia="Arial" w:hAnsi="Arial"/>
          <w:sz w:val="16"/>
          <w:szCs w:val="16"/>
          <w:color w:val="auto"/>
        </w:rPr>
        <w:t>From time to time, the company enters into agreements where it provides recourse to third party finance companies in the event of default by the customer for lease payments to the third party finance company. The company's maximum exposure for credit collection as of October 31, 2013 was $1,744.</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Commitments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of October 31, 2013, the company had $8,400 of noncancelable purchase commitments with some suppliers for materials and supplies as part of the normal course of business. The company also entered into an agreement for the construction of a new corporate facility at its Bloomington, Minnesota location for a maximum obligation, subject to certain exceptions, of $19,876.</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2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Letters of credit are issued by the company during the normal course of business, as required by some vendor contracts. As of October 31, 2013 and 2012, the company had $12,681 and $12,963, respectively, in outstanding letters of credit.</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The company is party to litigation in the ordinary course of business. Such matters are generally subject to uncertainties and to outcomes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w:t>
      </w:r>
    </w:p>
    <w:p>
      <w:pPr>
        <w:sectPr>
          <w:pgSz w:w="11900" w:h="16838" w:orient="portrait"/>
          <w:cols w:equalWidth="0" w:num="1">
            <w:col w:w="11400"/>
          </w:cols>
          <w:pgMar w:left="240" w:top="122" w:right="259" w:bottom="726"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2" w:right="259" w:bottom="726"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6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 xml:space="preserve">Canadian Lawnmower Engine Horsepower Marketing and Sales Practices Litigation. </w:t>
      </w:r>
      <w:r>
        <w:rPr>
          <w:rFonts w:ascii="Arial" w:cs="Arial" w:eastAsia="Arial" w:hAnsi="Arial"/>
          <w:sz w:val="16"/>
          <w:szCs w:val="16"/>
          <w:color w:val="auto"/>
        </w:rPr>
        <w:t>In March 2010, individuals who claimed to have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lawnmowers in Canada filed class action litigation against the company and other defendants that, similar to the class action litigation previously filed by plaintiffs in the United States and settled by the company pursuant to a settlement agreement that became final in February 2011, (i) contained allegations under applicable Canadian law that the horsepower labels on the products the plaintiffs purchased were inaccurate, (ii) sought certification of a class of all persons in Canada who, beginning January 1, 1994 purchased a lawnmower containing a gas combustible engine up to 30 horsepower that was manufactured or sold by the company and other defendants, and (iii) sought under applicable Canadian law unspecified compensatory and punitive damages, attorneys' costs and fees, and equitable relief. In June 2013, the company and certain other defendants, in order to avoid further protracted and expensive litigation, entered into a settlement agreement to resolve all claims against them in the Canadian litigation. As a group, such settling defendants agreed to pay an aggregate amount of CAD $4,200. In September 2013, courts in Ontario and Quebec held hearings to consider the settlement, which was subsequently approved and became final in October 2013.</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40"/>
          <w:szCs w:val="40"/>
          <w:b w:val="1"/>
          <w:bCs w:val="1"/>
          <w:color w:val="auto"/>
        </w:rPr>
        <w:t>14</w:t>
      </w:r>
      <w:r>
        <w:rPr>
          <w:sz w:val="20"/>
          <w:szCs w:val="20"/>
          <w:color w:val="auto"/>
        </w:rPr>
        <w:tab/>
      </w:r>
      <w:r>
        <w:rPr>
          <w:rFonts w:ascii="Arial" w:cs="Arial" w:eastAsia="Arial" w:hAnsi="Arial"/>
          <w:sz w:val="20"/>
          <w:szCs w:val="20"/>
          <w:b w:val="1"/>
          <w:bCs w:val="1"/>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Concentrations of Credit Risk</w:t>
      </w:r>
    </w:p>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permitted in ASU No. 2011-04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356" w:lineRule="exact"/>
        <w:rPr>
          <w:sz w:val="20"/>
          <w:szCs w:val="20"/>
          <w:color w:val="auto"/>
        </w:rPr>
      </w:pPr>
    </w:p>
    <w:p>
      <w:pPr>
        <w:ind w:right="100" w:firstLine="133"/>
        <w:spacing w:after="0" w:line="260" w:lineRule="auto"/>
        <w:rPr>
          <w:sz w:val="20"/>
          <w:szCs w:val="20"/>
          <w:color w:val="auto"/>
        </w:rPr>
      </w:pPr>
      <w:r>
        <w:rPr>
          <w:rFonts w:ascii="Arial" w:cs="Arial" w:eastAsia="Arial" w:hAnsi="Arial"/>
          <w:sz w:val="16"/>
          <w:szCs w:val="16"/>
          <w:color w:val="auto"/>
        </w:rPr>
        <w:t>The company entered into an International Swap Dealers Association Master Agreement ("ISDA") with each counterparty that permits the net settlement of amounts owed under their respective contracts.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0" w:lineRule="exact"/>
        <w:rPr>
          <w:sz w:val="20"/>
          <w:szCs w:val="20"/>
          <w:color w:val="auto"/>
        </w:rPr>
      </w:pPr>
    </w:p>
    <w:p>
      <w:pPr>
        <w:ind w:right="40" w:firstLine="133"/>
        <w:spacing w:after="0" w:line="249"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fiscal years ended October 31, 2013 and 2012, there were no gains or losses on contracts reclassified into earnings as a result of the discontinuance of cash flow hedges. As of October 31, 2013, the notional amount of outstanding forward contracts designated as cash flow hedges was $134,186. Additionally, the company has one cross currency interest rate swap instrument outstanding as of October 31, 2013 for a fixed pay notional of 36,593 Romanian New Leu and receive floating notional of 8,500 Euro.</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156845</wp:posOffset>
            </wp:positionV>
            <wp:extent cx="5774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4690" cy="8255"/>
                    </a:xfrm>
                    <a:prstGeom prst="rect">
                      <a:avLst/>
                    </a:prstGeom>
                    <a:noFill/>
                  </pic:spPr>
                </pic:pic>
              </a:graphicData>
            </a:graphic>
          </wp:anchor>
        </w:drawing>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color w:val="auto"/>
              </w:rPr>
              <w:t>Asset Derivatives</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color w:val="auto"/>
              </w:rPr>
              <w:t>Liability Derivatives</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1620" w:type="dxa"/>
            <w:vAlign w:val="bottom"/>
            <w:gridSpan w:val="4"/>
          </w:tcPr>
          <w:p>
            <w:pPr>
              <w:ind w:left="160"/>
              <w:spacing w:after="0"/>
              <w:rPr>
                <w:sz w:val="20"/>
                <w:szCs w:val="20"/>
                <w:color w:val="auto"/>
              </w:rPr>
            </w:pPr>
            <w:r>
              <w:rPr>
                <w:rFonts w:ascii="Arial" w:cs="Arial" w:eastAsia="Arial" w:hAnsi="Arial"/>
                <w:sz w:val="13"/>
                <w:szCs w:val="13"/>
                <w:b w:val="1"/>
                <w:bCs w:val="1"/>
                <w:color w:val="auto"/>
              </w:rPr>
              <w:t>October 31, 2013</w:t>
            </w:r>
          </w:p>
        </w:tc>
        <w:tc>
          <w:tcPr>
            <w:tcW w:w="1620" w:type="dxa"/>
            <w:vAlign w:val="bottom"/>
            <w:gridSpan w:val="4"/>
          </w:tcPr>
          <w:p>
            <w:pPr>
              <w:ind w:left="180"/>
              <w:spacing w:after="0"/>
              <w:rPr>
                <w:sz w:val="20"/>
                <w:szCs w:val="20"/>
                <w:color w:val="auto"/>
              </w:rPr>
            </w:pPr>
            <w:r>
              <w:rPr>
                <w:rFonts w:ascii="Arial" w:cs="Arial" w:eastAsia="Arial" w:hAnsi="Arial"/>
                <w:sz w:val="13"/>
                <w:szCs w:val="13"/>
                <w:color w:val="auto"/>
              </w:rPr>
              <w:t>October 31, 2012</w:t>
            </w:r>
          </w:p>
        </w:tc>
        <w:tc>
          <w:tcPr>
            <w:tcW w:w="1580" w:type="dxa"/>
            <w:vAlign w:val="bottom"/>
            <w:gridSpan w:val="4"/>
          </w:tcPr>
          <w:p>
            <w:pPr>
              <w:ind w:left="140"/>
              <w:spacing w:after="0"/>
              <w:rPr>
                <w:sz w:val="20"/>
                <w:szCs w:val="20"/>
                <w:color w:val="auto"/>
              </w:rPr>
            </w:pPr>
            <w:r>
              <w:rPr>
                <w:rFonts w:ascii="Arial" w:cs="Arial" w:eastAsia="Arial" w:hAnsi="Arial"/>
                <w:sz w:val="13"/>
                <w:szCs w:val="13"/>
                <w:b w:val="1"/>
                <w:bCs w:val="1"/>
                <w:color w:val="auto"/>
              </w:rPr>
              <w:t>October 31, 2013</w:t>
            </w:r>
          </w:p>
        </w:tc>
        <w:tc>
          <w:tcPr>
            <w:tcW w:w="1560" w:type="dxa"/>
            <w:vAlign w:val="bottom"/>
            <w:gridSpan w:val="4"/>
          </w:tcPr>
          <w:p>
            <w:pPr>
              <w:ind w:left="140"/>
              <w:spacing w:after="0"/>
              <w:rPr>
                <w:sz w:val="20"/>
                <w:szCs w:val="20"/>
                <w:color w:val="auto"/>
              </w:rPr>
            </w:pPr>
            <w:r>
              <w:rPr>
                <w:rFonts w:ascii="Arial" w:cs="Arial" w:eastAsia="Arial" w:hAnsi="Arial"/>
                <w:sz w:val="13"/>
                <w:szCs w:val="13"/>
                <w:color w:val="auto"/>
              </w:rPr>
              <w:t>October 31, 2012</w:t>
            </w: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78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Balance</w:t>
            </w: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Balance</w:t>
            </w: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Balance</w:t>
            </w: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Balance</w:t>
            </w: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Sheet</w:t>
            </w:r>
          </w:p>
        </w:tc>
        <w:tc>
          <w:tcPr>
            <w:tcW w:w="34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Fair</w:t>
            </w:r>
          </w:p>
        </w:tc>
        <w:tc>
          <w:tcPr>
            <w:tcW w:w="800" w:type="dxa"/>
            <w:vAlign w:val="bottom"/>
          </w:tcPr>
          <w:p>
            <w:pPr>
              <w:spacing w:after="0"/>
              <w:rPr>
                <w:sz w:val="20"/>
                <w:szCs w:val="20"/>
                <w:color w:val="auto"/>
              </w:rPr>
            </w:pPr>
            <w:r>
              <w:rPr>
                <w:rFonts w:ascii="Arial" w:cs="Arial" w:eastAsia="Arial" w:hAnsi="Arial"/>
                <w:sz w:val="13"/>
                <w:szCs w:val="13"/>
                <w:color w:val="auto"/>
              </w:rPr>
              <w:t>Sheet</w:t>
            </w:r>
          </w:p>
        </w:tc>
        <w:tc>
          <w:tcPr>
            <w:tcW w:w="32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Fair</w:t>
            </w:r>
          </w:p>
        </w:tc>
        <w:tc>
          <w:tcPr>
            <w:tcW w:w="700" w:type="dxa"/>
            <w:vAlign w:val="bottom"/>
          </w:tcPr>
          <w:p>
            <w:pPr>
              <w:spacing w:after="0"/>
              <w:rPr>
                <w:sz w:val="20"/>
                <w:szCs w:val="20"/>
                <w:color w:val="auto"/>
              </w:rPr>
            </w:pPr>
            <w:r>
              <w:rPr>
                <w:rFonts w:ascii="Arial" w:cs="Arial" w:eastAsia="Arial" w:hAnsi="Arial"/>
                <w:sz w:val="13"/>
                <w:szCs w:val="13"/>
                <w:color w:val="auto"/>
              </w:rPr>
              <w:t>Sheet</w:t>
            </w:r>
          </w:p>
        </w:tc>
        <w:tc>
          <w:tcPr>
            <w:tcW w:w="3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Fair</w:t>
            </w:r>
          </w:p>
        </w:tc>
        <w:tc>
          <w:tcPr>
            <w:tcW w:w="740" w:type="dxa"/>
            <w:vAlign w:val="bottom"/>
          </w:tcPr>
          <w:p>
            <w:pPr>
              <w:spacing w:after="0"/>
              <w:rPr>
                <w:sz w:val="20"/>
                <w:szCs w:val="20"/>
                <w:color w:val="auto"/>
              </w:rPr>
            </w:pPr>
            <w:r>
              <w:rPr>
                <w:rFonts w:ascii="Arial" w:cs="Arial" w:eastAsia="Arial" w:hAnsi="Arial"/>
                <w:sz w:val="13"/>
                <w:szCs w:val="13"/>
                <w:color w:val="auto"/>
              </w:rPr>
              <w:t>Sheet</w:t>
            </w:r>
          </w:p>
        </w:tc>
        <w:tc>
          <w:tcPr>
            <w:tcW w:w="3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Fair</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Location</w:t>
            </w:r>
          </w:p>
        </w:tc>
        <w:tc>
          <w:tcPr>
            <w:tcW w:w="3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Value</w:t>
            </w:r>
          </w:p>
        </w:tc>
        <w:tc>
          <w:tcPr>
            <w:tcW w:w="800" w:type="dxa"/>
            <w:vAlign w:val="bottom"/>
          </w:tcPr>
          <w:p>
            <w:pPr>
              <w:spacing w:after="0"/>
              <w:rPr>
                <w:sz w:val="20"/>
                <w:szCs w:val="20"/>
                <w:color w:val="auto"/>
              </w:rPr>
            </w:pPr>
            <w:r>
              <w:rPr>
                <w:rFonts w:ascii="Arial" w:cs="Arial" w:eastAsia="Arial" w:hAnsi="Arial"/>
                <w:sz w:val="13"/>
                <w:szCs w:val="13"/>
                <w:color w:val="auto"/>
              </w:rPr>
              <w:t>Location</w:t>
            </w:r>
          </w:p>
        </w:tc>
        <w:tc>
          <w:tcPr>
            <w:tcW w:w="32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Value</w:t>
            </w:r>
          </w:p>
        </w:tc>
        <w:tc>
          <w:tcPr>
            <w:tcW w:w="700" w:type="dxa"/>
            <w:vAlign w:val="bottom"/>
          </w:tcPr>
          <w:p>
            <w:pPr>
              <w:spacing w:after="0"/>
              <w:rPr>
                <w:sz w:val="20"/>
                <w:szCs w:val="20"/>
                <w:color w:val="auto"/>
              </w:rPr>
            </w:pPr>
            <w:r>
              <w:rPr>
                <w:rFonts w:ascii="Arial" w:cs="Arial" w:eastAsia="Arial" w:hAnsi="Arial"/>
                <w:sz w:val="13"/>
                <w:szCs w:val="13"/>
                <w:color w:val="auto"/>
              </w:rPr>
              <w:t>Location</w:t>
            </w:r>
          </w:p>
        </w:tc>
        <w:tc>
          <w:tcPr>
            <w:tcW w:w="3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Value</w:t>
            </w:r>
          </w:p>
        </w:tc>
        <w:tc>
          <w:tcPr>
            <w:tcW w:w="740" w:type="dxa"/>
            <w:vAlign w:val="bottom"/>
          </w:tcPr>
          <w:p>
            <w:pPr>
              <w:spacing w:after="0"/>
              <w:rPr>
                <w:sz w:val="20"/>
                <w:szCs w:val="20"/>
                <w:color w:val="auto"/>
              </w:rPr>
            </w:pPr>
            <w:r>
              <w:rPr>
                <w:rFonts w:ascii="Arial" w:cs="Arial" w:eastAsia="Arial" w:hAnsi="Arial"/>
                <w:sz w:val="13"/>
                <w:szCs w:val="13"/>
                <w:color w:val="auto"/>
              </w:rPr>
              <w:t>Location</w:t>
            </w:r>
          </w:p>
        </w:tc>
        <w:tc>
          <w:tcPr>
            <w:tcW w:w="3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Value</w:t>
            </w:r>
          </w:p>
        </w:tc>
        <w:tc>
          <w:tcPr>
            <w:tcW w:w="0" w:type="dxa"/>
            <w:vAlign w:val="bottom"/>
          </w:tcPr>
          <w:p>
            <w:pPr>
              <w:spacing w:after="0"/>
              <w:rPr>
                <w:sz w:val="1"/>
                <w:szCs w:val="1"/>
                <w:color w:val="auto"/>
              </w:rPr>
            </w:pPr>
          </w:p>
        </w:tc>
      </w:tr>
      <w:tr>
        <w:trPr>
          <w:trHeight w:val="134"/>
        </w:trPr>
        <w:tc>
          <w:tcPr>
            <w:tcW w:w="28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Derivatives Designated as Hedging</w:t>
            </w: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8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Instruments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8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Prepaid</w:t>
            </w: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558</w:t>
            </w:r>
          </w:p>
        </w:tc>
        <w:tc>
          <w:tcPr>
            <w:tcW w:w="800" w:type="dxa"/>
            <w:vAlign w:val="bottom"/>
          </w:tcPr>
          <w:p>
            <w:pPr>
              <w:spacing w:after="0"/>
              <w:rPr>
                <w:sz w:val="20"/>
                <w:szCs w:val="20"/>
                <w:color w:val="auto"/>
              </w:rPr>
            </w:pPr>
            <w:r>
              <w:rPr>
                <w:rFonts w:ascii="Arial" w:cs="Arial" w:eastAsia="Arial" w:hAnsi="Arial"/>
                <w:sz w:val="13"/>
                <w:szCs w:val="13"/>
                <w:color w:val="auto"/>
              </w:rPr>
              <w:t>Prepaid</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Accrued</w:t>
            </w: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8"/>
              </w:rPr>
              <w:t>1,381</w:t>
            </w:r>
          </w:p>
        </w:tc>
        <w:tc>
          <w:tcPr>
            <w:tcW w:w="740" w:type="dxa"/>
            <w:vAlign w:val="bottom"/>
          </w:tcPr>
          <w:p>
            <w:pPr>
              <w:spacing w:after="0"/>
              <w:rPr>
                <w:sz w:val="20"/>
                <w:szCs w:val="20"/>
                <w:color w:val="auto"/>
              </w:rPr>
            </w:pPr>
            <w:r>
              <w:rPr>
                <w:rFonts w:ascii="Arial" w:cs="Arial" w:eastAsia="Arial" w:hAnsi="Arial"/>
                <w:sz w:val="13"/>
                <w:szCs w:val="13"/>
                <w:color w:val="auto"/>
              </w:rPr>
              <w:t>Accrued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3"/>
                <w:szCs w:val="13"/>
                <w:color w:val="auto"/>
              </w:rPr>
              <w:t>Forward currency contracts</w:t>
            </w:r>
          </w:p>
        </w:tc>
        <w:tc>
          <w:tcPr>
            <w:tcW w:w="780" w:type="dxa"/>
            <w:vAlign w:val="bottom"/>
          </w:tcPr>
          <w:p>
            <w:pPr>
              <w:spacing w:after="0"/>
              <w:rPr>
                <w:sz w:val="20"/>
                <w:szCs w:val="20"/>
                <w:color w:val="auto"/>
              </w:rPr>
            </w:pPr>
            <w:r>
              <w:rPr>
                <w:rFonts w:ascii="Arial" w:cs="Arial" w:eastAsia="Arial" w:hAnsi="Arial"/>
                <w:sz w:val="13"/>
                <w:szCs w:val="13"/>
                <w:color w:val="auto"/>
              </w:rPr>
              <w:t>expenses</w:t>
            </w:r>
          </w:p>
        </w:tc>
        <w:tc>
          <w:tcPr>
            <w:tcW w:w="34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expenses</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635</w:t>
            </w:r>
          </w:p>
        </w:tc>
        <w:tc>
          <w:tcPr>
            <w:tcW w:w="700" w:type="dxa"/>
            <w:vAlign w:val="bottom"/>
          </w:tcPr>
          <w:p>
            <w:pPr>
              <w:spacing w:after="0"/>
              <w:rPr>
                <w:sz w:val="20"/>
                <w:szCs w:val="20"/>
                <w:color w:val="auto"/>
              </w:rPr>
            </w:pPr>
            <w:r>
              <w:rPr>
                <w:rFonts w:ascii="Arial" w:cs="Arial" w:eastAsia="Arial" w:hAnsi="Arial"/>
                <w:sz w:val="13"/>
                <w:szCs w:val="13"/>
                <w:color w:val="auto"/>
              </w:rPr>
              <w:t>liabilities</w:t>
            </w:r>
          </w:p>
        </w:tc>
        <w:tc>
          <w:tcPr>
            <w:tcW w:w="38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liabilities</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1,359</w:t>
            </w:r>
          </w:p>
        </w:tc>
        <w:tc>
          <w:tcPr>
            <w:tcW w:w="0" w:type="dxa"/>
            <w:vAlign w:val="bottom"/>
          </w:tcPr>
          <w:p>
            <w:pPr>
              <w:spacing w:after="0"/>
              <w:rPr>
                <w:sz w:val="1"/>
                <w:szCs w:val="1"/>
                <w:color w:val="auto"/>
              </w:rPr>
            </w:pPr>
          </w:p>
        </w:tc>
      </w:tr>
      <w:tr>
        <w:trPr>
          <w:trHeight w:val="327"/>
        </w:trPr>
        <w:tc>
          <w:tcPr>
            <w:tcW w:w="28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Prepaid</w:t>
            </w:r>
          </w:p>
        </w:tc>
        <w:tc>
          <w:tcPr>
            <w:tcW w:w="340" w:type="dxa"/>
            <w:vAlign w:val="bottom"/>
            <w:shd w:val="clear" w:color="auto" w:fill="CCEEFF"/>
          </w:tcPr>
          <w:p>
            <w:pPr>
              <w:spacing w:after="0"/>
              <w:rPr>
                <w:sz w:val="24"/>
                <w:szCs w:val="24"/>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Prepaid</w:t>
            </w: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Accrued</w:t>
            </w:r>
          </w:p>
        </w:tc>
        <w:tc>
          <w:tcPr>
            <w:tcW w:w="380" w:type="dxa"/>
            <w:vAlign w:val="bottom"/>
            <w:shd w:val="clear" w:color="auto" w:fill="CCEEFF"/>
          </w:tcPr>
          <w:p>
            <w:pPr>
              <w:spacing w:after="0"/>
              <w:rPr>
                <w:sz w:val="24"/>
                <w:szCs w:val="2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326</w:t>
            </w: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Accrued</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Cross currency contract</w:t>
            </w: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3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661</w:t>
            </w: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3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3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5"/>
        </w:trPr>
        <w:tc>
          <w:tcPr>
            <w:tcW w:w="2860" w:type="dxa"/>
            <w:vAlign w:val="bottom"/>
          </w:tcPr>
          <w:p>
            <w:pPr>
              <w:spacing w:after="0"/>
              <w:rPr>
                <w:sz w:val="20"/>
                <w:szCs w:val="20"/>
                <w:color w:val="auto"/>
              </w:rPr>
            </w:pPr>
            <w:r>
              <w:rPr>
                <w:rFonts w:ascii="Arial" w:cs="Arial" w:eastAsia="Arial" w:hAnsi="Arial"/>
                <w:sz w:val="13"/>
                <w:szCs w:val="13"/>
                <w:b w:val="1"/>
                <w:bCs w:val="1"/>
                <w:color w:val="auto"/>
              </w:rPr>
              <w:t>Derivatives Not Designated as Hedging</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00"/>
              <w:spacing w:after="0"/>
              <w:rPr>
                <w:sz w:val="20"/>
                <w:szCs w:val="20"/>
                <w:color w:val="auto"/>
              </w:rPr>
            </w:pPr>
            <w:r>
              <w:rPr>
                <w:rFonts w:ascii="Arial" w:cs="Arial" w:eastAsia="Arial" w:hAnsi="Arial"/>
                <w:sz w:val="13"/>
                <w:szCs w:val="13"/>
                <w:b w:val="1"/>
                <w:bCs w:val="1"/>
                <w:color w:val="auto"/>
              </w:rPr>
              <w:t>Instruments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8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Prepaid</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708</w:t>
            </w: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Prepaid</w:t>
            </w: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Accrued</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550</w:t>
            </w: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Accrued</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Forward currency contracts</w:t>
            </w: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34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360</w:t>
            </w: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38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327"/>
        </w:trPr>
        <w:tc>
          <w:tcPr>
            <w:tcW w:w="28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Prepaid</w:t>
            </w:r>
          </w:p>
        </w:tc>
        <w:tc>
          <w:tcPr>
            <w:tcW w:w="340" w:type="dxa"/>
            <w:vAlign w:val="bottom"/>
          </w:tcPr>
          <w:p>
            <w:pPr>
              <w:spacing w:after="0"/>
              <w:rPr>
                <w:sz w:val="24"/>
                <w:szCs w:val="2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spacing w:after="0"/>
              <w:rPr>
                <w:sz w:val="20"/>
                <w:szCs w:val="20"/>
                <w:color w:val="auto"/>
              </w:rPr>
            </w:pPr>
            <w:r>
              <w:rPr>
                <w:rFonts w:ascii="Arial" w:cs="Arial" w:eastAsia="Arial" w:hAnsi="Arial"/>
                <w:sz w:val="13"/>
                <w:szCs w:val="13"/>
                <w:color w:val="auto"/>
              </w:rPr>
              <w:t>Prepaid</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Accrued</w:t>
            </w:r>
          </w:p>
        </w:tc>
        <w:tc>
          <w:tcPr>
            <w:tcW w:w="380" w:type="dxa"/>
            <w:vAlign w:val="bottom"/>
          </w:tcPr>
          <w:p>
            <w:pPr>
              <w:spacing w:after="0"/>
              <w:rPr>
                <w:sz w:val="24"/>
                <w:szCs w:val="2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117</w:t>
            </w:r>
          </w:p>
        </w:tc>
        <w:tc>
          <w:tcPr>
            <w:tcW w:w="740" w:type="dxa"/>
            <w:vAlign w:val="bottom"/>
          </w:tcPr>
          <w:p>
            <w:pPr>
              <w:spacing w:after="0"/>
              <w:rPr>
                <w:sz w:val="20"/>
                <w:szCs w:val="20"/>
                <w:color w:val="auto"/>
              </w:rPr>
            </w:pPr>
            <w:r>
              <w:rPr>
                <w:rFonts w:ascii="Arial" w:cs="Arial" w:eastAsia="Arial" w:hAnsi="Arial"/>
                <w:sz w:val="13"/>
                <w:szCs w:val="13"/>
                <w:color w:val="auto"/>
              </w:rPr>
              <w:t>Accrued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Cross currency contract</w:t>
            </w: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expenses</w:t>
            </w:r>
          </w:p>
        </w:tc>
        <w:tc>
          <w:tcPr>
            <w:tcW w:w="3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expenses</w:t>
            </w: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385</w:t>
            </w: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liabilities</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liabilities</w:t>
            </w: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Derivatives</w:t>
            </w: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1,266</w:t>
            </w: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2,041</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8"/>
              </w:rPr>
              <w:t>2,374</w:t>
            </w: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2,114</w:t>
            </w:r>
          </w:p>
        </w:tc>
        <w:tc>
          <w:tcPr>
            <w:tcW w:w="0" w:type="dxa"/>
            <w:vAlign w:val="bottom"/>
          </w:tcPr>
          <w:p>
            <w:pPr>
              <w:spacing w:after="0"/>
              <w:rPr>
                <w:sz w:val="1"/>
                <w:szCs w:val="1"/>
                <w:color w:val="auto"/>
              </w:rPr>
            </w:pPr>
          </w:p>
        </w:tc>
      </w:tr>
      <w:tr>
        <w:trPr>
          <w:trHeight w:val="25"/>
        </w:trPr>
        <w:tc>
          <w:tcPr>
            <w:tcW w:w="2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right="440" w:firstLine="133"/>
        <w:spacing w:after="0" w:line="268" w:lineRule="auto"/>
        <w:rPr>
          <w:sz w:val="20"/>
          <w:szCs w:val="20"/>
          <w:color w:val="auto"/>
        </w:rPr>
      </w:pPr>
      <w:r>
        <w:rPr>
          <w:rFonts w:ascii="Arial" w:cs="Arial" w:eastAsia="Arial" w:hAnsi="Arial"/>
          <w:sz w:val="16"/>
          <w:szCs w:val="16"/>
          <w:color w:val="auto"/>
        </w:rPr>
        <w:t>The following table presents the impact of derivative instruments on the consolidated statements of earnings and the consolidated statements of comprehensive income for the company's derivatives designated as cash flow hedging instruments for the fiscal years ended October 31, 2013 and 2012, respectively.</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Gain (Loss) Recognized</w:t>
            </w: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Gain (Loss)</w:t>
            </w: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color w:val="auto"/>
              </w:rPr>
              <w:t>Location of Gain (Loss) Recognized 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rPr>
              <w:t>in Income on Derivatives</w:t>
            </w: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Recognized in OCI on</w:t>
            </w:r>
          </w:p>
        </w:tc>
        <w:tc>
          <w:tcPr>
            <w:tcW w:w="2240" w:type="dxa"/>
            <w:vAlign w:val="bottom"/>
          </w:tcPr>
          <w:p>
            <w:pPr>
              <w:ind w:left="60"/>
              <w:spacing w:after="0"/>
              <w:rPr>
                <w:sz w:val="20"/>
                <w:szCs w:val="20"/>
                <w:color w:val="auto"/>
              </w:rPr>
            </w:pPr>
            <w:r>
              <w:rPr>
                <w:rFonts w:ascii="Arial" w:cs="Arial" w:eastAsia="Arial" w:hAnsi="Arial"/>
                <w:sz w:val="13"/>
                <w:szCs w:val="13"/>
                <w:color w:val="auto"/>
              </w:rPr>
              <w:t>Location of Gain (Loss) Reclassified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Gain (Loss) Reclassified</w:t>
            </w:r>
          </w:p>
        </w:tc>
        <w:tc>
          <w:tcPr>
            <w:tcW w:w="2360" w:type="dxa"/>
            <w:vAlign w:val="bottom"/>
          </w:tcPr>
          <w:p>
            <w:pPr>
              <w:jc w:val="center"/>
              <w:ind w:left="53"/>
              <w:spacing w:after="0"/>
              <w:rPr>
                <w:sz w:val="20"/>
                <w:szCs w:val="20"/>
                <w:color w:val="auto"/>
              </w:rPr>
            </w:pPr>
            <w:r>
              <w:rPr>
                <w:rFonts w:ascii="Arial" w:cs="Arial" w:eastAsia="Arial" w:hAnsi="Arial"/>
                <w:sz w:val="13"/>
                <w:szCs w:val="13"/>
                <w:color w:val="auto"/>
              </w:rPr>
              <w:t>Income on Derivatives (Ineffective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rPr>
              <w:t>(Ineffective Portion and</w:t>
            </w: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Derivatives, net of tax</w:t>
            </w:r>
          </w:p>
        </w:tc>
        <w:tc>
          <w:tcPr>
            <w:tcW w:w="2240" w:type="dxa"/>
            <w:vAlign w:val="bottom"/>
          </w:tcPr>
          <w:p>
            <w:pPr>
              <w:jc w:val="center"/>
              <w:ind w:left="33"/>
              <w:spacing w:after="0"/>
              <w:rPr>
                <w:sz w:val="20"/>
                <w:szCs w:val="20"/>
                <w:color w:val="auto"/>
              </w:rPr>
            </w:pPr>
            <w:r>
              <w:rPr>
                <w:rFonts w:ascii="Arial" w:cs="Arial" w:eastAsia="Arial" w:hAnsi="Arial"/>
                <w:sz w:val="13"/>
                <w:szCs w:val="13"/>
                <w:color w:val="auto"/>
              </w:rPr>
              <w:t>from AOCL into Income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from AOCL into Income</w:t>
            </w:r>
          </w:p>
        </w:tc>
        <w:tc>
          <w:tcPr>
            <w:tcW w:w="2360" w:type="dxa"/>
            <w:vAlign w:val="bottom"/>
          </w:tcPr>
          <w:p>
            <w:pPr>
              <w:jc w:val="center"/>
              <w:ind w:left="53"/>
              <w:spacing w:after="0"/>
              <w:rPr>
                <w:sz w:val="20"/>
                <w:szCs w:val="20"/>
                <w:color w:val="auto"/>
              </w:rPr>
            </w:pPr>
            <w:r>
              <w:rPr>
                <w:rFonts w:ascii="Arial" w:cs="Arial" w:eastAsia="Arial" w:hAnsi="Arial"/>
                <w:sz w:val="13"/>
                <w:szCs w:val="13"/>
                <w:color w:val="auto"/>
              </w:rPr>
              <w:t>Portion and excluded from</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rPr>
              <w:t>Excluded from</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(Effective Portion)</w:t>
            </w:r>
          </w:p>
        </w:tc>
        <w:tc>
          <w:tcPr>
            <w:tcW w:w="2240" w:type="dxa"/>
            <w:vAlign w:val="bottom"/>
          </w:tcPr>
          <w:p>
            <w:pPr>
              <w:jc w:val="center"/>
              <w:ind w:left="33"/>
              <w:spacing w:after="0"/>
              <w:rPr>
                <w:sz w:val="20"/>
                <w:szCs w:val="20"/>
                <w:color w:val="auto"/>
              </w:rPr>
            </w:pPr>
            <w:r>
              <w:rPr>
                <w:rFonts w:ascii="Arial" w:cs="Arial" w:eastAsia="Arial" w:hAnsi="Arial"/>
                <w:sz w:val="13"/>
                <w:szCs w:val="13"/>
                <w:color w:val="auto"/>
              </w:rPr>
              <w:t>(Effective Portion)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3"/>
                <w:szCs w:val="13"/>
                <w:color w:val="auto"/>
              </w:rPr>
              <w:t>(Effective Portion)</w:t>
            </w:r>
          </w:p>
        </w:tc>
        <w:tc>
          <w:tcPr>
            <w:tcW w:w="2360" w:type="dxa"/>
            <w:vAlign w:val="bottom"/>
          </w:tcPr>
          <w:p>
            <w:pPr>
              <w:jc w:val="center"/>
              <w:ind w:left="33"/>
              <w:spacing w:after="0"/>
              <w:rPr>
                <w:sz w:val="20"/>
                <w:szCs w:val="20"/>
                <w:color w:val="auto"/>
              </w:rPr>
            </w:pPr>
            <w:r>
              <w:rPr>
                <w:rFonts w:ascii="Arial" w:cs="Arial" w:eastAsia="Arial" w:hAnsi="Arial"/>
                <w:sz w:val="13"/>
                <w:szCs w:val="13"/>
                <w:color w:val="auto"/>
              </w:rPr>
              <w:t>Effectiveness Testing)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rPr>
              <w:t>Effectiveness Testing)</w:t>
            </w:r>
          </w:p>
        </w:tc>
        <w:tc>
          <w:tcPr>
            <w:tcW w:w="0" w:type="dxa"/>
            <w:vAlign w:val="bottom"/>
          </w:tcPr>
          <w:p>
            <w:pPr>
              <w:spacing w:after="0"/>
              <w:rPr>
                <w:sz w:val="1"/>
                <w:szCs w:val="1"/>
                <w:color w:val="auto"/>
              </w:rPr>
            </w:pPr>
          </w:p>
        </w:tc>
      </w:tr>
      <w:tr>
        <w:trPr>
          <w:trHeight w:val="139"/>
        </w:trPr>
        <w:tc>
          <w:tcPr>
            <w:tcW w:w="720" w:type="dxa"/>
            <w:vAlign w:val="bottom"/>
          </w:tcPr>
          <w:p>
            <w:pPr>
              <w:spacing w:after="0" w:line="139" w:lineRule="exact"/>
              <w:rPr>
                <w:sz w:val="20"/>
                <w:szCs w:val="20"/>
                <w:color w:val="auto"/>
              </w:rPr>
            </w:pPr>
            <w:r>
              <w:rPr>
                <w:rFonts w:ascii="Arial" w:cs="Arial" w:eastAsia="Arial" w:hAnsi="Arial"/>
                <w:sz w:val="13"/>
                <w:szCs w:val="13"/>
                <w:color w:val="auto"/>
              </w:rPr>
              <w:t>Fiscal</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3"/>
                <w:szCs w:val="13"/>
                <w:b w:val="1"/>
                <w:bCs w:val="1"/>
                <w:color w:val="auto"/>
              </w:rPr>
              <w:t>October 31,</w:t>
            </w: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rPr>
              <w:t>October 31,</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rPr>
              <w:t>October 31,</w:t>
            </w: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20"/>
                <w:szCs w:val="20"/>
                <w:color w:val="auto"/>
              </w:rPr>
            </w:pPr>
            <w:r>
              <w:rPr>
                <w:rFonts w:ascii="Arial" w:cs="Arial" w:eastAsia="Arial" w:hAnsi="Arial"/>
                <w:sz w:val="13"/>
                <w:szCs w:val="13"/>
                <w:color w:val="auto"/>
              </w:rPr>
              <w:t>years</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rPr>
              <w:t>October 31,</w:t>
            </w: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October 31,</w:t>
            </w: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October 31</w:t>
            </w:r>
          </w:p>
        </w:tc>
        <w:tc>
          <w:tcPr>
            <w:tcW w:w="0" w:type="dxa"/>
            <w:vAlign w:val="bottom"/>
          </w:tcPr>
          <w:p>
            <w:pPr>
              <w:spacing w:after="0"/>
              <w:rPr>
                <w:sz w:val="1"/>
                <w:szCs w:val="1"/>
                <w:color w:val="auto"/>
              </w:rPr>
            </w:pPr>
          </w:p>
        </w:tc>
      </w:tr>
      <w:tr>
        <w:trPr>
          <w:trHeight w:val="189"/>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ended</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2012</w:t>
            </w:r>
          </w:p>
        </w:tc>
        <w:tc>
          <w:tcPr>
            <w:tcW w:w="2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2012</w:t>
            </w:r>
          </w:p>
        </w:tc>
        <w:tc>
          <w:tcPr>
            <w:tcW w:w="2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30"/>
        </w:trPr>
        <w:tc>
          <w:tcPr>
            <w:tcW w:w="720" w:type="dxa"/>
            <w:vAlign w:val="bottom"/>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Forward</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currency</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7 </w:t>
            </w:r>
            <w:r>
              <w:rPr>
                <w:rFonts w:ascii="Arial" w:cs="Arial" w:eastAsia="Arial" w:hAnsi="Arial"/>
                <w:sz w:val="13"/>
                <w:szCs w:val="13"/>
                <w:color w:val="auto"/>
              </w:rPr>
              <w:t>$</w:t>
            </w:r>
          </w:p>
        </w:tc>
        <w:tc>
          <w:tcPr>
            <w:tcW w:w="2980" w:type="dxa"/>
            <w:vAlign w:val="bottom"/>
            <w:gridSpan w:val="3"/>
            <w:vMerge w:val="restart"/>
            <w:shd w:val="clear" w:color="auto" w:fill="CCEEFF"/>
          </w:tcPr>
          <w:p>
            <w:pPr>
              <w:ind w:left="320"/>
              <w:spacing w:after="0"/>
              <w:rPr>
                <w:sz w:val="20"/>
                <w:szCs w:val="20"/>
                <w:color w:val="auto"/>
              </w:rPr>
            </w:pPr>
            <w:r>
              <w:rPr>
                <w:rFonts w:ascii="Arial" w:cs="Arial" w:eastAsia="Arial" w:hAnsi="Arial"/>
                <w:sz w:val="13"/>
                <w:szCs w:val="13"/>
                <w:color w:val="auto"/>
              </w:rPr>
              <w:t>(1,751)</w:t>
            </w:r>
            <w:r>
              <w:rPr>
                <w:rFonts w:ascii="Arial" w:cs="Arial" w:eastAsia="Arial" w:hAnsi="Arial"/>
                <w:sz w:val="13"/>
                <w:szCs w:val="13"/>
                <w:b w:val="1"/>
                <w:bCs w:val="1"/>
                <w:color w:val="auto"/>
              </w:rPr>
              <w:t>Net sales</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(805)</w:t>
            </w:r>
            <w:r>
              <w:rPr>
                <w:rFonts w:ascii="Arial" w:cs="Arial" w:eastAsia="Arial" w:hAnsi="Arial"/>
                <w:sz w:val="13"/>
                <w:szCs w:val="13"/>
                <w:color w:val="auto"/>
              </w:rPr>
              <w:t>$</w:t>
            </w:r>
          </w:p>
        </w:tc>
        <w:tc>
          <w:tcPr>
            <w:tcW w:w="3120" w:type="dxa"/>
            <w:vAlign w:val="bottom"/>
            <w:gridSpan w:val="3"/>
            <w:vMerge w:val="restart"/>
            <w:shd w:val="clear" w:color="auto" w:fill="CCEEFF"/>
          </w:tcPr>
          <w:p>
            <w:pPr>
              <w:ind w:left="340"/>
              <w:spacing w:after="0"/>
              <w:rPr>
                <w:sz w:val="20"/>
                <w:szCs w:val="20"/>
                <w:color w:val="auto"/>
              </w:rPr>
            </w:pPr>
            <w:r>
              <w:rPr>
                <w:rFonts w:ascii="Arial" w:cs="Arial" w:eastAsia="Arial" w:hAnsi="Arial"/>
                <w:sz w:val="13"/>
                <w:szCs w:val="13"/>
                <w:color w:val="auto"/>
              </w:rPr>
              <w:t>(3,561)</w:t>
            </w:r>
            <w:r>
              <w:rPr>
                <w:rFonts w:ascii="Arial" w:cs="Arial" w:eastAsia="Arial" w:hAnsi="Arial"/>
                <w:sz w:val="13"/>
                <w:szCs w:val="13"/>
                <w:b w:val="1"/>
                <w:bCs w:val="1"/>
                <w:color w:val="auto"/>
              </w:rPr>
              <w:t>Other income, net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648 </w:t>
            </w:r>
            <w:r>
              <w:rPr>
                <w:rFonts w:ascii="Arial" w:cs="Arial" w:eastAsia="Arial" w:hAnsi="Arial"/>
                <w:sz w:val="13"/>
                <w:szCs w:val="13"/>
                <w:color w:val="auto"/>
              </w:rPr>
              <w:t>$</w:t>
            </w: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contracts $</w:t>
            </w:r>
          </w:p>
        </w:tc>
        <w:tc>
          <w:tcPr>
            <w:tcW w:w="880" w:type="dxa"/>
            <w:vAlign w:val="bottom"/>
            <w:vMerge w:val="continue"/>
            <w:shd w:val="clear" w:color="auto" w:fill="CCEEFF"/>
          </w:tcPr>
          <w:p>
            <w:pPr>
              <w:spacing w:after="0"/>
              <w:rPr>
                <w:sz w:val="14"/>
                <w:szCs w:val="14"/>
                <w:color w:val="auto"/>
              </w:rPr>
            </w:pPr>
          </w:p>
        </w:tc>
        <w:tc>
          <w:tcPr>
            <w:tcW w:w="2980" w:type="dxa"/>
            <w:vAlign w:val="bottom"/>
            <w:gridSpan w:val="3"/>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120" w:type="dxa"/>
            <w:vAlign w:val="bottom"/>
            <w:gridSpan w:val="3"/>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5"/>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Forward</w:t>
            </w: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currency</w:t>
            </w:r>
          </w:p>
        </w:tc>
        <w:tc>
          <w:tcPr>
            <w:tcW w:w="80" w:type="dxa"/>
            <w:vAlign w:val="bottom"/>
          </w:tcPr>
          <w:p>
            <w:pPr>
              <w:spacing w:after="0"/>
              <w:rPr>
                <w:sz w:val="13"/>
                <w:szCs w:val="13"/>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(231)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Cost of sales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473</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contracts</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1,194</w:t>
            </w:r>
          </w:p>
        </w:tc>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1,500</w:t>
            </w:r>
          </w:p>
        </w:tc>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Cross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currency</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(680)</w:t>
            </w: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Other income, net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(639)</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contracts</w:t>
            </w: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463</w:t>
            </w:r>
          </w:p>
        </w:tc>
        <w:tc>
          <w:tcPr>
            <w:tcW w:w="22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2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(904)</w:t>
            </w: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40" w:type="dxa"/>
            <w:vAlign w:val="bottom"/>
            <w:tcBorders>
              <w:bottom w:val="single" w:sz="8" w:color="auto"/>
            </w:tcBorders>
            <w:vMerge w:val="continue"/>
          </w:tcPr>
          <w:p>
            <w:pPr>
              <w:spacing w:after="0"/>
              <w:rPr>
                <w:sz w:val="14"/>
                <w:szCs w:val="14"/>
                <w:color w:val="auto"/>
              </w:rPr>
            </w:pPr>
          </w:p>
        </w:tc>
        <w:tc>
          <w:tcPr>
            <w:tcW w:w="2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(971)</w:t>
            </w: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(1,928)</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October 31, 2013, the company anticipates to reclassify approximately $1,338 of losses from AOCL to earnings during the next twelve months.</w:t>
      </w:r>
    </w:p>
    <w:p>
      <w:pPr>
        <w:spacing w:after="0" w:line="205" w:lineRule="exact"/>
        <w:rPr>
          <w:sz w:val="20"/>
          <w:szCs w:val="20"/>
          <w:color w:val="auto"/>
        </w:rPr>
      </w:pPr>
    </w:p>
    <w:p>
      <w:pPr>
        <w:ind w:right="100" w:firstLine="133"/>
        <w:spacing w:after="0" w:line="291" w:lineRule="auto"/>
        <w:rPr>
          <w:sz w:val="20"/>
          <w:szCs w:val="20"/>
          <w:color w:val="auto"/>
        </w:rPr>
      </w:pPr>
      <w:r>
        <w:rPr>
          <w:rFonts w:ascii="Arial" w:cs="Arial" w:eastAsia="Arial" w:hAnsi="Arial"/>
          <w:sz w:val="16"/>
          <w:szCs w:val="16"/>
          <w:color w:val="auto"/>
        </w:rPr>
        <w:t>The following table presents the impact of derivative instruments on the consolidated statements of earnings for the company's derivatives not designated as hedging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60" w:type="dxa"/>
            <w:vAlign w:val="bottom"/>
            <w:tcBorders>
              <w:top w:val="single" w:sz="8" w:color="auto"/>
            </w:tcBorders>
          </w:tcPr>
          <w:p>
            <w:pPr>
              <w:spacing w:after="0"/>
              <w:rPr>
                <w:sz w:val="13"/>
                <w:szCs w:val="13"/>
                <w:color w:val="auto"/>
              </w:rPr>
            </w:pPr>
          </w:p>
        </w:tc>
        <w:tc>
          <w:tcPr>
            <w:tcW w:w="4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rPr>
              <w:t>Gain (Loss) Recognized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color w:val="auto"/>
              </w:rPr>
              <w:t>in Net Earnings</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color w:val="auto"/>
              </w:rPr>
              <w:t>Fiscal Year Ended</w:t>
            </w: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4580" w:type="dxa"/>
            <w:vAlign w:val="bottom"/>
          </w:tcPr>
          <w:p>
            <w:pPr>
              <w:ind w:left="3180"/>
              <w:spacing w:after="0" w:line="139" w:lineRule="exact"/>
              <w:rPr>
                <w:sz w:val="20"/>
                <w:szCs w:val="20"/>
                <w:color w:val="auto"/>
              </w:rPr>
            </w:pPr>
            <w:r>
              <w:rPr>
                <w:rFonts w:ascii="Arial" w:cs="Arial" w:eastAsia="Arial" w:hAnsi="Arial"/>
                <w:sz w:val="13"/>
                <w:szCs w:val="13"/>
                <w:color w:val="auto"/>
              </w:rPr>
              <w:t>Location of Gain</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4580" w:type="dxa"/>
            <w:vAlign w:val="bottom"/>
          </w:tcPr>
          <w:p>
            <w:pPr>
              <w:ind w:left="3180"/>
              <w:spacing w:after="0"/>
              <w:rPr>
                <w:sz w:val="20"/>
                <w:szCs w:val="20"/>
                <w:color w:val="auto"/>
              </w:rPr>
            </w:pPr>
            <w:r>
              <w:rPr>
                <w:rFonts w:ascii="Arial" w:cs="Arial" w:eastAsia="Arial" w:hAnsi="Arial"/>
                <w:sz w:val="13"/>
                <w:szCs w:val="13"/>
                <w:color w:val="auto"/>
              </w:rPr>
              <w:t>(Loss)</w:t>
            </w:r>
          </w:p>
        </w:tc>
        <w:tc>
          <w:tcPr>
            <w:tcW w:w="80" w:type="dxa"/>
            <w:vAlign w:val="bottom"/>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7"/>
              </w:rPr>
              <w:t>October 31,</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580" w:type="dxa"/>
            <w:vAlign w:val="bottom"/>
          </w:tcPr>
          <w:p>
            <w:pPr>
              <w:ind w:left="3180"/>
              <w:spacing w:after="0"/>
              <w:rPr>
                <w:sz w:val="20"/>
                <w:szCs w:val="20"/>
                <w:color w:val="auto"/>
              </w:rPr>
            </w:pPr>
            <w:r>
              <w:rPr>
                <w:rFonts w:ascii="Arial" w:cs="Arial" w:eastAsia="Arial" w:hAnsi="Arial"/>
                <w:sz w:val="13"/>
                <w:szCs w:val="13"/>
                <w:color w:val="auto"/>
              </w:rPr>
              <w:t>Recognized in Net</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October 31,</w:t>
            </w:r>
          </w:p>
        </w:tc>
        <w:tc>
          <w:tcPr>
            <w:tcW w:w="0" w:type="dxa"/>
            <w:vAlign w:val="bottom"/>
          </w:tcPr>
          <w:p>
            <w:pPr>
              <w:spacing w:after="0"/>
              <w:rPr>
                <w:sz w:val="1"/>
                <w:szCs w:val="1"/>
                <w:color w:val="auto"/>
              </w:rPr>
            </w:pPr>
          </w:p>
        </w:tc>
      </w:tr>
      <w:tr>
        <w:trPr>
          <w:trHeight w:val="189"/>
        </w:trPr>
        <w:tc>
          <w:tcPr>
            <w:tcW w:w="49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tcPr>
          <w:p>
            <w:pPr>
              <w:ind w:left="3180"/>
              <w:spacing w:after="0"/>
              <w:rPr>
                <w:sz w:val="20"/>
                <w:szCs w:val="20"/>
                <w:color w:val="auto"/>
              </w:rPr>
            </w:pPr>
            <w:r>
              <w:rPr>
                <w:rFonts w:ascii="Arial" w:cs="Arial" w:eastAsia="Arial" w:hAnsi="Arial"/>
                <w:sz w:val="13"/>
                <w:szCs w:val="13"/>
                <w:color w:val="auto"/>
              </w:rPr>
              <w:t>Earnings</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9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Forward currency contracts</w:t>
            </w:r>
          </w:p>
        </w:tc>
        <w:tc>
          <w:tcPr>
            <w:tcW w:w="4580" w:type="dxa"/>
            <w:vAlign w:val="bottom"/>
            <w:shd w:val="clear" w:color="auto" w:fill="CCEEFF"/>
          </w:tcPr>
          <w:p>
            <w:pPr>
              <w:ind w:left="3180"/>
              <w:spacing w:after="0" w:line="143" w:lineRule="exact"/>
              <w:rPr>
                <w:sz w:val="20"/>
                <w:szCs w:val="20"/>
                <w:color w:val="auto"/>
              </w:rPr>
            </w:pPr>
            <w:r>
              <w:rPr>
                <w:rFonts w:ascii="Arial" w:cs="Arial" w:eastAsia="Arial" w:hAnsi="Arial"/>
                <w:sz w:val="13"/>
                <w:szCs w:val="13"/>
                <w:b w:val="1"/>
                <w:bCs w:val="1"/>
                <w:color w:val="auto"/>
              </w:rPr>
              <w:t>Other income,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(1,402)</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4,165</w:t>
            </w:r>
          </w:p>
        </w:tc>
        <w:tc>
          <w:tcPr>
            <w:tcW w:w="0" w:type="dxa"/>
            <w:vAlign w:val="bottom"/>
          </w:tcPr>
          <w:p>
            <w:pPr>
              <w:spacing w:after="0"/>
              <w:rPr>
                <w:sz w:val="1"/>
                <w:szCs w:val="1"/>
                <w:color w:val="auto"/>
              </w:rPr>
            </w:pPr>
          </w:p>
        </w:tc>
      </w:tr>
      <w:tr>
        <w:trPr>
          <w:trHeight w:val="176"/>
        </w:trPr>
        <w:tc>
          <w:tcPr>
            <w:tcW w:w="4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Cross currency contracts</w:t>
            </w:r>
          </w:p>
        </w:tc>
        <w:tc>
          <w:tcPr>
            <w:tcW w:w="4580" w:type="dxa"/>
            <w:vAlign w:val="bottom"/>
            <w:tcBorders>
              <w:bottom w:val="single" w:sz="8" w:color="auto"/>
            </w:tcBorders>
          </w:tcPr>
          <w:p>
            <w:pPr>
              <w:ind w:left="3180"/>
              <w:spacing w:after="0"/>
              <w:rPr>
                <w:sz w:val="20"/>
                <w:szCs w:val="20"/>
                <w:color w:val="auto"/>
              </w:rPr>
            </w:pPr>
            <w:r>
              <w:rPr>
                <w:rFonts w:ascii="Arial" w:cs="Arial" w:eastAsia="Arial" w:hAnsi="Arial"/>
                <w:sz w:val="13"/>
                <w:szCs w:val="13"/>
                <w:b w:val="1"/>
                <w:bCs w:val="1"/>
                <w:color w:val="auto"/>
              </w:rPr>
              <w:t>Other income, net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(483)</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w:t>
            </w:r>
          </w:p>
        </w:tc>
        <w:tc>
          <w:tcPr>
            <w:tcW w:w="4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(1,885)</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4,544</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136"/>
        <w:spacing w:after="0" w:line="257" w:lineRule="auto"/>
        <w:rPr>
          <w:sz w:val="20"/>
          <w:szCs w:val="20"/>
          <w:color w:val="auto"/>
        </w:rPr>
      </w:pPr>
      <w:r>
        <w:rPr>
          <w:rFonts w:ascii="Arial" w:cs="Arial" w:eastAsia="Arial" w:hAnsi="Arial"/>
          <w:sz w:val="16"/>
          <w:szCs w:val="16"/>
          <w:color w:val="auto"/>
        </w:rPr>
        <w:t>During the second quarter of fiscal 2007, the company entered into three treasury lock agreements based on a 30-year U.S. Treasury security with a principal balance of $30,000 each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AOCL, and will be amortized to interest expense over the 30-year term of the senior notes. The unrecognized loss portion of the fair value of these agreements in AOCL as of October 31, 2013 and 2012 was $143 and $149,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0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Level 1 – Unadjusted quoted prices in active markets for identical assets or liabilities.</w:t>
      </w:r>
    </w:p>
    <w:p>
      <w:pPr>
        <w:spacing w:after="0" w:line="205" w:lineRule="exact"/>
        <w:rPr>
          <w:sz w:val="20"/>
          <w:szCs w:val="20"/>
          <w:color w:val="auto"/>
        </w:rPr>
      </w:pPr>
    </w:p>
    <w:p>
      <w:pPr>
        <w:ind w:right="120" w:firstLine="136"/>
        <w:spacing w:after="0" w:line="268"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Level 3 – Unobservable inputs reflecting management's assumptions about the inputs used in pricing the asset or liability.</w:t>
      </w:r>
    </w:p>
    <w:p>
      <w:pPr>
        <w:spacing w:after="0" w:line="205" w:lineRule="exact"/>
        <w:rPr>
          <w:sz w:val="20"/>
          <w:szCs w:val="20"/>
          <w:color w:val="auto"/>
        </w:rPr>
      </w:pPr>
    </w:p>
    <w:p>
      <w:pPr>
        <w:ind w:right="140" w:firstLine="136"/>
        <w:spacing w:after="0" w:line="253"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w:t>
      </w:r>
    </w:p>
    <w:p>
      <w:pPr>
        <w:sectPr>
          <w:pgSz w:w="11900" w:h="16838" w:orient="portrait"/>
          <w:cols w:equalWidth="0" w:num="1">
            <w:col w:w="11520"/>
          </w:cols>
          <w:pgMar w:left="240" w:top="122" w:right="139" w:bottom="1440" w:gutter="0" w:footer="0" w:header="0"/>
        </w:sectPr>
      </w:pP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carrying amounts are a reasonable estimate of fair value given their short-term nature.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Assets and liabilities measured at fair value on a recurring basis, as of October 31, 2013 and 2012, respectively, are summarized below:</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October 31, 2013</w:t>
            </w:r>
          </w:p>
        </w:tc>
        <w:tc>
          <w:tcPr>
            <w:tcW w:w="3160" w:type="dxa"/>
            <w:vAlign w:val="bottom"/>
          </w:tcPr>
          <w:p>
            <w:pPr>
              <w:spacing w:after="0"/>
              <w:rPr>
                <w:sz w:val="11"/>
                <w:szCs w:val="11"/>
                <w:color w:val="auto"/>
              </w:rPr>
            </w:pPr>
          </w:p>
        </w:tc>
        <w:tc>
          <w:tcPr>
            <w:tcW w:w="560" w:type="dxa"/>
            <w:vAlign w:val="bottom"/>
          </w:tcPr>
          <w:p>
            <w:pPr>
              <w:jc w:val="right"/>
              <w:ind w:right="13"/>
              <w:spacing w:after="0" w:line="132" w:lineRule="exact"/>
              <w:rPr>
                <w:sz w:val="20"/>
                <w:szCs w:val="20"/>
                <w:color w:val="auto"/>
              </w:rPr>
            </w:pPr>
            <w:r>
              <w:rPr>
                <w:rFonts w:ascii="Arial" w:cs="Arial" w:eastAsia="Arial" w:hAnsi="Arial"/>
                <w:sz w:val="13"/>
                <w:szCs w:val="13"/>
                <w:color w:val="auto"/>
              </w:rPr>
              <w:t>Fair</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280" w:type="dxa"/>
            <w:vAlign w:val="bottom"/>
            <w:gridSpan w:val="2"/>
            <w:vMerge w:val="continue"/>
          </w:tcPr>
          <w:p>
            <w:pPr>
              <w:spacing w:after="0"/>
              <w:rPr>
                <w:sz w:val="16"/>
                <w:szCs w:val="16"/>
                <w:color w:val="auto"/>
              </w:rPr>
            </w:pPr>
          </w:p>
        </w:tc>
        <w:tc>
          <w:tcPr>
            <w:tcW w:w="316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Value</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Level 1</w:t>
            </w:r>
          </w:p>
        </w:tc>
        <w:tc>
          <w:tcPr>
            <w:tcW w:w="160" w:type="dxa"/>
            <w:vAlign w:val="bottom"/>
          </w:tcPr>
          <w:p>
            <w:pPr>
              <w:spacing w:after="0"/>
              <w:rPr>
                <w:sz w:val="16"/>
                <w:szCs w:val="16"/>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w w:val="95"/>
              </w:rPr>
              <w:t>Level 2</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Assets:</w:t>
            </w:r>
          </w:p>
        </w:tc>
        <w:tc>
          <w:tcPr>
            <w:tcW w:w="3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ind w:left="100"/>
              <w:spacing w:after="0"/>
              <w:rPr>
                <w:sz w:val="20"/>
                <w:szCs w:val="20"/>
                <w:color w:val="auto"/>
              </w:rPr>
            </w:pPr>
            <w:r>
              <w:rPr>
                <w:rFonts w:ascii="Arial" w:cs="Arial" w:eastAsia="Arial" w:hAnsi="Arial"/>
                <w:sz w:val="13"/>
                <w:szCs w:val="13"/>
                <w:b w:val="1"/>
                <w:bCs w:val="1"/>
                <w:color w:val="auto"/>
              </w:rPr>
              <w:t>Cash and cash equivalents</w:t>
            </w:r>
          </w:p>
        </w:tc>
        <w:tc>
          <w:tcPr>
            <w:tcW w:w="3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w w:val="97"/>
              </w:rPr>
              <w:t>182,993</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$182,993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Forward currency contracts</w:t>
            </w:r>
          </w:p>
        </w:tc>
        <w:tc>
          <w:tcPr>
            <w:tcW w:w="3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1,266</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1,266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 assets</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7"/>
              </w:rPr>
              <w:t>184,259</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$182,993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1,266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60" w:type="dxa"/>
            <w:vAlign w:val="bottom"/>
          </w:tcPr>
          <w:p>
            <w:pPr>
              <w:spacing w:after="0" w:line="143" w:lineRule="exact"/>
              <w:rPr>
                <w:sz w:val="20"/>
                <w:szCs w:val="20"/>
                <w:color w:val="auto"/>
              </w:rPr>
            </w:pPr>
            <w:r>
              <w:rPr>
                <w:rFonts w:ascii="Arial" w:cs="Arial" w:eastAsia="Arial" w:hAnsi="Arial"/>
                <w:sz w:val="13"/>
                <w:szCs w:val="13"/>
                <w:b w:val="1"/>
                <w:bCs w:val="1"/>
                <w:color w:val="auto"/>
              </w:rPr>
              <w:t>Liabilities:</w:t>
            </w:r>
          </w:p>
        </w:tc>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Forward currency contracts</w:t>
            </w:r>
          </w:p>
        </w:tc>
        <w:tc>
          <w:tcPr>
            <w:tcW w:w="3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1,931</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1,931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ind w:left="100"/>
              <w:spacing w:after="0"/>
              <w:rPr>
                <w:sz w:val="20"/>
                <w:szCs w:val="20"/>
                <w:color w:val="auto"/>
              </w:rPr>
            </w:pPr>
            <w:r>
              <w:rPr>
                <w:rFonts w:ascii="Arial" w:cs="Arial" w:eastAsia="Arial" w:hAnsi="Arial"/>
                <w:sz w:val="13"/>
                <w:szCs w:val="13"/>
                <w:b w:val="1"/>
                <w:bCs w:val="1"/>
                <w:color w:val="auto"/>
              </w:rPr>
              <w:t>Cross currency contracts</w:t>
            </w:r>
          </w:p>
        </w:tc>
        <w:tc>
          <w:tcPr>
            <w:tcW w:w="316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443</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b w:val="1"/>
                <w:bCs w:val="1"/>
                <w:color w:val="auto"/>
              </w:rPr>
              <w:t>443</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Deferred compensation liabilities</w:t>
            </w:r>
          </w:p>
        </w:tc>
        <w:tc>
          <w:tcPr>
            <w:tcW w:w="3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2,777</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2,777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Total liabilities</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5,151</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5,151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0" w:type="dxa"/>
            <w:vAlign w:val="bottom"/>
          </w:tcPr>
          <w:p>
            <w:pPr>
              <w:jc w:val="right"/>
              <w:ind w:right="13"/>
              <w:spacing w:after="0" w:line="132" w:lineRule="exact"/>
              <w:rPr>
                <w:sz w:val="20"/>
                <w:szCs w:val="20"/>
                <w:color w:val="auto"/>
              </w:rPr>
            </w:pPr>
            <w:r>
              <w:rPr>
                <w:rFonts w:ascii="Arial" w:cs="Arial" w:eastAsia="Arial" w:hAnsi="Arial"/>
                <w:sz w:val="13"/>
                <w:szCs w:val="13"/>
                <w:color w:val="auto"/>
              </w:rPr>
              <w:t>Fair</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280" w:type="dxa"/>
            <w:vAlign w:val="bottom"/>
            <w:gridSpan w:val="2"/>
          </w:tcPr>
          <w:p>
            <w:pPr>
              <w:spacing w:after="0"/>
              <w:rPr>
                <w:sz w:val="20"/>
                <w:szCs w:val="20"/>
                <w:color w:val="auto"/>
              </w:rPr>
            </w:pPr>
            <w:r>
              <w:rPr>
                <w:rFonts w:ascii="Arial" w:cs="Arial" w:eastAsia="Arial" w:hAnsi="Arial"/>
                <w:sz w:val="13"/>
                <w:szCs w:val="13"/>
                <w:color w:val="auto"/>
              </w:rPr>
              <w:t>October 31, 2012</w:t>
            </w:r>
          </w:p>
        </w:tc>
        <w:tc>
          <w:tcPr>
            <w:tcW w:w="316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Value</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Level 1</w:t>
            </w:r>
          </w:p>
        </w:tc>
        <w:tc>
          <w:tcPr>
            <w:tcW w:w="16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w w:val="95"/>
              </w:rPr>
              <w:t>Level 2</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Assets:</w:t>
            </w:r>
          </w:p>
        </w:tc>
        <w:tc>
          <w:tcPr>
            <w:tcW w:w="3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3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w w:val="97"/>
              </w:rPr>
              <w:t>125,856</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$125,856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Forward currency contracts</w:t>
            </w:r>
          </w:p>
        </w:tc>
        <w:tc>
          <w:tcPr>
            <w:tcW w:w="3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995</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995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100"/>
              <w:spacing w:after="0"/>
              <w:rPr>
                <w:sz w:val="20"/>
                <w:szCs w:val="20"/>
                <w:color w:val="auto"/>
              </w:rPr>
            </w:pPr>
            <w:r>
              <w:rPr>
                <w:rFonts w:ascii="Arial" w:cs="Arial" w:eastAsia="Arial" w:hAnsi="Arial"/>
                <w:sz w:val="13"/>
                <w:szCs w:val="13"/>
                <w:color w:val="auto"/>
              </w:rPr>
              <w:t>Cross currency contracts</w:t>
            </w:r>
          </w:p>
        </w:tc>
        <w:tc>
          <w:tcPr>
            <w:tcW w:w="316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1,046</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1,046</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rPr>
              <w:t>Total assets</w:t>
            </w:r>
          </w:p>
        </w:tc>
        <w:tc>
          <w:tcPr>
            <w:tcW w:w="3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97"/>
              </w:rPr>
              <w:t>127,897</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$125,856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2,041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60" w:type="dxa"/>
            <w:vAlign w:val="bottom"/>
          </w:tcPr>
          <w:p>
            <w:pPr>
              <w:spacing w:after="0" w:line="143" w:lineRule="exact"/>
              <w:rPr>
                <w:sz w:val="20"/>
                <w:szCs w:val="20"/>
                <w:color w:val="auto"/>
              </w:rPr>
            </w:pPr>
            <w:r>
              <w:rPr>
                <w:rFonts w:ascii="Arial" w:cs="Arial" w:eastAsia="Arial" w:hAnsi="Arial"/>
                <w:sz w:val="13"/>
                <w:szCs w:val="13"/>
                <w:color w:val="auto"/>
              </w:rPr>
              <w:t>Liabilities:</w:t>
            </w:r>
          </w:p>
        </w:tc>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Forward currency contracts</w:t>
            </w:r>
          </w:p>
        </w:tc>
        <w:tc>
          <w:tcPr>
            <w:tcW w:w="3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2,114</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2,114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compensation liabilities</w:t>
            </w:r>
          </w:p>
        </w:tc>
        <w:tc>
          <w:tcPr>
            <w:tcW w:w="3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3,547</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3,547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liabilities</w:t>
            </w:r>
          </w:p>
        </w:tc>
        <w:tc>
          <w:tcPr>
            <w:tcW w:w="3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5,661</w:t>
            </w:r>
          </w:p>
        </w:tc>
        <w:tc>
          <w:tcPr>
            <w:tcW w:w="72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3"/>
              <w:spacing w:after="0" w:line="143" w:lineRule="exact"/>
              <w:rPr>
                <w:sz w:val="20"/>
                <w:szCs w:val="20"/>
                <w:color w:val="auto"/>
              </w:rPr>
            </w:pPr>
            <w:r>
              <w:rPr>
                <w:rFonts w:ascii="Arial" w:cs="Arial" w:eastAsia="Arial" w:hAnsi="Arial"/>
                <w:sz w:val="13"/>
                <w:szCs w:val="13"/>
                <w:color w:val="auto"/>
              </w:rPr>
              <w:t>5,661</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There were no transfers between Level 1 and Level 2 during the fiscal years ended October 31, 2013 and 2012.</w:t>
      </w:r>
    </w:p>
    <w:p>
      <w:pPr>
        <w:spacing w:after="0" w:line="205" w:lineRule="exact"/>
        <w:rPr>
          <w:sz w:val="20"/>
          <w:szCs w:val="20"/>
          <w:color w:val="auto"/>
        </w:rPr>
      </w:pPr>
    </w:p>
    <w:p>
      <w:pPr>
        <w:ind w:firstLine="127"/>
        <w:spacing w:after="0" w:line="260" w:lineRule="auto"/>
        <w:rPr>
          <w:sz w:val="20"/>
          <w:szCs w:val="20"/>
          <w:color w:val="auto"/>
        </w:rPr>
      </w:pPr>
      <w:r>
        <w:rPr>
          <w:rFonts w:ascii="Arial" w:cs="Arial" w:eastAsia="Arial" w:hAnsi="Arial"/>
          <w:sz w:val="16"/>
          <w:szCs w:val="16"/>
          <w:color w:val="auto"/>
        </w:rPr>
        <w:t>As of October 31, 2013, the estimated fair value of long-term debt with fixed interest rates was $243,074 compared to its carrying amount of $223,544. As of October 31, 2012, the estimated fair value of long-term debt with fixed interest rates was $262,458 compared to its carrying amount of $226,858. The fair value is estimated by discounting the projected cash flows using the rate at which similar amounts of debt could currently be borrowed. Long-term debt is a Level 2 liability in the fair value hierarchy.</w:t>
      </w:r>
    </w:p>
    <w:p>
      <w:pPr>
        <w:spacing w:after="0" w:line="118" w:lineRule="exact"/>
        <w:rPr>
          <w:sz w:val="20"/>
          <w:szCs w:val="20"/>
          <w:color w:val="auto"/>
        </w:rPr>
      </w:pPr>
    </w:p>
    <w:p>
      <w:pPr>
        <w:spacing w:after="0"/>
        <w:tabs>
          <w:tab w:leader="none" w:pos="820" w:val="left"/>
        </w:tabs>
        <w:rPr>
          <w:sz w:val="20"/>
          <w:szCs w:val="20"/>
          <w:color w:val="auto"/>
        </w:rPr>
      </w:pPr>
      <w:r>
        <w:rPr>
          <w:rFonts w:ascii="Arial" w:cs="Arial" w:eastAsia="Arial" w:hAnsi="Arial"/>
          <w:sz w:val="40"/>
          <w:szCs w:val="40"/>
          <w:b w:val="1"/>
          <w:bCs w:val="1"/>
          <w:color w:val="auto"/>
        </w:rPr>
        <w:t>15</w:t>
      </w:r>
      <w:r>
        <w:rPr>
          <w:sz w:val="20"/>
          <w:szCs w:val="20"/>
          <w:color w:val="auto"/>
        </w:rPr>
        <w:tab/>
      </w:r>
      <w:r>
        <w:rPr>
          <w:rFonts w:ascii="Arial" w:cs="Arial" w:eastAsia="Arial" w:hAnsi="Arial"/>
          <w:sz w:val="20"/>
          <w:szCs w:val="20"/>
          <w:b w:val="1"/>
          <w:bCs w:val="1"/>
          <w:color w:val="auto"/>
        </w:rPr>
        <w:t>SUBSEQUENT EVENTS</w:t>
      </w:r>
    </w:p>
    <w:p>
      <w:pPr>
        <w:spacing w:after="0" w:line="243"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The company evaluated all subsequent events and concluded that no subsequent events have occurred that would require recognition in the financial statements or disclosure in the notes to the financial statements.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520" w:type="dxa"/>
            <w:vAlign w:val="bottom"/>
          </w:tcPr>
          <w:p>
            <w:pPr>
              <w:spacing w:after="0"/>
              <w:rPr>
                <w:sz w:val="20"/>
                <w:szCs w:val="20"/>
                <w:color w:val="auto"/>
              </w:rPr>
            </w:pPr>
            <w:r>
              <w:rPr>
                <w:rFonts w:ascii="Arial" w:cs="Arial" w:eastAsia="Arial" w:hAnsi="Arial"/>
                <w:sz w:val="40"/>
                <w:szCs w:val="40"/>
                <w:b w:val="1"/>
                <w:bCs w:val="1"/>
                <w:color w:val="auto"/>
              </w:rPr>
              <w:t>16</w:t>
            </w:r>
          </w:p>
        </w:tc>
        <w:tc>
          <w:tcPr>
            <w:tcW w:w="6240" w:type="dxa"/>
            <w:vAlign w:val="bottom"/>
          </w:tcPr>
          <w:p>
            <w:pPr>
              <w:ind w:left="320"/>
              <w:spacing w:after="0"/>
              <w:rPr>
                <w:sz w:val="20"/>
                <w:szCs w:val="20"/>
                <w:color w:val="auto"/>
              </w:rPr>
            </w:pPr>
            <w:r>
              <w:rPr>
                <w:rFonts w:ascii="Arial" w:cs="Arial" w:eastAsia="Arial" w:hAnsi="Arial"/>
                <w:sz w:val="20"/>
                <w:szCs w:val="20"/>
                <w:b w:val="1"/>
                <w:bCs w:val="1"/>
                <w:color w:val="auto"/>
              </w:rPr>
              <w:t xml:space="preserve">QUARTERLY FINANCIAL DATA </w:t>
            </w:r>
            <w:r>
              <w:rPr>
                <w:rFonts w:ascii="Arial" w:cs="Arial" w:eastAsia="Arial" w:hAnsi="Arial"/>
                <w:sz w:val="20"/>
                <w:szCs w:val="20"/>
                <w:color w:val="auto"/>
              </w:rPr>
              <w:t>(unaudited)</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4"/>
        </w:trPr>
        <w:tc>
          <w:tcPr>
            <w:tcW w:w="6760" w:type="dxa"/>
            <w:vAlign w:val="bottom"/>
            <w:gridSpan w:val="2"/>
          </w:tcPr>
          <w:p>
            <w:pPr>
              <w:spacing w:after="0"/>
              <w:rPr>
                <w:sz w:val="20"/>
                <w:szCs w:val="20"/>
                <w:color w:val="auto"/>
              </w:rPr>
            </w:pPr>
            <w:r>
              <w:rPr>
                <w:rFonts w:ascii="Arial" w:cs="Arial" w:eastAsia="Arial" w:hAnsi="Arial"/>
                <w:sz w:val="16"/>
                <w:szCs w:val="16"/>
                <w:color w:val="auto"/>
              </w:rPr>
              <w:t>Summarized quarterly financial data for fiscal 2013 and 2012 are as follows:</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520" w:type="dxa"/>
            <w:vAlign w:val="bottom"/>
          </w:tcPr>
          <w:p>
            <w:pPr>
              <w:spacing w:after="0"/>
              <w:rPr>
                <w:sz w:val="18"/>
                <w:szCs w:val="18"/>
                <w:color w:val="auto"/>
              </w:rPr>
            </w:pPr>
          </w:p>
        </w:tc>
        <w:tc>
          <w:tcPr>
            <w:tcW w:w="6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29"/>
        </w:trPr>
        <w:tc>
          <w:tcPr>
            <w:tcW w:w="520" w:type="dxa"/>
            <w:vAlign w:val="bottom"/>
          </w:tcPr>
          <w:p>
            <w:pPr>
              <w:spacing w:after="0"/>
              <w:rPr>
                <w:sz w:val="11"/>
                <w:szCs w:val="11"/>
                <w:color w:val="auto"/>
              </w:rPr>
            </w:pPr>
          </w:p>
        </w:tc>
        <w:tc>
          <w:tcPr>
            <w:tcW w:w="6240" w:type="dxa"/>
            <w:vAlign w:val="bottom"/>
          </w:tcPr>
          <w:p>
            <w:pPr>
              <w:spacing w:after="0" w:line="129" w:lineRule="exact"/>
              <w:rPr>
                <w:sz w:val="20"/>
                <w:szCs w:val="20"/>
                <w:color w:val="auto"/>
              </w:rPr>
            </w:pPr>
            <w:r>
              <w:rPr>
                <w:rFonts w:ascii="Arial" w:cs="Arial" w:eastAsia="Arial" w:hAnsi="Arial"/>
                <w:sz w:val="13"/>
                <w:szCs w:val="13"/>
                <w:b w:val="1"/>
                <w:bCs w:val="1"/>
                <w:color w:val="auto"/>
              </w:rPr>
              <w:t>Fiscal year ended</w:t>
            </w:r>
          </w:p>
        </w:tc>
        <w:tc>
          <w:tcPr>
            <w:tcW w:w="1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1"/>
        </w:trPr>
        <w:tc>
          <w:tcPr>
            <w:tcW w:w="5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3"/>
                <w:szCs w:val="13"/>
                <w:b w:val="1"/>
                <w:bCs w:val="1"/>
                <w:color w:val="auto"/>
              </w:rPr>
              <w:t>October 31, 2013</w:t>
            </w:r>
          </w:p>
        </w:tc>
        <w:tc>
          <w:tcPr>
            <w:tcW w:w="1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520" w:type="dxa"/>
            <w:vAlign w:val="bottom"/>
          </w:tcPr>
          <w:p>
            <w:pPr>
              <w:spacing w:after="0"/>
              <w:rPr>
                <w:sz w:val="16"/>
                <w:szCs w:val="16"/>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Quarter</w:t>
            </w:r>
          </w:p>
        </w:tc>
        <w:tc>
          <w:tcPr>
            <w:tcW w:w="19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First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Second</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Third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Fourth</w:t>
            </w:r>
          </w:p>
        </w:tc>
        <w:tc>
          <w:tcPr>
            <w:tcW w:w="140" w:type="dxa"/>
            <w:vAlign w:val="bottom"/>
          </w:tcPr>
          <w:p>
            <w:pPr>
              <w:spacing w:after="0"/>
              <w:rPr>
                <w:sz w:val="16"/>
                <w:szCs w:val="16"/>
                <w:color w:val="auto"/>
              </w:rPr>
            </w:pPr>
          </w:p>
        </w:tc>
      </w:tr>
      <w:tr>
        <w:trPr>
          <w:trHeight w:val="143"/>
        </w:trPr>
        <w:tc>
          <w:tcPr>
            <w:tcW w:w="520" w:type="dxa"/>
            <w:vAlign w:val="bottom"/>
          </w:tcPr>
          <w:p>
            <w:pPr>
              <w:spacing w:after="0"/>
              <w:rPr>
                <w:sz w:val="12"/>
                <w:szCs w:val="12"/>
                <w:color w:val="auto"/>
              </w:rPr>
            </w:pPr>
          </w:p>
        </w:tc>
        <w:tc>
          <w:tcPr>
            <w:tcW w:w="62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sales</w:t>
            </w:r>
          </w:p>
        </w:tc>
        <w:tc>
          <w:tcPr>
            <w:tcW w:w="192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$444,661</w:t>
            </w:r>
          </w:p>
        </w:tc>
        <w:tc>
          <w:tcPr>
            <w:tcW w:w="72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$704,486</w:t>
            </w:r>
          </w:p>
        </w:tc>
        <w:tc>
          <w:tcPr>
            <w:tcW w:w="72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b w:val="1"/>
                <w:bCs w:val="1"/>
                <w:color w:val="auto"/>
              </w:rPr>
              <w:t>$509,918</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b w:val="1"/>
                <w:bCs w:val="1"/>
                <w:color w:val="auto"/>
              </w:rPr>
              <w:t>$382,366</w:t>
            </w:r>
          </w:p>
        </w:tc>
      </w:tr>
      <w:tr>
        <w:trPr>
          <w:trHeight w:val="151"/>
        </w:trPr>
        <w:tc>
          <w:tcPr>
            <w:tcW w:w="5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3"/>
                <w:szCs w:val="13"/>
                <w:b w:val="1"/>
                <w:bCs w:val="1"/>
                <w:color w:val="auto"/>
              </w:rPr>
              <w:t>Gross profit</w:t>
            </w:r>
          </w:p>
        </w:tc>
        <w:tc>
          <w:tcPr>
            <w:tcW w:w="1920" w:type="dxa"/>
            <w:vAlign w:val="bottom"/>
          </w:tcPr>
          <w:p>
            <w:pPr>
              <w:jc w:val="right"/>
              <w:ind w:right="13"/>
              <w:spacing w:after="0"/>
              <w:rPr>
                <w:sz w:val="20"/>
                <w:szCs w:val="20"/>
                <w:color w:val="auto"/>
              </w:rPr>
            </w:pPr>
            <w:r>
              <w:rPr>
                <w:rFonts w:ascii="Arial" w:cs="Arial" w:eastAsia="Arial" w:hAnsi="Arial"/>
                <w:sz w:val="13"/>
                <w:szCs w:val="13"/>
                <w:b w:val="1"/>
                <w:bCs w:val="1"/>
                <w:color w:val="auto"/>
              </w:rPr>
              <w:t>165,817</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252,301</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178,031</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128,648</w:t>
            </w:r>
          </w:p>
        </w:tc>
      </w:tr>
      <w:tr>
        <w:trPr>
          <w:trHeight w:val="151"/>
        </w:trPr>
        <w:tc>
          <w:tcPr>
            <w:tcW w:w="520" w:type="dxa"/>
            <w:vAlign w:val="bottom"/>
          </w:tcPr>
          <w:p>
            <w:pPr>
              <w:spacing w:after="0"/>
              <w:rPr>
                <w:sz w:val="13"/>
                <w:szCs w:val="13"/>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earnings</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31,396</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78,402</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40,097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4,950</w:t>
            </w:r>
          </w:p>
        </w:tc>
      </w:tr>
      <w:tr>
        <w:trPr>
          <w:trHeight w:val="176"/>
        </w:trPr>
        <w:tc>
          <w:tcPr>
            <w:tcW w:w="520" w:type="dxa"/>
            <w:vAlign w:val="bottom"/>
          </w:tcPr>
          <w:p>
            <w:pPr>
              <w:spacing w:after="0"/>
              <w:rPr>
                <w:sz w:val="15"/>
                <w:szCs w:val="15"/>
                <w:color w:val="auto"/>
              </w:rPr>
            </w:pPr>
          </w:p>
        </w:tc>
        <w:tc>
          <w:tcPr>
            <w:tcW w:w="6240" w:type="dxa"/>
            <w:vAlign w:val="bottom"/>
          </w:tcPr>
          <w:p>
            <w:pPr>
              <w:spacing w:after="0" w:line="176" w:lineRule="exact"/>
              <w:rPr>
                <w:sz w:val="20"/>
                <w:szCs w:val="20"/>
                <w:color w:val="auto"/>
              </w:rPr>
            </w:pPr>
            <w:r>
              <w:rPr>
                <w:rFonts w:ascii="Arial" w:cs="Arial" w:eastAsia="Arial" w:hAnsi="Arial"/>
                <w:sz w:val="13"/>
                <w:szCs w:val="13"/>
                <w:b w:val="1"/>
                <w:bCs w:val="1"/>
                <w:color w:val="auto"/>
              </w:rPr>
              <w:t>Basic net earnings per share</w:t>
            </w:r>
            <w:r>
              <w:rPr>
                <w:rFonts w:ascii="Arial" w:cs="Arial" w:eastAsia="Arial" w:hAnsi="Arial"/>
                <w:sz w:val="20"/>
                <w:szCs w:val="20"/>
                <w:color w:val="auto"/>
                <w:vertAlign w:val="superscript"/>
              </w:rPr>
              <w:t>1</w:t>
            </w:r>
          </w:p>
        </w:tc>
        <w:tc>
          <w:tcPr>
            <w:tcW w:w="1920" w:type="dxa"/>
            <w:vAlign w:val="bottom"/>
          </w:tcPr>
          <w:p>
            <w:pPr>
              <w:jc w:val="right"/>
              <w:ind w:right="13"/>
              <w:spacing w:after="0"/>
              <w:rPr>
                <w:sz w:val="20"/>
                <w:szCs w:val="20"/>
                <w:color w:val="auto"/>
              </w:rPr>
            </w:pPr>
            <w:r>
              <w:rPr>
                <w:rFonts w:ascii="Arial" w:cs="Arial" w:eastAsia="Arial" w:hAnsi="Arial"/>
                <w:sz w:val="13"/>
                <w:szCs w:val="13"/>
                <w:b w:val="1"/>
                <w:bCs w:val="1"/>
                <w:color w:val="auto"/>
              </w:rPr>
              <w:t>0.54</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1.35</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0.70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0.09</w:t>
            </w:r>
          </w:p>
        </w:tc>
      </w:tr>
      <w:tr>
        <w:trPr>
          <w:trHeight w:val="176"/>
        </w:trPr>
        <w:tc>
          <w:tcPr>
            <w:tcW w:w="520" w:type="dxa"/>
            <w:vAlign w:val="bottom"/>
          </w:tcPr>
          <w:p>
            <w:pPr>
              <w:spacing w:after="0"/>
              <w:rPr>
                <w:sz w:val="15"/>
                <w:szCs w:val="15"/>
                <w:color w:val="auto"/>
              </w:rPr>
            </w:pPr>
          </w:p>
        </w:tc>
        <w:tc>
          <w:tcPr>
            <w:tcW w:w="624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Diluted net earnings per share</w:t>
            </w:r>
            <w:r>
              <w:rPr>
                <w:rFonts w:ascii="Arial" w:cs="Arial" w:eastAsia="Arial" w:hAnsi="Arial"/>
                <w:sz w:val="20"/>
                <w:szCs w:val="20"/>
                <w:color w:val="auto"/>
                <w:vertAlign w:val="superscript"/>
              </w:rPr>
              <w:t>1</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0.53</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1.32</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0.68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0.08</w:t>
            </w:r>
          </w:p>
        </w:tc>
      </w:tr>
      <w:tr>
        <w:trPr>
          <w:trHeight w:val="25"/>
        </w:trPr>
        <w:tc>
          <w:tcPr>
            <w:tcW w:w="52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570"/>
        </w:trPr>
        <w:tc>
          <w:tcPr>
            <w:tcW w:w="520" w:type="dxa"/>
            <w:vAlign w:val="bottom"/>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1"/>
        </w:trPr>
        <w:tc>
          <w:tcPr>
            <w:tcW w:w="520" w:type="dxa"/>
            <w:vAlign w:val="bottom"/>
          </w:tcPr>
          <w:p>
            <w:pPr>
              <w:spacing w:after="0"/>
              <w:rPr>
                <w:sz w:val="11"/>
                <w:szCs w:val="11"/>
                <w:color w:val="auto"/>
              </w:rPr>
            </w:pPr>
          </w:p>
        </w:tc>
        <w:tc>
          <w:tcPr>
            <w:tcW w:w="6240" w:type="dxa"/>
            <w:vAlign w:val="bottom"/>
          </w:tcPr>
          <w:p>
            <w:pPr>
              <w:spacing w:after="0" w:line="132" w:lineRule="exact"/>
              <w:rPr>
                <w:sz w:val="20"/>
                <w:szCs w:val="20"/>
                <w:color w:val="auto"/>
              </w:rPr>
            </w:pPr>
            <w:r>
              <w:rPr>
                <w:rFonts w:ascii="Arial" w:cs="Arial" w:eastAsia="Arial" w:hAnsi="Arial"/>
                <w:sz w:val="13"/>
                <w:szCs w:val="13"/>
                <w:color w:val="auto"/>
              </w:rPr>
              <w:t>Fiscal year ended</w:t>
            </w:r>
          </w:p>
        </w:tc>
        <w:tc>
          <w:tcPr>
            <w:tcW w:w="1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1"/>
        </w:trPr>
        <w:tc>
          <w:tcPr>
            <w:tcW w:w="5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3"/>
                <w:szCs w:val="13"/>
                <w:color w:val="auto"/>
              </w:rPr>
              <w:t>October 31, 2012</w:t>
            </w:r>
          </w:p>
        </w:tc>
        <w:tc>
          <w:tcPr>
            <w:tcW w:w="1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3"/>
        </w:trPr>
        <w:tc>
          <w:tcPr>
            <w:tcW w:w="520" w:type="dxa"/>
            <w:vAlign w:val="bottom"/>
          </w:tcPr>
          <w:p>
            <w:pPr>
              <w:spacing w:after="0"/>
              <w:rPr>
                <w:sz w:val="15"/>
                <w:szCs w:val="15"/>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Quarter</w:t>
            </w:r>
          </w:p>
        </w:tc>
        <w:tc>
          <w:tcPr>
            <w:tcW w:w="19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First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Second</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Third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Fourth</w:t>
            </w:r>
          </w:p>
        </w:tc>
        <w:tc>
          <w:tcPr>
            <w:tcW w:w="140" w:type="dxa"/>
            <w:vAlign w:val="bottom"/>
          </w:tcPr>
          <w:p>
            <w:pPr>
              <w:spacing w:after="0"/>
              <w:rPr>
                <w:sz w:val="15"/>
                <w:szCs w:val="15"/>
                <w:color w:val="auto"/>
              </w:rPr>
            </w:pPr>
          </w:p>
        </w:tc>
      </w:tr>
      <w:tr>
        <w:trPr>
          <w:trHeight w:val="147"/>
        </w:trPr>
        <w:tc>
          <w:tcPr>
            <w:tcW w:w="520" w:type="dxa"/>
            <w:vAlign w:val="bottom"/>
          </w:tcPr>
          <w:p>
            <w:pPr>
              <w:spacing w:after="0"/>
              <w:rPr>
                <w:sz w:val="12"/>
                <w:szCs w:val="12"/>
                <w:color w:val="auto"/>
              </w:rPr>
            </w:pPr>
          </w:p>
        </w:tc>
        <w:tc>
          <w:tcPr>
            <w:tcW w:w="6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192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$423,835</w:t>
            </w:r>
          </w:p>
        </w:tc>
        <w:tc>
          <w:tcPr>
            <w:tcW w:w="72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$691,485</w:t>
            </w:r>
          </w:p>
        </w:tc>
        <w:tc>
          <w:tcPr>
            <w:tcW w:w="72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$504,076</w:t>
            </w:r>
          </w:p>
        </w:tc>
        <w:tc>
          <w:tcPr>
            <w:tcW w:w="7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$339,294</w:t>
            </w:r>
          </w:p>
        </w:tc>
      </w:tr>
      <w:tr>
        <w:trPr>
          <w:trHeight w:val="151"/>
        </w:trPr>
        <w:tc>
          <w:tcPr>
            <w:tcW w:w="5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3"/>
                <w:szCs w:val="13"/>
                <w:color w:val="auto"/>
              </w:rPr>
              <w:t>Gross profit</w:t>
            </w:r>
          </w:p>
        </w:tc>
        <w:tc>
          <w:tcPr>
            <w:tcW w:w="1920" w:type="dxa"/>
            <w:vAlign w:val="bottom"/>
          </w:tcPr>
          <w:p>
            <w:pPr>
              <w:jc w:val="right"/>
              <w:ind w:right="13"/>
              <w:spacing w:after="0"/>
              <w:rPr>
                <w:sz w:val="20"/>
                <w:szCs w:val="20"/>
                <w:color w:val="auto"/>
              </w:rPr>
            </w:pPr>
            <w:r>
              <w:rPr>
                <w:rFonts w:ascii="Arial" w:cs="Arial" w:eastAsia="Arial" w:hAnsi="Arial"/>
                <w:sz w:val="13"/>
                <w:szCs w:val="13"/>
                <w:color w:val="auto"/>
              </w:rPr>
              <w:t>146,651</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235,422</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178,122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112,899</w:t>
            </w:r>
          </w:p>
        </w:tc>
      </w:tr>
      <w:tr>
        <w:trPr>
          <w:trHeight w:val="151"/>
        </w:trPr>
        <w:tc>
          <w:tcPr>
            <w:tcW w:w="520" w:type="dxa"/>
            <w:vAlign w:val="bottom"/>
          </w:tcPr>
          <w:p>
            <w:pPr>
              <w:spacing w:after="0"/>
              <w:rPr>
                <w:sz w:val="13"/>
                <w:szCs w:val="13"/>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19,923</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68,818</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40,549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251</w:t>
            </w:r>
          </w:p>
        </w:tc>
      </w:tr>
      <w:tr>
        <w:trPr>
          <w:trHeight w:val="176"/>
        </w:trPr>
        <w:tc>
          <w:tcPr>
            <w:tcW w:w="520" w:type="dxa"/>
            <w:vAlign w:val="bottom"/>
          </w:tcPr>
          <w:p>
            <w:pPr>
              <w:spacing w:after="0"/>
              <w:rPr>
                <w:sz w:val="15"/>
                <w:szCs w:val="15"/>
                <w:color w:val="auto"/>
              </w:rPr>
            </w:pPr>
          </w:p>
        </w:tc>
        <w:tc>
          <w:tcPr>
            <w:tcW w:w="6240" w:type="dxa"/>
            <w:vAlign w:val="bottom"/>
          </w:tcPr>
          <w:p>
            <w:pPr>
              <w:spacing w:after="0" w:line="176" w:lineRule="exact"/>
              <w:rPr>
                <w:sz w:val="20"/>
                <w:szCs w:val="20"/>
                <w:color w:val="auto"/>
              </w:rPr>
            </w:pPr>
            <w:r>
              <w:rPr>
                <w:rFonts w:ascii="Arial" w:cs="Arial" w:eastAsia="Arial" w:hAnsi="Arial"/>
                <w:sz w:val="13"/>
                <w:szCs w:val="13"/>
                <w:color w:val="auto"/>
              </w:rPr>
              <w:t>Basic net earnings per share</w:t>
            </w:r>
            <w:r>
              <w:rPr>
                <w:rFonts w:ascii="Arial" w:cs="Arial" w:eastAsia="Arial" w:hAnsi="Arial"/>
                <w:sz w:val="20"/>
                <w:szCs w:val="20"/>
                <w:color w:val="auto"/>
                <w:vertAlign w:val="superscript"/>
              </w:rPr>
              <w:t>1</w:t>
            </w:r>
          </w:p>
        </w:tc>
        <w:tc>
          <w:tcPr>
            <w:tcW w:w="1920" w:type="dxa"/>
            <w:vAlign w:val="bottom"/>
          </w:tcPr>
          <w:p>
            <w:pPr>
              <w:jc w:val="right"/>
              <w:ind w:right="13"/>
              <w:spacing w:after="0"/>
              <w:rPr>
                <w:sz w:val="20"/>
                <w:szCs w:val="20"/>
                <w:color w:val="auto"/>
              </w:rPr>
            </w:pPr>
            <w:r>
              <w:rPr>
                <w:rFonts w:ascii="Arial" w:cs="Arial" w:eastAsia="Arial" w:hAnsi="Arial"/>
                <w:sz w:val="13"/>
                <w:szCs w:val="13"/>
                <w:color w:val="auto"/>
              </w:rPr>
              <w:t>0.33</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1.15</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0.69</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0.00</w:t>
            </w:r>
          </w:p>
        </w:tc>
      </w:tr>
      <w:tr>
        <w:trPr>
          <w:trHeight w:val="176"/>
        </w:trPr>
        <w:tc>
          <w:tcPr>
            <w:tcW w:w="520" w:type="dxa"/>
            <w:vAlign w:val="bottom"/>
          </w:tcPr>
          <w:p>
            <w:pPr>
              <w:spacing w:after="0"/>
              <w:rPr>
                <w:sz w:val="15"/>
                <w:szCs w:val="15"/>
                <w:color w:val="auto"/>
              </w:rPr>
            </w:pPr>
          </w:p>
        </w:tc>
        <w:tc>
          <w:tcPr>
            <w:tcW w:w="6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Diluted net earnings per share</w:t>
            </w:r>
            <w:r>
              <w:rPr>
                <w:rFonts w:ascii="Arial" w:cs="Arial" w:eastAsia="Arial" w:hAnsi="Arial"/>
                <w:sz w:val="20"/>
                <w:szCs w:val="20"/>
                <w:color w:val="auto"/>
                <w:vertAlign w:val="superscript"/>
              </w:rPr>
              <w:t>1</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0.33</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1.13</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0.67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0.00</w:t>
            </w:r>
          </w:p>
        </w:tc>
      </w:tr>
      <w:tr>
        <w:trPr>
          <w:trHeight w:val="25"/>
        </w:trPr>
        <w:tc>
          <w:tcPr>
            <w:tcW w:w="52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38" w:lineRule="exact"/>
        <w:rPr>
          <w:sz w:val="20"/>
          <w:szCs w:val="20"/>
          <w:color w:val="auto"/>
        </w:rPr>
      </w:pPr>
    </w:p>
    <w:p>
      <w:pPr>
        <w:ind w:left="500" w:hanging="500"/>
        <w:spacing w:after="0"/>
        <w:tabs>
          <w:tab w:leader="none" w:pos="50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Net earnings per share amounts do not sum to equal full year total due to changes in the number of shares outstanding during the periods and rounding.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2013 that has materially affected, or is reasonably likely to materially affect, the company's internal control over financial reporting.</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PART III</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proxy statement for its 2014 Annual Meeting of Shareholders to be filed with the SEC.</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During the fourth quarter of fiscal 2013, the company did not make any material changes to the procedures by which shareholders may recommend nominees to the board of directors, as described in the company's proxy statement for its 2013 Annual Meeting of Shareholders. The company has a Code of Ethics for its CEO and Senior Financial Officers, a copy of which is posted on the company's web 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 Information" link and then the "Corporate Governance" link).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13"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"Executive Compensation" and "Corporate Governance – Director Compensation" in the company's proxy statement for its 2014 Annual Meeting of Shareholders to be filed with the SEC.</w:t>
      </w:r>
    </w:p>
    <w:p>
      <w:pPr>
        <w:spacing w:after="0" w:line="114" w:lineRule="exact"/>
        <w:rPr>
          <w:sz w:val="20"/>
          <w:szCs w:val="20"/>
          <w:color w:val="auto"/>
        </w:rPr>
      </w:pPr>
    </w:p>
    <w:p>
      <w:pPr>
        <w:ind w:right="1220"/>
        <w:spacing w:after="0" w:line="291"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2014 Annual Meeting of Shareholders to be filed with the SEC.</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13"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proxy statement for its 2014 Annual Meeting of Shareholders to be filed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2014 Annual Meeting of Shareholders to be filed with the SEC.</w:t>
      </w:r>
    </w:p>
    <w:p>
      <w:pPr>
        <w:spacing w:after="0" w:line="326" w:lineRule="exact"/>
        <w:rPr>
          <w:sz w:val="20"/>
          <w:szCs w:val="20"/>
          <w:color w:val="auto"/>
        </w:rPr>
      </w:pPr>
    </w:p>
    <w:p>
      <w:pPr>
        <w:ind w:left="5240"/>
        <w:spacing w:after="0"/>
        <w:rPr>
          <w:sz w:val="20"/>
          <w:szCs w:val="20"/>
          <w:color w:val="auto"/>
        </w:rPr>
      </w:pPr>
      <w:r>
        <w:rPr>
          <w:rFonts w:ascii="Arial" w:cs="Arial" w:eastAsia="Arial" w:hAnsi="Arial"/>
          <w:sz w:val="23"/>
          <w:szCs w:val="23"/>
          <w:b w:val="1"/>
          <w:bCs w:val="1"/>
          <w:color w:val="auto"/>
        </w:rPr>
        <w:t>PART IV</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1. List of Financial Statements</w:t>
      </w:r>
    </w:p>
    <w:p>
      <w:pPr>
        <w:spacing w:after="0" w:line="2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 Statements and Supplementary Data" of this report:</w:t>
      </w:r>
    </w:p>
    <w:p>
      <w:pPr>
        <w:spacing w:after="0" w:line="131" w:lineRule="exact"/>
        <w:rPr>
          <w:sz w:val="20"/>
          <w:szCs w:val="20"/>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Management's Report on Internal Control over Financial Reporting.</w:t>
      </w:r>
    </w:p>
    <w:p>
      <w:pPr>
        <w:spacing w:after="0" w:line="35"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Report of Independent Registered Public Accounting Firm.</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Consolidated Statements of Earnings for the fiscal years ended October 31, 2013, 2012, and 2011.</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Consolidated Statements of Comprehensive Income for the fiscal years ended October 31, 2013, 2012, and 2011.</w:t>
      </w:r>
    </w:p>
    <w:p>
      <w:pPr>
        <w:spacing w:after="0" w:line="15"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Consolidated Balance Sheets as of October 31, 2013 and 2012.</w:t>
      </w:r>
    </w:p>
    <w:p>
      <w:pPr>
        <w:spacing w:after="0" w:line="5"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Consolidated Statements of Cash Flows for the fiscal years ended October 31, 2013, 2012, and 2011.</w:t>
      </w:r>
    </w:p>
    <w:p>
      <w:pPr>
        <w:spacing w:after="0" w:line="4"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Consolidated Statements of Stockholders' Equity for the fiscal years ended October 31, 2013, 2012, and 2011.</w:t>
      </w:r>
    </w:p>
    <w:p>
      <w:pPr>
        <w:spacing w:after="0" w:line="15" w:lineRule="exact"/>
        <w:rPr>
          <w:rFonts w:ascii="Arial" w:cs="Arial" w:eastAsia="Arial" w:hAnsi="Arial"/>
          <w:sz w:val="16"/>
          <w:szCs w:val="16"/>
          <w:color w:val="auto"/>
        </w:rPr>
      </w:pPr>
    </w:p>
    <w:p>
      <w:pPr>
        <w:ind w:left="500" w:hanging="50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2. List of Financial Statement Schedules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statement schedule of The Toro Company and its subsidiaries is included herein:</w:t>
      </w:r>
    </w:p>
    <w:p>
      <w:pPr>
        <w:spacing w:after="0" w:line="205" w:lineRule="exact"/>
        <w:rPr>
          <w:sz w:val="20"/>
          <w:szCs w:val="20"/>
          <w:color w:val="auto"/>
        </w:rPr>
      </w:pPr>
    </w:p>
    <w:p>
      <w:pPr>
        <w:ind w:left="500" w:hanging="50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Schedule II – Valuation and Qualifying Accounts</w:t>
      </w:r>
    </w:p>
    <w:p>
      <w:pPr>
        <w:spacing w:after="0" w:line="205" w:lineRule="exact"/>
        <w:rPr>
          <w:sz w:val="20"/>
          <w:szCs w:val="20"/>
          <w:color w:val="auto"/>
        </w:rPr>
      </w:pPr>
    </w:p>
    <w:p>
      <w:pPr>
        <w:ind w:right="180" w:firstLine="127"/>
        <w:spacing w:after="0" w:line="291" w:lineRule="auto"/>
        <w:rPr>
          <w:sz w:val="20"/>
          <w:szCs w:val="20"/>
          <w:color w:val="auto"/>
        </w:rPr>
      </w:pPr>
      <w:r>
        <w:rPr>
          <w:rFonts w:ascii="Arial" w:cs="Arial" w:eastAsia="Arial" w:hAnsi="Arial"/>
          <w:sz w:val="16"/>
          <w:szCs w:val="16"/>
          <w:color w:val="auto"/>
        </w:rPr>
        <w:t>All other schedules are omitted because the required information is inapplicable or the information is presented in the consolidated financial statements or related notes.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3. List of Exhibits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incorporated herein by reference or are filed or furnished with this report as indicated below:</w:t>
      </w:r>
    </w:p>
    <w:p>
      <w:pPr>
        <w:spacing w:after="0" w:line="208" w:lineRule="exact"/>
        <w:rPr>
          <w:sz w:val="20"/>
          <w:szCs w:val="20"/>
          <w:color w:val="auto"/>
        </w:rPr>
      </w:pPr>
    </w:p>
    <w:p>
      <w:pPr>
        <w:spacing w:after="0"/>
        <w:tabs>
          <w:tab w:leader="none" w:pos="5920" w:val="left"/>
        </w:tabs>
        <w:rPr>
          <w:sz w:val="20"/>
          <w:szCs w:val="20"/>
          <w:color w:val="auto"/>
        </w:rPr>
      </w:pPr>
      <w:r>
        <w:rPr>
          <w:rFonts w:ascii="Arial" w:cs="Arial" w:eastAsia="Arial" w:hAnsi="Arial"/>
          <w:sz w:val="13"/>
          <w:szCs w:val="13"/>
          <w:b w:val="1"/>
          <w:bCs w:val="1"/>
          <w:color w:val="auto"/>
        </w:rPr>
        <w:t>Exhibit Number</w:t>
      </w:r>
      <w:r>
        <w:rPr>
          <w:sz w:val="20"/>
          <w:szCs w:val="20"/>
          <w:color w:val="auto"/>
        </w:rPr>
        <w:tab/>
      </w:r>
      <w:r>
        <w:rPr>
          <w:rFonts w:ascii="Arial" w:cs="Arial" w:eastAsia="Arial" w:hAnsi="Arial"/>
          <w:sz w:val="13"/>
          <w:szCs w:val="13"/>
          <w:b w:val="1"/>
          <w:bCs w:val="1"/>
          <w:color w:val="auto"/>
        </w:rPr>
        <w:t>Description</w:t>
      </w:r>
    </w:p>
    <w:p>
      <w:pPr>
        <w:spacing w:after="0" w:line="4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Exhibit 2.1 to Registrant's Current Report on Form 8-K dated August 12, 2009,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256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137"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b w:val="1"/>
          <w:bCs w:val="1"/>
          <w:color w:val="auto"/>
        </w:rPr>
        <w:t xml:space="preserve">2.2 (2) </w:t>
      </w:r>
      <w:r>
        <w:rPr>
          <w:rFonts w:ascii="Arial" w:cs="Arial" w:eastAsia="Arial" w:hAnsi="Arial"/>
          <w:sz w:val="16"/>
          <w:szCs w:val="16"/>
          <w:color w:val="auto"/>
        </w:rPr>
        <w:t>First Amendment to Agreement to Form Joint Venture dated June 6, 2012,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Quarterly Report on Form 10-Q for the fiscal quarter ended May 4, 2012, Commission File No. 1-8649).**</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532" w:right="279" w:bottom="1440" w:gutter="0" w:footer="0" w:header="0"/>
        </w:sectPr>
      </w:pPr>
    </w:p>
    <w:bookmarkStart w:id="67" w:name="page68"/>
    <w:bookmarkEnd w:id="67"/>
    <w:p>
      <w:pPr>
        <w:ind w:right="80"/>
        <w:spacing w:after="0" w:line="269" w:lineRule="auto"/>
        <w:rPr>
          <w:sz w:val="20"/>
          <w:szCs w:val="20"/>
          <w:color w:val="auto"/>
        </w:rPr>
      </w:pPr>
      <w:r>
        <w:rPr>
          <w:rFonts w:ascii="Arial" w:cs="Arial" w:eastAsia="Arial" w:hAnsi="Arial"/>
          <w:sz w:val="16"/>
          <w:szCs w:val="16"/>
          <w:b w:val="1"/>
          <w:bCs w:val="1"/>
          <w:color w:val="auto"/>
        </w:rPr>
        <w:t xml:space="preserve">2.3 (1) </w:t>
      </w:r>
      <w:r>
        <w:rPr>
          <w:rFonts w:ascii="Arial" w:cs="Arial" w:eastAsia="Arial" w:hAnsi="Arial"/>
          <w:sz w:val="16"/>
          <w:szCs w:val="16"/>
          <w:color w:val="auto"/>
        </w:rPr>
        <w:t>Limited Liability Company Agreement of Red Iron Acceptance, LLC dated August 12, 2009 by and between Red Iron Holding Corporation and TCFIF</w:t>
      </w:r>
      <w:r>
        <w:rPr>
          <w:rFonts w:ascii="Arial" w:cs="Arial" w:eastAsia="Arial" w:hAnsi="Arial"/>
          <w:sz w:val="16"/>
          <w:szCs w:val="16"/>
          <w:b w:val="1"/>
          <w:bCs w:val="1"/>
          <w:color w:val="auto"/>
        </w:rPr>
        <w:t xml:space="preserve"> </w:t>
      </w:r>
      <w:r>
        <w:rPr>
          <w:rFonts w:ascii="Arial" w:cs="Arial" w:eastAsia="Arial" w:hAnsi="Arial"/>
          <w:sz w:val="16"/>
          <w:szCs w:val="16"/>
          <w:color w:val="auto"/>
        </w:rPr>
        <w:t>Joint Venture I, LLC (incorporated by reference to Exhibit 2.2 to Registrant's Current Report on Form 8-K dated August 12, 2009, Commission File No. 1-8649).**</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color w:val="auto"/>
        </w:rPr>
        <w:t>Amendment No. 1 to Limited Liability Company Agreement of Red Iron Acceptance, LLC (incorporated by reference to Exhibit 2.4 to Registrant's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Report on Form 10-K for the fiscal year end October 31, 2012, Commission File No. 1-8649).**</w:t>
      </w:r>
    </w:p>
    <w:p>
      <w:pPr>
        <w:spacing w:after="0" w:line="151"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b w:val="1"/>
          <w:bCs w:val="1"/>
          <w:color w:val="auto"/>
        </w:rPr>
        <w:t xml:space="preserve">2.5 (2) </w:t>
      </w:r>
      <w:r>
        <w:rPr>
          <w:rFonts w:ascii="Arial" w:cs="Arial" w:eastAsia="Arial" w:hAnsi="Arial"/>
          <w:sz w:val="16"/>
          <w:szCs w:val="16"/>
          <w:color w:val="auto"/>
        </w:rPr>
        <w:t>Second Amendment to Limited Liability Company Agreement of Red Iron Acceptance, LLC, dated June 6, 2012, by and between Red Iron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TCFIF Joint Venture I, LLC (incorporated by reference to Exhibit 2.2 to Registrant's Quarterly Report on Form 10-Q for the fiscal quarter ended May 4, 2012, Commission File No. 1-8649).**</w:t>
      </w:r>
    </w:p>
    <w:p>
      <w:pPr>
        <w:spacing w:after="0" w:line="172" w:lineRule="exact"/>
        <w:rPr>
          <w:sz w:val="20"/>
          <w:szCs w:val="20"/>
          <w:color w:val="auto"/>
        </w:rPr>
      </w:pPr>
    </w:p>
    <w:p>
      <w:pPr>
        <w:ind w:right="760"/>
        <w:spacing w:after="0" w:line="294"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color w:val="auto"/>
        </w:rPr>
        <w:t>Receivable Purchase Agreement by and among Toro Credit Company, as Seller, The Toro Company, and Red Iron Acceptance, LLC, as Buyer</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October 1, 2009, Commission File No. 1-8649).**</w:t>
      </w:r>
    </w:p>
    <w:p>
      <w:pPr>
        <w:spacing w:after="0" w:line="151"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Second Amended and Restated Repurchase Agreement (Two Step), dated as of October 29, 2010, by and between The Toro Company and Red Iron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LLC (incorporated by reference to Exhibit 2.1 to Registrant's Current Report on Form 8-K dated October 29, 2010, Commission File No. 1-8649).**</w:t>
      </w:r>
    </w:p>
    <w:p>
      <w:pPr>
        <w:spacing w:after="0" w:line="172" w:lineRule="exact"/>
        <w:rPr>
          <w:sz w:val="20"/>
          <w:szCs w:val="20"/>
          <w:color w:val="auto"/>
        </w:rPr>
      </w:pPr>
    </w:p>
    <w:p>
      <w:pPr>
        <w:ind w:right="880"/>
        <w:spacing w:after="0" w:line="269"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color w:val="auto"/>
        </w:rPr>
        <w:t>First Amendment to Second Amended and Restated Repurchase Agreement (Two Step), by and between The Toro Company and Red Iron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LLC (incorporated by reference to Exhibit 2.5 to Registrant's Annual Report on Form 10-K for the fiscal year ended October 31, 2011, Commission File No. 1-8649).</w:t>
      </w:r>
    </w:p>
    <w:p>
      <w:pPr>
        <w:spacing w:after="0" w:line="172" w:lineRule="exact"/>
        <w:rPr>
          <w:sz w:val="20"/>
          <w:szCs w:val="20"/>
          <w:color w:val="auto"/>
        </w:rPr>
      </w:pPr>
    </w:p>
    <w:p>
      <w:pPr>
        <w:jc w:val="both"/>
        <w:ind w:right="260"/>
        <w:spacing w:after="0" w:line="269" w:lineRule="auto"/>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color w:val="auto"/>
        </w:rPr>
        <w:t>Second Amendment to Second Amended and Restated Repurchase Agreement (Two Step), dated June 6, 2012, by and between The Toro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Red Iron Acceptance, LLC (incorporated by reference to Exhibit 2.3 to Registrant's Quarterly Report on Form 10-Q for the fiscal quarter ended May 4, 2012, Commission File No. 1-8649).</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3.1 and 4.1 </w:t>
      </w:r>
      <w:r>
        <w:rPr>
          <w:rFonts w:ascii="Arial" w:cs="Arial" w:eastAsia="Arial" w:hAnsi="Arial"/>
          <w:sz w:val="16"/>
          <w:szCs w:val="16"/>
          <w:color w:val="auto"/>
        </w:rPr>
        <w:t>Restated Certificate of Incorporation of The Toro Company (incorporated by reference to Exhibit 3.1 to Registrant's Current Report on Form 8-K</w:t>
      </w:r>
      <w:r>
        <w:rPr>
          <w:rFonts w:ascii="Arial" w:cs="Arial" w:eastAsia="Arial" w:hAnsi="Arial"/>
          <w:sz w:val="16"/>
          <w:szCs w:val="16"/>
          <w:b w:val="1"/>
          <w:bCs w:val="1"/>
          <w:color w:val="auto"/>
        </w:rPr>
        <w:t xml:space="preserve"> </w:t>
      </w:r>
      <w:r>
        <w:rPr>
          <w:rFonts w:ascii="Arial" w:cs="Arial" w:eastAsia="Arial" w:hAnsi="Arial"/>
          <w:sz w:val="16"/>
          <w:szCs w:val="16"/>
          <w:color w:val="auto"/>
        </w:rPr>
        <w:t>dated June 17, 2008, Commission File No. 1-8649).</w:t>
      </w:r>
    </w:p>
    <w:p>
      <w:pPr>
        <w:spacing w:after="0" w:line="1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 xml:space="preserve">3.2 and 4.2 </w:t>
      </w:r>
      <w:r>
        <w:rPr>
          <w:rFonts w:ascii="Arial" w:cs="Arial" w:eastAsia="Arial" w:hAnsi="Arial"/>
          <w:sz w:val="16"/>
          <w:szCs w:val="16"/>
          <w:color w:val="auto"/>
        </w:rPr>
        <w:t>Certificate of Amendment to Restated Certificate of Incorporation of The Toro Company (incorporated by reference to Exhibit 3.1 to Registrant's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Report on Form 8-K dated March 13, 2013, Commission File No. 1-8649).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3.3 and 4.3 </w:t>
      </w:r>
      <w:r>
        <w:rPr>
          <w:rFonts w:ascii="Arial" w:cs="Arial" w:eastAsia="Arial" w:hAnsi="Arial"/>
          <w:sz w:val="16"/>
          <w:szCs w:val="16"/>
          <w:color w:val="auto"/>
        </w:rPr>
        <w:t>Amended and Restated Bylaws of The Toro Company (incorporated by reference to Exhibit 3.2 to Registrant's Current Report on Form 8-K dated</w:t>
      </w:r>
      <w:r>
        <w:rPr>
          <w:rFonts w:ascii="Arial" w:cs="Arial" w:eastAsia="Arial" w:hAnsi="Arial"/>
          <w:sz w:val="16"/>
          <w:szCs w:val="16"/>
          <w:b w:val="1"/>
          <w:bCs w:val="1"/>
          <w:color w:val="auto"/>
        </w:rPr>
        <w:t xml:space="preserve"> </w:t>
      </w:r>
      <w:r>
        <w:rPr>
          <w:rFonts w:ascii="Arial" w:cs="Arial" w:eastAsia="Arial" w:hAnsi="Arial"/>
          <w:sz w:val="16"/>
          <w:szCs w:val="16"/>
          <w:color w:val="auto"/>
        </w:rPr>
        <w:t>June 17, 2008, Commission File No. 1-8649).</w:t>
      </w:r>
    </w:p>
    <w:p>
      <w:pPr>
        <w:spacing w:after="0" w:line="151"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Specimen Form of Common Stock Certificate (incorporated by reference to Exhibit 4(c) to Registrant's Quarterly Report on Form 10-Q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ended August 1, 2008, Commission File No. 1-8649).</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Indenture dated as of January 31, 1997, between Registrant and First National Trust Association, as Trustee, relating to The Toro Company's 7.80%</w:t>
      </w:r>
      <w:r>
        <w:rPr>
          <w:rFonts w:ascii="Arial" w:cs="Arial" w:eastAsia="Arial" w:hAnsi="Arial"/>
          <w:sz w:val="16"/>
          <w:szCs w:val="16"/>
          <w:b w:val="1"/>
          <w:bCs w:val="1"/>
          <w:color w:val="auto"/>
        </w:rPr>
        <w:t xml:space="preserve"> </w:t>
      </w:r>
      <w:r>
        <w:rPr>
          <w:rFonts w:ascii="Arial" w:cs="Arial" w:eastAsia="Arial" w:hAnsi="Arial"/>
          <w:sz w:val="16"/>
          <w:szCs w:val="16"/>
          <w:color w:val="auto"/>
        </w:rPr>
        <w:t>Debentures due June 15, 2027 (incorporated by reference to Exhibit 4(a) to Registrant's Current Report on Form 8-K dated June 24, 1997, Commission File No. 1-8649).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Indenture dated as of April 20, 2007, between Registrant and The Bank of New York Trust Company, N.A., as Trustee, relating to The Toro Company's</w:t>
      </w:r>
    </w:p>
    <w:p>
      <w:pPr>
        <w:spacing w:after="0" w:line="2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6.625% Notes due May 1, 2037 (incorporated by reference to Exhibit 4.3 to Registrant's Registration Statement on Form S-3 filed with the Securities and Exchange Commission on April 23, 2007, Registration No. 333-142282).</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color w:val="auto"/>
        </w:rPr>
        <w:t>First Supplemental Indenture dated as of April 26, 2007, between Registrant and The Bank of New York Trust Company, N.A., as Trustee,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Toro Company's 6.625% Notes due May 1, 2037 (incorporated by reference to Exhibit 4.1 to Registrant's Current Report on Form 8-K dated April 23, 2007, Commission File No. 1-8649).</w:t>
      </w:r>
    </w:p>
    <w:p>
      <w:pPr>
        <w:spacing w:after="0" w:line="17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color w:val="auto"/>
        </w:rPr>
        <w:t>Form of The Toro Company 6.625% Note due May 1, 2037 (incorporated by reference to Exhibit 4.2 to Registrant's Current Report on Form 8-K dated</w:t>
      </w:r>
      <w:r>
        <w:rPr>
          <w:rFonts w:ascii="Arial" w:cs="Arial" w:eastAsia="Arial" w:hAnsi="Arial"/>
          <w:sz w:val="16"/>
          <w:szCs w:val="16"/>
          <w:b w:val="1"/>
          <w:bCs w:val="1"/>
          <w:color w:val="auto"/>
        </w:rPr>
        <w:t xml:space="preserve"> </w:t>
      </w:r>
      <w:r>
        <w:rPr>
          <w:rFonts w:ascii="Arial" w:cs="Arial" w:eastAsia="Arial" w:hAnsi="Arial"/>
          <w:sz w:val="16"/>
          <w:szCs w:val="16"/>
          <w:color w:val="auto"/>
        </w:rPr>
        <w:t>April 23, 2007, Commission File No. 1-8649).</w:t>
      </w:r>
    </w:p>
    <w:p>
      <w:pPr>
        <w:spacing w:after="0" w:line="151"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The Toro Company 2010 Equity and Incentive Plan (incorporated by reference to Exhibit 10.1 to Registrant's Current Report on Form 8-K dated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16, 2010, Commission File No. 1-8649).*</w:t>
      </w:r>
    </w:p>
    <w:p>
      <w:pPr>
        <w:spacing w:after="0" w:line="151"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Amendment No. 1 to The Toro Company 2010 Equity and Incentive Plan (incorporated by reference to Exhibit 10.2 to Registrant's Annual Report on</w:t>
      </w:r>
      <w:r>
        <w:rPr>
          <w:rFonts w:ascii="Arial" w:cs="Arial" w:eastAsia="Arial" w:hAnsi="Arial"/>
          <w:sz w:val="16"/>
          <w:szCs w:val="16"/>
          <w:b w:val="1"/>
          <w:bCs w:val="1"/>
          <w:color w:val="auto"/>
        </w:rPr>
        <w:t xml:space="preserve"> </w:t>
      </w:r>
      <w:r>
        <w:rPr>
          <w:rFonts w:ascii="Arial" w:cs="Arial" w:eastAsia="Arial" w:hAnsi="Arial"/>
          <w:sz w:val="16"/>
          <w:szCs w:val="16"/>
          <w:color w:val="auto"/>
        </w:rPr>
        <w:t>Form 10-K for the fiscal year end October 31, 2011, Commission File No. 1-8649).*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color w:val="auto"/>
        </w:rPr>
        <w:t>Amendment No. 2 to The Toro Company 2010 Equity and Incentive Plan (filed herewith).*</w:t>
      </w:r>
    </w:p>
    <w:p>
      <w:pPr>
        <w:spacing w:after="0" w:line="23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color w:val="auto"/>
        </w:rPr>
        <w:t>The Toro Company 1993 Stock Option Plan, as amended (incorporated by reference to Exhibit 10(f) to Registrant's Quarterly Report on Form 10-Q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quarter ended July 30, 1999, Commission File No. 1-8649).*</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8" w:name="page69"/>
    <w:bookmarkEnd w:id="68"/>
    <w:p>
      <w:pPr>
        <w:ind w:right="120"/>
        <w:spacing w:after="0" w:line="294"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color w:val="auto"/>
        </w:rPr>
        <w:t>The Toro Company Performance Share Plan (As Amended January 15, 2008) (incorporated by reference to Exhibit 10.2 to Registrant's Current Report</w:t>
      </w:r>
      <w:r>
        <w:rPr>
          <w:rFonts w:ascii="Arial" w:cs="Arial" w:eastAsia="Arial" w:hAnsi="Arial"/>
          <w:sz w:val="16"/>
          <w:szCs w:val="16"/>
          <w:b w:val="1"/>
          <w:bCs w:val="1"/>
          <w:color w:val="auto"/>
        </w:rPr>
        <w:t xml:space="preserve"> </w:t>
      </w:r>
      <w:r>
        <w:rPr>
          <w:rFonts w:ascii="Arial" w:cs="Arial" w:eastAsia="Arial" w:hAnsi="Arial"/>
          <w:sz w:val="16"/>
          <w:szCs w:val="16"/>
          <w:color w:val="auto"/>
        </w:rPr>
        <w:t>on Form 8-K dated January 15, 2008, Commission File No. 1-8649).*</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color w:val="auto"/>
        </w:rPr>
        <w:t>The Toro Company 2000 Stock Option Plan (As Amended December 3, 2008) (incorporated by reference to Exhibit 10.5 to Registrant's Annual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on Form 10-K for the fiscal year ended October 31, 2008, Commission File No. 1-8649).*</w:t>
      </w:r>
    </w:p>
    <w:p>
      <w:pPr>
        <w:spacing w:after="0" w:line="151" w:lineRule="exact"/>
        <w:rPr>
          <w:sz w:val="20"/>
          <w:szCs w:val="20"/>
          <w:color w:val="auto"/>
        </w:rPr>
      </w:pPr>
    </w:p>
    <w:p>
      <w:pPr>
        <w:ind w:right="640"/>
        <w:spacing w:after="0" w:line="294"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color w:val="auto"/>
        </w:rPr>
        <w:t>The Toro Company Supplemental Benefit Plan, Amended and Restated Effective January 1, 2009 (incorporated by reference to Exhibit 10(d)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Registrant's Quarterly Report on Form 10-Q for the quarter ended August 1, 2008, Commission File No. 1-8649).*</w:t>
      </w:r>
    </w:p>
    <w:p>
      <w:pPr>
        <w:spacing w:after="0" w:line="151"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color w:val="auto"/>
        </w:rPr>
        <w:t>The Toro Company Deferred Compensation Plan, Amended and Restated Effective January 1, 2009 (incorporated by reference to Exhibit 10(a)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Registrant's Quarterly Report on Form 10-Q for the quarter ended August 1, 2008, Commission File No. 1-8649).*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10.9 </w:t>
      </w:r>
      <w:r>
        <w:rPr>
          <w:rFonts w:ascii="Arial" w:cs="Arial" w:eastAsia="Arial" w:hAnsi="Arial"/>
          <w:sz w:val="16"/>
          <w:szCs w:val="16"/>
          <w:color w:val="auto"/>
        </w:rPr>
        <w:t>The Toro Company Deferred Compensation Plan for Officers, Amended and Restated Effective January 1, 2009 (incorporated by reference to Exhibit 10</w:t>
      </w:r>
      <w:r>
        <w:rPr>
          <w:rFonts w:ascii="Arial" w:cs="Arial" w:eastAsia="Arial" w:hAnsi="Arial"/>
          <w:sz w:val="16"/>
          <w:szCs w:val="16"/>
          <w:b w:val="1"/>
          <w:bCs w:val="1"/>
          <w:color w:val="auto"/>
        </w:rPr>
        <w:t xml:space="preserve"> </w:t>
      </w:r>
      <w:r>
        <w:rPr>
          <w:rFonts w:ascii="Arial" w:cs="Arial" w:eastAsia="Arial" w:hAnsi="Arial"/>
          <w:sz w:val="16"/>
          <w:szCs w:val="16"/>
          <w:color w:val="auto"/>
        </w:rPr>
        <w:t>(b) to Registrant's Quarterly Report on Form 10-Q for the quarter ended August 1, 2008, Commission File No. 1-8649).*</w:t>
      </w:r>
    </w:p>
    <w:p>
      <w:pPr>
        <w:spacing w:after="0" w:line="151"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color w:val="auto"/>
        </w:rPr>
        <w:t xml:space="preserve">10.10 </w:t>
      </w:r>
      <w:r>
        <w:rPr>
          <w:rFonts w:ascii="Arial" w:cs="Arial" w:eastAsia="Arial" w:hAnsi="Arial"/>
          <w:sz w:val="16"/>
          <w:szCs w:val="16"/>
          <w:color w:val="auto"/>
        </w:rPr>
        <w:t>The Toro Company Deferred Compensation Plan for Non-Employee Directors, Amended and Restated Effective January 1, 2009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Exhibit 10(c) to Registrant's Quarterly Report on Form 10-Q for the quarter ended August 1, 2008, Commission File No. 1-8649).*</w:t>
      </w:r>
    </w:p>
    <w:p>
      <w:pPr>
        <w:spacing w:after="0" w:line="151"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color w:val="auto"/>
        </w:rPr>
        <w:t>The Toro Company 2000 Directors Stock Plan (As Amended March 18, 2009) (incorporated by reference to Exhibit 10.1 to Registrant's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Report on Form 10-Q for the quarter ended May 1, 2009, Commission File No. 1-8649).*</w:t>
      </w:r>
    </w:p>
    <w:p>
      <w:pPr>
        <w:spacing w:after="0" w:line="15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color w:val="auto"/>
        </w:rPr>
        <w:t>Form of Nonqualified Stock Option Agreement between The Toro Company and its Non-Employee Directors under The Toro Company 2000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Stock Plan (incorporated by reference to Exhibit 10.20 to Registrant's Annual Report on Form 10-K for the fiscal year ended October 31, 2008, Commission File No. 1-8649).*</w:t>
      </w:r>
    </w:p>
    <w:p>
      <w:pPr>
        <w:spacing w:after="0" w:line="17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color w:val="auto"/>
        </w:rPr>
        <w:t xml:space="preserve">10.13 </w:t>
      </w:r>
      <w:r>
        <w:rPr>
          <w:rFonts w:ascii="Arial" w:cs="Arial" w:eastAsia="Arial" w:hAnsi="Arial"/>
          <w:sz w:val="16"/>
          <w:szCs w:val="16"/>
          <w:color w:val="auto"/>
        </w:rPr>
        <w:t>Form of Nonemployee Director Stock Option Agreement between The Toro Company and its Non-Employee Directors under The Toro Company 2010</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Incentive Plan (incorporated by reference to Exhibit 10.1 to Registrant's Quarterly Report on Form 10-Q for the quarter ended July 30, 2010, Commission File No. 1-8649).*</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color w:val="auto"/>
        </w:rPr>
        <w:t xml:space="preserve">10.14 </w:t>
      </w:r>
      <w:r>
        <w:rPr>
          <w:rFonts w:ascii="Arial" w:cs="Arial" w:eastAsia="Arial" w:hAnsi="Arial"/>
          <w:sz w:val="16"/>
          <w:szCs w:val="16"/>
          <w:color w:val="auto"/>
        </w:rPr>
        <w:t>Form of Nonqualified Stock Option Agreement between The Toro Company and its officers and other employees under The Toro Company 2000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Plan (incorporated by reference to Exhibit 10.21 to Registrant's Annual Report on Form 10-K for the fiscal year ended October 31, 2008, Commission File No. 1-8649).*</w:t>
      </w:r>
    </w:p>
    <w:p>
      <w:pPr>
        <w:spacing w:after="0" w:line="172" w:lineRule="exact"/>
        <w:rPr>
          <w:sz w:val="20"/>
          <w:szCs w:val="20"/>
          <w:color w:val="auto"/>
        </w:rPr>
      </w:pPr>
    </w:p>
    <w:p>
      <w:pPr>
        <w:jc w:val="both"/>
        <w:ind w:right="480"/>
        <w:spacing w:after="0" w:line="269" w:lineRule="auto"/>
        <w:rPr>
          <w:sz w:val="20"/>
          <w:szCs w:val="20"/>
          <w:color w:val="auto"/>
        </w:rPr>
      </w:pPr>
      <w:r>
        <w:rPr>
          <w:rFonts w:ascii="Arial" w:cs="Arial" w:eastAsia="Arial" w:hAnsi="Arial"/>
          <w:sz w:val="16"/>
          <w:szCs w:val="16"/>
          <w:b w:val="1"/>
          <w:bCs w:val="1"/>
          <w:color w:val="auto"/>
        </w:rPr>
        <w:t xml:space="preserve">10.15 </w:t>
      </w:r>
      <w:r>
        <w:rPr>
          <w:rFonts w:ascii="Arial" w:cs="Arial" w:eastAsia="Arial" w:hAnsi="Arial"/>
          <w:sz w:val="16"/>
          <w:szCs w:val="16"/>
          <w:color w:val="auto"/>
        </w:rPr>
        <w:t>Form of Nonqualified Stock Option Agreement between The Toro Company and its officers and other employees under The Toro Company 2010</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Incentive Plan (incorporated by reference to Exhibit 10.2 to Registrant's Quarterly Report on Form 10-Q for the quarter ended July 30, 2010, Commission File No. 1-8649).*</w:t>
      </w:r>
    </w:p>
    <w:p>
      <w:pPr>
        <w:spacing w:after="0" w:line="172"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b w:val="1"/>
          <w:bCs w:val="1"/>
          <w:color w:val="auto"/>
        </w:rPr>
        <w:t xml:space="preserve">10.16 </w:t>
      </w:r>
      <w:r>
        <w:rPr>
          <w:rFonts w:ascii="Arial" w:cs="Arial" w:eastAsia="Arial" w:hAnsi="Arial"/>
          <w:sz w:val="16"/>
          <w:szCs w:val="16"/>
          <w:color w:val="auto"/>
        </w:rPr>
        <w:t>Form of Performance Share Award Agreement between The Toro Company and its officers and other employees under The Toro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Plan (incorporated by reference to Exhibit 10(t) to Registrant's Annual Report on Form 10-K for the fiscal year ended October 31, 2007, Commission File No. 1-8649).*</w:t>
      </w:r>
    </w:p>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b w:val="1"/>
          <w:bCs w:val="1"/>
          <w:color w:val="auto"/>
        </w:rPr>
        <w:t xml:space="preserve">10.17 </w:t>
      </w:r>
      <w:r>
        <w:rPr>
          <w:rFonts w:ascii="Arial" w:cs="Arial" w:eastAsia="Arial" w:hAnsi="Arial"/>
          <w:sz w:val="16"/>
          <w:szCs w:val="16"/>
          <w:color w:val="auto"/>
        </w:rPr>
        <w:t>Form of Performance Share Award Agreement between The Toro Company and its officers and other employees under The Toro Company 2010</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Incentive Plan (incorporated by reference to Exhibit 10.17 to Registrant's Annual Report on Form 10-K for the fiscal year ended October 31, 2010, Commission File No. 1-8649).*</w:t>
      </w:r>
    </w:p>
    <w:p>
      <w:pPr>
        <w:spacing w:after="0" w:line="172"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b w:val="1"/>
          <w:bCs w:val="1"/>
          <w:color w:val="auto"/>
        </w:rPr>
        <w:t xml:space="preserve">10.18 </w:t>
      </w:r>
      <w:r>
        <w:rPr>
          <w:rFonts w:ascii="Arial" w:cs="Arial" w:eastAsia="Arial" w:hAnsi="Arial"/>
          <w:sz w:val="16"/>
          <w:szCs w:val="16"/>
          <w:color w:val="auto"/>
        </w:rPr>
        <w:t>Form of Annual Performance Award Agreement between The Toro Company and its officers and other employees under The Toro Company 2010</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Incentive Plan (incorporated by reference to Exhibit 10.17 to Registrant's Annual Report on Form 10-K for the fiscal year ended October 31, 2011, Commission File No. 1-8649).*</w:t>
      </w:r>
    </w:p>
    <w:p>
      <w:pPr>
        <w:spacing w:after="0" w:line="17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color w:val="auto"/>
        </w:rPr>
        <w:t xml:space="preserve">10.19 </w:t>
      </w:r>
      <w:r>
        <w:rPr>
          <w:rFonts w:ascii="Arial" w:cs="Arial" w:eastAsia="Arial" w:hAnsi="Arial"/>
          <w:sz w:val="16"/>
          <w:szCs w:val="16"/>
          <w:color w:val="auto"/>
        </w:rPr>
        <w:t>Form of Restricted Stock Award Agreement between The Toro Company and its officers and other employees under The Toro Company 2010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and Incentive Plan (incorporated by reference to Exhibit 10.3 to Registrant's Quarterly Report on Form 10-Q for the quarter ended July 30, 2010, Commission File No. 1-8649).*</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10.20 </w:t>
      </w:r>
      <w:r>
        <w:rPr>
          <w:rFonts w:ascii="Arial" w:cs="Arial" w:eastAsia="Arial" w:hAnsi="Arial"/>
          <w:sz w:val="16"/>
          <w:szCs w:val="16"/>
          <w:color w:val="auto"/>
        </w:rPr>
        <w:t>Form of Restricted Stock Unit Award Agreement (incorporated by reference to Exhibit 10.19 to Registrant's Annual Report on Form 10-K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ended October 31, 2012, Commission File No. 1-8649).*</w:t>
      </w:r>
    </w:p>
    <w:p>
      <w:pPr>
        <w:spacing w:after="0" w:line="151"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color w:val="auto"/>
        </w:rPr>
        <w:t xml:space="preserve">10.21 </w:t>
      </w:r>
      <w:r>
        <w:rPr>
          <w:rFonts w:ascii="Arial" w:cs="Arial" w:eastAsia="Arial" w:hAnsi="Arial"/>
          <w:sz w:val="16"/>
          <w:szCs w:val="16"/>
          <w:color w:val="auto"/>
        </w:rPr>
        <w:t>Form of Nonqualified Stock Option Agreement for Grants Outside the United States of America between The Toro Company and other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Toro Company 2010 Equity and Incentive Plan (filed herewith).*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9" w:name="page70"/>
    <w:bookmarkEnd w:id="69"/>
    <w:p>
      <w:pPr>
        <w:ind w:right="260"/>
        <w:spacing w:after="0" w:line="294" w:lineRule="auto"/>
        <w:rPr>
          <w:sz w:val="20"/>
          <w:szCs w:val="20"/>
          <w:color w:val="auto"/>
        </w:rPr>
      </w:pPr>
      <w:r>
        <w:rPr>
          <w:rFonts w:ascii="Arial" w:cs="Arial" w:eastAsia="Arial" w:hAnsi="Arial"/>
          <w:sz w:val="16"/>
          <w:szCs w:val="16"/>
          <w:b w:val="1"/>
          <w:bCs w:val="1"/>
          <w:color w:val="auto"/>
        </w:rPr>
        <w:t xml:space="preserve">10.22 </w:t>
      </w:r>
      <w:r>
        <w:rPr>
          <w:rFonts w:ascii="Arial" w:cs="Arial" w:eastAsia="Arial" w:hAnsi="Arial"/>
          <w:sz w:val="16"/>
          <w:szCs w:val="16"/>
          <w:color w:val="auto"/>
        </w:rPr>
        <w:t>Indemnification Agreement with the members of the Board of Directors (incorporated by reference to Exhibit 10(u) to Registrant's Annual Report on</w:t>
      </w:r>
      <w:r>
        <w:rPr>
          <w:rFonts w:ascii="Arial" w:cs="Arial" w:eastAsia="Arial" w:hAnsi="Arial"/>
          <w:sz w:val="16"/>
          <w:szCs w:val="16"/>
          <w:b w:val="1"/>
          <w:bCs w:val="1"/>
          <w:color w:val="auto"/>
        </w:rPr>
        <w:t xml:space="preserve"> </w:t>
      </w:r>
      <w:r>
        <w:rPr>
          <w:rFonts w:ascii="Arial" w:cs="Arial" w:eastAsia="Arial" w:hAnsi="Arial"/>
          <w:sz w:val="16"/>
          <w:szCs w:val="16"/>
          <w:color w:val="auto"/>
        </w:rPr>
        <w:t>Form 10-K for the fiscal year ended October 31, 2006, Commission File No. 1-8649).*</w:t>
      </w:r>
    </w:p>
    <w:p>
      <w:pPr>
        <w:spacing w:after="0" w:line="15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color w:val="auto"/>
        </w:rPr>
        <w:t xml:space="preserve">10.23 </w:t>
      </w:r>
      <w:r>
        <w:rPr>
          <w:rFonts w:ascii="Arial" w:cs="Arial" w:eastAsia="Arial" w:hAnsi="Arial"/>
          <w:sz w:val="16"/>
          <w:szCs w:val="16"/>
          <w:color w:val="auto"/>
        </w:rPr>
        <w:t>The Toro Company Change in Control Severance Compensation Policy and attached Form of Release (incorporated by reference to Exhibit 10.1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Registrant's Current Report on Form 8-K dated January 18, 2011, Commission File No. 1-8649).*</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10.24 </w:t>
      </w:r>
      <w:r>
        <w:rPr>
          <w:rFonts w:ascii="Arial" w:cs="Arial" w:eastAsia="Arial" w:hAnsi="Arial"/>
          <w:sz w:val="16"/>
          <w:szCs w:val="16"/>
          <w:color w:val="auto"/>
        </w:rPr>
        <w:t>Offer Letter dated July 25, 2011 between The Toro Company and Renee J. Peterson (incorporated by reference to Exhibit 10.1 to Registrant's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Report on Form 8-K dated July 29, 2011, Commission File No. 1-8649).*</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10.25 </w:t>
      </w:r>
      <w:r>
        <w:rPr>
          <w:rFonts w:ascii="Arial" w:cs="Arial" w:eastAsia="Arial" w:hAnsi="Arial"/>
          <w:sz w:val="16"/>
          <w:szCs w:val="16"/>
          <w:color w:val="auto"/>
        </w:rPr>
        <w:t>Credit Agreement dated as of July 28, 2011, among The Toro Company, Toro Manufacturing LLC, Exmark Manufacturing Company Incorporated, Toro</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Company and certain subsidiaries, as Borrowers, the lenders from time to time party thereto, Bank of America, N.A., as Administrative Agent, Swing Line Lender and Letter of Credit Issuer and Wells Fargo Bank, National Association, as Syndication Agent (incorporated by reference to Exhibit 10.1 to Registrant's Current Report on Form 8-K dated July 28, 2011, Commission File No. 1-8649).</w:t>
      </w:r>
    </w:p>
    <w:p>
      <w:pPr>
        <w:spacing w:after="0" w:line="17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10.26 (1) </w:t>
      </w:r>
      <w:r>
        <w:rPr>
          <w:rFonts w:ascii="Arial" w:cs="Arial" w:eastAsia="Arial" w:hAnsi="Arial"/>
          <w:sz w:val="16"/>
          <w:szCs w:val="16"/>
          <w:color w:val="auto"/>
        </w:rPr>
        <w:t>Credit and Security Agreement dated August 12, 2009 by and between Red Iron Acceptance, LLC and TCF Inventory Finance, Inc.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by reference to Exhibit 10.1 to Registrant's Current Report on Form 8-K dated August 12, 2009, Commission File No. 1-8649).</w:t>
      </w:r>
    </w:p>
    <w:p>
      <w:pPr>
        <w:spacing w:after="0" w:line="151" w:lineRule="exact"/>
        <w:rPr>
          <w:sz w:val="20"/>
          <w:szCs w:val="20"/>
          <w:color w:val="auto"/>
        </w:rPr>
      </w:pPr>
    </w:p>
    <w:p>
      <w:pPr>
        <w:ind w:left="40" w:right="140" w:hanging="44"/>
        <w:spacing w:after="0" w:line="294" w:lineRule="auto"/>
        <w:rPr>
          <w:sz w:val="20"/>
          <w:szCs w:val="20"/>
          <w:color w:val="auto"/>
        </w:rPr>
      </w:pPr>
      <w:r>
        <w:rPr>
          <w:rFonts w:ascii="Arial" w:cs="Arial" w:eastAsia="Arial" w:hAnsi="Arial"/>
          <w:sz w:val="16"/>
          <w:szCs w:val="16"/>
          <w:b w:val="1"/>
          <w:bCs w:val="1"/>
          <w:color w:val="auto"/>
        </w:rPr>
        <w:t xml:space="preserve">10.27 (1) </w:t>
      </w:r>
      <w:r>
        <w:rPr>
          <w:rFonts w:ascii="Arial" w:cs="Arial" w:eastAsia="Arial" w:hAnsi="Arial"/>
          <w:sz w:val="16"/>
          <w:szCs w:val="16"/>
          <w:color w:val="auto"/>
        </w:rPr>
        <w:t>First Amendment to Credit and Security Agreement, dated June 6, 2012, by and between Red Iron Acceptance, LLC and TCF Inventory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Inc. (incorporated by reference to Exhibit 10.1 to Registrant's Quarterly Report on Form 10-Q dated May 4, 2012, Commission File No. 1-8649).</w:t>
      </w:r>
    </w:p>
    <w:p>
      <w:pPr>
        <w:spacing w:after="0" w:line="153" w:lineRule="exact"/>
        <w:rPr>
          <w:sz w:val="20"/>
          <w:szCs w:val="20"/>
          <w:color w:val="auto"/>
        </w:rPr>
      </w:pPr>
    </w:p>
    <w:p>
      <w:pPr>
        <w:ind w:left="320" w:hanging="320"/>
        <w:spacing w:after="0"/>
        <w:tabs>
          <w:tab w:leader="none" w:pos="32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Computation of Ratio of Earnings to Fixed Charges (filed herewith).</w:t>
      </w:r>
    </w:p>
    <w:p>
      <w:pPr>
        <w:spacing w:after="0" w:line="230" w:lineRule="exact"/>
        <w:rPr>
          <w:sz w:val="20"/>
          <w:szCs w:val="20"/>
          <w:color w:val="auto"/>
        </w:rPr>
      </w:pPr>
    </w:p>
    <w:p>
      <w:pPr>
        <w:ind w:left="320" w:hanging="320"/>
        <w:spacing w:after="0"/>
        <w:tabs>
          <w:tab w:leader="none" w:pos="32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Subsidiaries of Registrant (filed herewith).</w:t>
      </w:r>
    </w:p>
    <w:p>
      <w:pPr>
        <w:spacing w:after="0" w:line="230" w:lineRule="exact"/>
        <w:rPr>
          <w:sz w:val="20"/>
          <w:szCs w:val="20"/>
          <w:color w:val="auto"/>
        </w:rPr>
      </w:pPr>
    </w:p>
    <w:p>
      <w:pPr>
        <w:ind w:left="320" w:hanging="320"/>
        <w:spacing w:after="0"/>
        <w:tabs>
          <w:tab w:leader="none" w:pos="32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Consent of Independent Registered Public Accounting Firm (filed herewith).</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color w:val="auto"/>
        </w:rPr>
        <w:t>Certification of Chief Executive Officer Pursuant to Rule 13a-14(a) (Section 302 of the Sarbanes-Oxley Act of 2002) (filed herewith).</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31.2  </w:t>
      </w:r>
      <w:r>
        <w:rPr>
          <w:rFonts w:ascii="Arial" w:cs="Arial" w:eastAsia="Arial" w:hAnsi="Arial"/>
          <w:sz w:val="16"/>
          <w:szCs w:val="16"/>
          <w:color w:val="auto"/>
        </w:rPr>
        <w:t>Certification of Chief Financial Officer Pursuant to Rule 13a-14(a) (Section 302 of the Sarbanes-Oxley Act of 2002) (filed herewith).</w:t>
      </w:r>
    </w:p>
    <w:p>
      <w:pPr>
        <w:spacing w:after="0" w:line="232" w:lineRule="exact"/>
        <w:rPr>
          <w:sz w:val="20"/>
          <w:szCs w:val="20"/>
          <w:color w:val="auto"/>
        </w:rPr>
      </w:pPr>
    </w:p>
    <w:p>
      <w:pPr>
        <w:ind w:right="580"/>
        <w:spacing w:after="0" w:line="291" w:lineRule="auto"/>
        <w:tabs>
          <w:tab w:leader="none" w:pos="317"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Certification of Chief Executive Officer and Chief Financial Officer Pursuant to 18 U.S.C. Section 1350, as Adopted Pursuant to Section 906 of the Sarbanes-Oxley Act of 2002 (furnished herewith).</w:t>
      </w:r>
    </w:p>
    <w:p>
      <w:pPr>
        <w:spacing w:after="0" w:line="156" w:lineRule="exact"/>
        <w:rPr>
          <w:sz w:val="20"/>
          <w:szCs w:val="20"/>
          <w:color w:val="auto"/>
        </w:rPr>
      </w:pPr>
    </w:p>
    <w:p>
      <w:pPr>
        <w:spacing w:after="0" w:line="254" w:lineRule="auto"/>
        <w:tabs>
          <w:tab w:leader="none" w:pos="405"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The following financial information from The Toro Company's Annual Report on Form 10-K for the fiscal year ended October 31, 2013, filed with the SEC on December 20, 2013, formatted in eXtensible Business Reporting Language (XBRL): (i) Consolidated Statements of Earnings for each of the fiscal years in the three-year period ended October 31, 2013, (ii) Consolidated Statements of Comprehensive Income for each of the fiscal years in the three-year period ended October 31, 2013, (iii) Consolidated Balance Sheets as of October 31, 2013 and 2012, (iv) Consolidated Statements of Cash Flows for each of the fiscal years in the three-year period ended October 31, 2013, (v) Consolidated Statements of Stockholders' Equity each of the fiscal years in the three-year period ended October 31, 2013, and (vi) Notes to Consolidated Financial Statements (filed herewith).</w:t>
      </w:r>
    </w:p>
    <w:p>
      <w:pPr>
        <w:spacing w:after="0" w:line="167" w:lineRule="exact"/>
        <w:rPr>
          <w:sz w:val="20"/>
          <w:szCs w:val="20"/>
          <w:color w:val="auto"/>
        </w:rPr>
      </w:pPr>
    </w:p>
    <w:p>
      <w:pPr>
        <w:ind w:left="500" w:hanging="50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Portions of this exhibit have been redacted and are subject to an order granting confidential treatment under the Securities Exchange Act of 1934, as amended (File No. 001-08649, CF</w:t>
      </w:r>
    </w:p>
    <w:p>
      <w:pPr>
        <w:spacing w:after="0" w:line="17" w:lineRule="exact"/>
        <w:rPr>
          <w:rFonts w:ascii="Arial" w:cs="Arial" w:eastAsia="Arial" w:hAnsi="Arial"/>
          <w:sz w:val="13"/>
          <w:szCs w:val="13"/>
          <w:color w:val="auto"/>
        </w:rPr>
      </w:pPr>
    </w:p>
    <w:p>
      <w:pPr>
        <w:ind w:left="620" w:hanging="118"/>
        <w:spacing w:after="0"/>
        <w:tabs>
          <w:tab w:leader="none" w:pos="6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24035). The redacted material was filed separately with the Securities and Exchange Commission.</w:t>
      </w:r>
    </w:p>
    <w:p>
      <w:pPr>
        <w:spacing w:after="0" w:line="135" w:lineRule="exact"/>
        <w:rPr>
          <w:rFonts w:ascii="Arial" w:cs="Arial" w:eastAsia="Arial" w:hAnsi="Arial"/>
          <w:sz w:val="13"/>
          <w:szCs w:val="13"/>
          <w:color w:val="auto"/>
        </w:rPr>
      </w:pPr>
    </w:p>
    <w:p>
      <w:pPr>
        <w:ind w:left="500" w:hanging="50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Portions of this exhibit have been redacted and are subject to an order granting confidential treatment under the Securities Exchange Act of 1934, as amended (File No. 001-08649, CF</w:t>
      </w:r>
    </w:p>
    <w:p>
      <w:pPr>
        <w:spacing w:after="0" w:line="17" w:lineRule="exact"/>
        <w:rPr>
          <w:rFonts w:ascii="Arial" w:cs="Arial" w:eastAsia="Arial" w:hAnsi="Arial"/>
          <w:sz w:val="13"/>
          <w:szCs w:val="13"/>
          <w:color w:val="auto"/>
        </w:rPr>
      </w:pPr>
    </w:p>
    <w:p>
      <w:pPr>
        <w:ind w:left="620" w:hanging="118"/>
        <w:spacing w:after="0"/>
        <w:tabs>
          <w:tab w:leader="none" w:pos="6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28545). The redacted material was filed separately with the Securities and Exchange Commission.</w:t>
      </w:r>
    </w:p>
    <w:p>
      <w:pPr>
        <w:spacing w:after="0" w:line="136" w:lineRule="exact"/>
        <w:rPr>
          <w:sz w:val="20"/>
          <w:szCs w:val="20"/>
          <w:color w:val="auto"/>
        </w:rPr>
      </w:pPr>
    </w:p>
    <w:p>
      <w:pPr>
        <w:ind w:left="500" w:hanging="50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required to be filed as an exhibit to this Annual Report on Form 10-K pursuant to Item 15(b) of Regulation S-K.</w:t>
      </w:r>
    </w:p>
    <w:p>
      <w:pPr>
        <w:spacing w:after="0" w:line="152" w:lineRule="exact"/>
        <w:rPr>
          <w:sz w:val="20"/>
          <w:szCs w:val="20"/>
          <w:color w:val="auto"/>
        </w:rPr>
      </w:pPr>
    </w:p>
    <w:p>
      <w:pPr>
        <w:ind w:left="500" w:right="380" w:hanging="500"/>
        <w:spacing w:after="0" w:line="289" w:lineRule="auto"/>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Exhibits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Item 15(a)(3) above.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Financial Statement Schedules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Item 15(a)(2) above.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SCHEDULE II</w:t>
      </w:r>
    </w:p>
    <w:p>
      <w:pPr>
        <w:spacing w:after="0" w:line="388" w:lineRule="exact"/>
        <w:rPr>
          <w:sz w:val="20"/>
          <w:szCs w:val="20"/>
          <w:color w:val="auto"/>
        </w:rPr>
      </w:pPr>
    </w:p>
    <w:p>
      <w:pPr>
        <w:ind w:left="3420"/>
        <w:spacing w:after="0"/>
        <w:rPr>
          <w:sz w:val="20"/>
          <w:szCs w:val="20"/>
          <w:color w:val="auto"/>
        </w:rPr>
      </w:pPr>
      <w:r>
        <w:rPr>
          <w:rFonts w:ascii="Arial" w:cs="Arial" w:eastAsia="Arial" w:hAnsi="Arial"/>
          <w:sz w:val="23"/>
          <w:szCs w:val="23"/>
          <w:b w:val="1"/>
          <w:bCs w:val="1"/>
          <w:color w:val="auto"/>
        </w:rPr>
        <w:t>THE TORO COMPANY AND SUBSIDIARIES</w:t>
      </w:r>
    </w:p>
    <w:p>
      <w:pPr>
        <w:spacing w:after="0" w:line="31" w:lineRule="exact"/>
        <w:rPr>
          <w:sz w:val="20"/>
          <w:szCs w:val="20"/>
          <w:color w:val="auto"/>
        </w:rPr>
      </w:pPr>
    </w:p>
    <w:p>
      <w:pPr>
        <w:ind w:left="3820"/>
        <w:spacing w:after="0"/>
        <w:rPr>
          <w:sz w:val="20"/>
          <w:szCs w:val="20"/>
          <w:color w:val="auto"/>
        </w:rPr>
      </w:pPr>
      <w:r>
        <w:rPr>
          <w:rFonts w:ascii="Arial" w:cs="Arial" w:eastAsia="Arial" w:hAnsi="Arial"/>
          <w:sz w:val="23"/>
          <w:szCs w:val="23"/>
          <w:b w:val="1"/>
          <w:bCs w:val="1"/>
          <w:color w:val="auto"/>
        </w:rPr>
        <w:t>Valuation and Qualifying Accounts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13"/>
              <w:spacing w:after="0" w:line="143" w:lineRule="exact"/>
              <w:rPr>
                <w:sz w:val="20"/>
                <w:szCs w:val="20"/>
                <w:color w:val="auto"/>
              </w:rPr>
            </w:pPr>
            <w:r>
              <w:rPr>
                <w:rFonts w:ascii="Arial" w:cs="Arial" w:eastAsia="Arial" w:hAnsi="Arial"/>
                <w:sz w:val="13"/>
                <w:szCs w:val="13"/>
                <w:color w:val="auto"/>
              </w:rPr>
              <w:t>Balance as of</w:t>
            </w:r>
          </w:p>
        </w:tc>
        <w:tc>
          <w:tcPr>
            <w:tcW w:w="8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Charged to</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60"/>
              <w:spacing w:after="0" w:line="143" w:lineRule="exact"/>
              <w:rPr>
                <w:sz w:val="20"/>
                <w:szCs w:val="20"/>
                <w:color w:val="auto"/>
              </w:rPr>
            </w:pPr>
            <w:r>
              <w:rPr>
                <w:rFonts w:ascii="Arial" w:cs="Arial" w:eastAsia="Arial" w:hAnsi="Arial"/>
                <w:sz w:val="13"/>
                <w:szCs w:val="13"/>
                <w:color w:val="auto"/>
              </w:rPr>
              <w:t>Balance as of</w:t>
            </w: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the beginning</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costs and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the end of</w:t>
            </w: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740" w:type="dxa"/>
            <w:vAlign w:val="bottom"/>
            <w:gridSpan w:val="2"/>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7"/>
                <w:szCs w:val="17"/>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of the fiscal year</w:t>
            </w:r>
          </w:p>
        </w:tc>
        <w:tc>
          <w:tcPr>
            <w:tcW w:w="820" w:type="dxa"/>
            <w:vAlign w:val="bottom"/>
            <w:gridSpan w:val="2"/>
          </w:tcPr>
          <w:p>
            <w:pPr>
              <w:jc w:val="right"/>
              <w:spacing w:after="0" w:line="201" w:lineRule="exact"/>
              <w:rPr>
                <w:sz w:val="20"/>
                <w:szCs w:val="20"/>
                <w:color w:val="auto"/>
              </w:rPr>
            </w:pPr>
            <w:r>
              <w:rPr>
                <w:rFonts w:ascii="Arial" w:cs="Arial" w:eastAsia="Arial" w:hAnsi="Arial"/>
                <w:sz w:val="13"/>
                <w:szCs w:val="13"/>
                <w:color w:val="auto"/>
              </w:rPr>
              <w:t>expenses</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480" w:type="dxa"/>
            <w:vAlign w:val="bottom"/>
          </w:tcPr>
          <w:p>
            <w:pPr>
              <w:jc w:val="right"/>
              <w:ind w:right="13"/>
              <w:spacing w:after="0" w:line="201" w:lineRule="exact"/>
              <w:rPr>
                <w:sz w:val="20"/>
                <w:szCs w:val="20"/>
                <w:color w:val="auto"/>
              </w:rPr>
            </w:pPr>
            <w:r>
              <w:rPr>
                <w:rFonts w:ascii="Arial" w:cs="Arial" w:eastAsia="Arial" w:hAnsi="Arial"/>
                <w:sz w:val="13"/>
                <w:szCs w:val="13"/>
                <w:color w:val="auto"/>
                <w:w w:val="95"/>
              </w:rPr>
              <w:t>Other</w:t>
            </w:r>
            <w:r>
              <w:rPr>
                <w:rFonts w:ascii="Arial" w:cs="Arial" w:eastAsia="Arial" w:hAnsi="Arial"/>
                <w:sz w:val="20"/>
                <w:szCs w:val="20"/>
                <w:color w:val="auto"/>
                <w:w w:val="95"/>
                <w:vertAlign w:val="superscript"/>
              </w:rPr>
              <w:t>2</w:t>
            </w:r>
          </w:p>
        </w:tc>
        <w:tc>
          <w:tcPr>
            <w:tcW w:w="960" w:type="dxa"/>
            <w:vAlign w:val="bottom"/>
            <w:gridSpan w:val="2"/>
          </w:tcPr>
          <w:p>
            <w:pPr>
              <w:jc w:val="right"/>
              <w:ind w:right="33"/>
              <w:spacing w:after="0" w:line="201" w:lineRule="exact"/>
              <w:rPr>
                <w:sz w:val="20"/>
                <w:szCs w:val="20"/>
                <w:color w:val="auto"/>
              </w:rPr>
            </w:pPr>
            <w:r>
              <w:rPr>
                <w:rFonts w:ascii="Arial" w:cs="Arial" w:eastAsia="Arial" w:hAnsi="Arial"/>
                <w:sz w:val="13"/>
                <w:szCs w:val="13"/>
                <w:color w:val="auto"/>
              </w:rPr>
              <w:t>Deductions</w:t>
            </w:r>
            <w:r>
              <w:rPr>
                <w:rFonts w:ascii="Arial" w:cs="Arial" w:eastAsia="Arial" w:hAnsi="Arial"/>
                <w:sz w:val="20"/>
                <w:szCs w:val="20"/>
                <w:color w:val="auto"/>
                <w:vertAlign w:val="superscript"/>
              </w:rPr>
              <w:t>3</w:t>
            </w:r>
          </w:p>
        </w:tc>
        <w:tc>
          <w:tcPr>
            <w:tcW w:w="1120" w:type="dxa"/>
            <w:vAlign w:val="bottom"/>
            <w:gridSpan w:val="4"/>
          </w:tcPr>
          <w:p>
            <w:pPr>
              <w:jc w:val="right"/>
              <w:ind w:right="160"/>
              <w:spacing w:after="0"/>
              <w:rPr>
                <w:sz w:val="20"/>
                <w:szCs w:val="20"/>
                <w:color w:val="auto"/>
              </w:rPr>
            </w:pPr>
            <w:r>
              <w:rPr>
                <w:rFonts w:ascii="Arial" w:cs="Arial" w:eastAsia="Arial" w:hAnsi="Arial"/>
                <w:sz w:val="13"/>
                <w:szCs w:val="13"/>
                <w:color w:val="auto"/>
              </w:rPr>
              <w:t>the fiscal year</w:t>
            </w: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Fiscal year ended October 31, 2013</w:t>
            </w:r>
          </w:p>
        </w:tc>
        <w:tc>
          <w:tcPr>
            <w:tcW w:w="2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Allowance for doubtful accounts and notes receivable reserves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3,733</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123</w:t>
            </w:r>
          </w:p>
        </w:tc>
        <w:tc>
          <w:tcPr>
            <w:tcW w:w="2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431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3,425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5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2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Fiscal year ended October 31, 2012</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740" w:type="dxa"/>
            <w:vAlign w:val="bottom"/>
            <w:gridSpan w:val="2"/>
          </w:tcPr>
          <w:p>
            <w:pPr>
              <w:ind w:left="20"/>
              <w:spacing w:after="0"/>
              <w:rPr>
                <w:sz w:val="20"/>
                <w:szCs w:val="20"/>
                <w:color w:val="auto"/>
              </w:rPr>
            </w:pPr>
            <w:r>
              <w:rPr>
                <w:rFonts w:ascii="Arial" w:cs="Arial" w:eastAsia="Arial" w:hAnsi="Arial"/>
                <w:sz w:val="13"/>
                <w:szCs w:val="13"/>
                <w:color w:val="auto"/>
              </w:rPr>
              <w:t>Allowance for doubtful accounts and notes receivable reserves</w:t>
            </w:r>
          </w:p>
        </w:tc>
        <w:tc>
          <w:tcPr>
            <w:tcW w:w="22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2,040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2,160</w:t>
            </w:r>
          </w:p>
        </w:tc>
        <w:tc>
          <w:tcPr>
            <w:tcW w:w="22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479</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3,733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Fiscal year ended October 31, 2011</w:t>
            </w:r>
          </w:p>
        </w:tc>
        <w:tc>
          <w:tcPr>
            <w:tcW w:w="2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accounts and notes receivable reserves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3,904</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55</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1,925</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0" w:type="dxa"/>
            <w:vAlign w:val="bottom"/>
            <w:vMerge w:val="restart"/>
          </w:tcPr>
          <w:p>
            <w:pPr>
              <w:jc w:val="right"/>
              <w:ind w:right="290"/>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vMerge w:val="restart"/>
          </w:tcPr>
          <w:p>
            <w:pPr>
              <w:ind w:left="80"/>
              <w:spacing w:after="0"/>
              <w:rPr>
                <w:sz w:val="20"/>
                <w:szCs w:val="20"/>
                <w:color w:val="auto"/>
              </w:rPr>
            </w:pPr>
            <w:r>
              <w:rPr>
                <w:rFonts w:ascii="Arial" w:cs="Arial" w:eastAsia="Arial" w:hAnsi="Arial"/>
                <w:sz w:val="13"/>
                <w:szCs w:val="13"/>
                <w:color w:val="auto"/>
              </w:rPr>
              <w:t>Provision/(recovery).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0" w:type="dxa"/>
            <w:vAlign w:val="bottom"/>
            <w:vMerge w:val="restart"/>
          </w:tcPr>
          <w:p>
            <w:pPr>
              <w:jc w:val="right"/>
              <w:ind w:right="290"/>
              <w:spacing w:after="0"/>
              <w:rPr>
                <w:sz w:val="20"/>
                <w:szCs w:val="20"/>
                <w:color w:val="auto"/>
              </w:rPr>
            </w:pPr>
            <w:r>
              <w:rPr>
                <w:rFonts w:ascii="Arial" w:cs="Arial" w:eastAsia="Arial" w:hAnsi="Arial"/>
                <w:sz w:val="10"/>
                <w:szCs w:val="10"/>
                <w:color w:val="auto"/>
                <w:w w:val="71"/>
              </w:rPr>
              <w:t>2</w:t>
            </w:r>
          </w:p>
        </w:tc>
        <w:tc>
          <w:tcPr>
            <w:tcW w:w="20" w:type="dxa"/>
            <w:vAlign w:val="bottom"/>
          </w:tcPr>
          <w:p>
            <w:pPr>
              <w:spacing w:after="0"/>
              <w:rPr>
                <w:sz w:val="3"/>
                <w:szCs w:val="3"/>
                <w:color w:val="auto"/>
              </w:rPr>
            </w:pPr>
          </w:p>
        </w:tc>
        <w:tc>
          <w:tcPr>
            <w:tcW w:w="5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720" w:type="dxa"/>
            <w:vAlign w:val="bottom"/>
            <w:vMerge w:val="restart"/>
          </w:tcPr>
          <w:p>
            <w:pPr>
              <w:ind w:left="80"/>
              <w:spacing w:after="0"/>
              <w:rPr>
                <w:sz w:val="20"/>
                <w:szCs w:val="20"/>
                <w:color w:val="auto"/>
              </w:rPr>
            </w:pPr>
            <w:r>
              <w:rPr>
                <w:rFonts w:ascii="Arial" w:cs="Arial" w:eastAsia="Arial" w:hAnsi="Arial"/>
                <w:sz w:val="13"/>
                <w:szCs w:val="13"/>
                <w:color w:val="auto"/>
              </w:rPr>
              <w:t>Addition due to acquisitions.</w:t>
            </w: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400" w:type="dxa"/>
            <w:vAlign w:val="bottom"/>
            <w:vMerge w:val="restart"/>
          </w:tcPr>
          <w:p>
            <w:pPr>
              <w:jc w:val="right"/>
              <w:ind w:right="290"/>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3"/>
                <w:szCs w:val="3"/>
                <w:color w:val="auto"/>
              </w:rPr>
            </w:pPr>
          </w:p>
        </w:tc>
        <w:tc>
          <w:tcPr>
            <w:tcW w:w="5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720" w:type="dxa"/>
            <w:vAlign w:val="bottom"/>
            <w:vMerge w:val="restart"/>
          </w:tcPr>
          <w:p>
            <w:pPr>
              <w:ind w:left="80"/>
              <w:spacing w:after="0"/>
              <w:rPr>
                <w:sz w:val="20"/>
                <w:szCs w:val="20"/>
                <w:color w:val="auto"/>
              </w:rPr>
            </w:pPr>
            <w:r>
              <w:rPr>
                <w:rFonts w:ascii="Arial" w:cs="Arial" w:eastAsia="Arial" w:hAnsi="Arial"/>
                <w:sz w:val="13"/>
                <w:szCs w:val="13"/>
                <w:color w:val="auto"/>
              </w:rPr>
              <w:t>Uncollectible accounts charged off.</w:t>
            </w: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Balance as of</w:t>
            </w:r>
          </w:p>
        </w:tc>
        <w:tc>
          <w:tcPr>
            <w:tcW w:w="940" w:type="dxa"/>
            <w:vAlign w:val="bottom"/>
            <w:gridSpan w:val="3"/>
          </w:tcPr>
          <w:p>
            <w:pPr>
              <w:jc w:val="right"/>
              <w:ind w:right="13"/>
              <w:spacing w:after="0" w:line="143" w:lineRule="exact"/>
              <w:rPr>
                <w:sz w:val="20"/>
                <w:szCs w:val="20"/>
                <w:color w:val="auto"/>
              </w:rPr>
            </w:pPr>
            <w:r>
              <w:rPr>
                <w:rFonts w:ascii="Arial" w:cs="Arial" w:eastAsia="Arial" w:hAnsi="Arial"/>
                <w:sz w:val="13"/>
                <w:szCs w:val="13"/>
                <w:color w:val="auto"/>
              </w:rPr>
              <w:t>Charged to</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Balance as of</w:t>
            </w: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the beginning</w:t>
            </w:r>
          </w:p>
        </w:tc>
        <w:tc>
          <w:tcPr>
            <w:tcW w:w="240" w:type="dxa"/>
            <w:vAlign w:val="bottom"/>
          </w:tcPr>
          <w:p>
            <w:pPr>
              <w:spacing w:after="0"/>
              <w:rPr>
                <w:sz w:val="13"/>
                <w:szCs w:val="13"/>
                <w:color w:val="auto"/>
              </w:rPr>
            </w:pPr>
          </w:p>
        </w:tc>
        <w:tc>
          <w:tcPr>
            <w:tcW w:w="700" w:type="dxa"/>
            <w:vAlign w:val="bottom"/>
            <w:gridSpan w:val="2"/>
          </w:tcPr>
          <w:p>
            <w:pPr>
              <w:jc w:val="right"/>
              <w:ind w:right="13"/>
              <w:spacing w:after="0"/>
              <w:rPr>
                <w:sz w:val="20"/>
                <w:szCs w:val="20"/>
                <w:color w:val="auto"/>
              </w:rPr>
            </w:pPr>
            <w:r>
              <w:rPr>
                <w:rFonts w:ascii="Arial" w:cs="Arial" w:eastAsia="Arial" w:hAnsi="Arial"/>
                <w:sz w:val="13"/>
                <w:szCs w:val="13"/>
                <w:color w:val="auto"/>
              </w:rPr>
              <w:t>costs and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the end of</w:t>
            </w: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of the fiscal year</w:t>
            </w:r>
          </w:p>
        </w:tc>
        <w:tc>
          <w:tcPr>
            <w:tcW w:w="240" w:type="dxa"/>
            <w:vAlign w:val="bottom"/>
          </w:tcPr>
          <w:p>
            <w:pPr>
              <w:spacing w:after="0"/>
              <w:rPr>
                <w:sz w:val="17"/>
                <w:szCs w:val="17"/>
                <w:color w:val="auto"/>
              </w:rPr>
            </w:pPr>
          </w:p>
        </w:tc>
        <w:tc>
          <w:tcPr>
            <w:tcW w:w="700" w:type="dxa"/>
            <w:vAlign w:val="bottom"/>
            <w:gridSpan w:val="2"/>
          </w:tcPr>
          <w:p>
            <w:pPr>
              <w:jc w:val="right"/>
              <w:ind w:right="13"/>
              <w:spacing w:after="0" w:line="201" w:lineRule="exact"/>
              <w:rPr>
                <w:sz w:val="20"/>
                <w:szCs w:val="20"/>
                <w:color w:val="auto"/>
              </w:rPr>
            </w:pPr>
            <w:r>
              <w:rPr>
                <w:rFonts w:ascii="Arial" w:cs="Arial" w:eastAsia="Arial" w:hAnsi="Arial"/>
                <w:sz w:val="13"/>
                <w:szCs w:val="13"/>
                <w:color w:val="auto"/>
                <w:w w:val="95"/>
              </w:rPr>
              <w:t>expenses</w:t>
            </w:r>
            <w:r>
              <w:rPr>
                <w:rFonts w:ascii="Arial" w:cs="Arial" w:eastAsia="Arial" w:hAnsi="Arial"/>
                <w:sz w:val="20"/>
                <w:szCs w:val="20"/>
                <w:color w:val="auto"/>
                <w:w w:val="95"/>
                <w:vertAlign w:val="superscript"/>
              </w:rPr>
              <w:t>1</w:t>
            </w:r>
          </w:p>
        </w:tc>
        <w:tc>
          <w:tcPr>
            <w:tcW w:w="160" w:type="dxa"/>
            <w:vAlign w:val="bottom"/>
          </w:tcPr>
          <w:p>
            <w:pPr>
              <w:spacing w:after="0"/>
              <w:rPr>
                <w:sz w:val="17"/>
                <w:szCs w:val="17"/>
                <w:color w:val="auto"/>
              </w:rPr>
            </w:pPr>
          </w:p>
        </w:tc>
        <w:tc>
          <w:tcPr>
            <w:tcW w:w="800" w:type="dxa"/>
            <w:vAlign w:val="bottom"/>
          </w:tcPr>
          <w:p>
            <w:pPr>
              <w:jc w:val="right"/>
              <w:ind w:right="13"/>
              <w:spacing w:after="0" w:line="201" w:lineRule="exact"/>
              <w:rPr>
                <w:sz w:val="20"/>
                <w:szCs w:val="20"/>
                <w:color w:val="auto"/>
              </w:rPr>
            </w:pPr>
            <w:r>
              <w:rPr>
                <w:rFonts w:ascii="Arial" w:cs="Arial" w:eastAsia="Arial" w:hAnsi="Arial"/>
                <w:sz w:val="13"/>
                <w:szCs w:val="13"/>
                <w:color w:val="auto"/>
                <w:w w:val="96"/>
              </w:rPr>
              <w:t>Deductions</w:t>
            </w:r>
            <w:r>
              <w:rPr>
                <w:rFonts w:ascii="Arial" w:cs="Arial" w:eastAsia="Arial" w:hAnsi="Arial"/>
                <w:sz w:val="20"/>
                <w:szCs w:val="20"/>
                <w:color w:val="auto"/>
                <w:w w:val="96"/>
                <w:vertAlign w:val="superscript"/>
              </w:rPr>
              <w:t>2</w:t>
            </w: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the fiscal year</w:t>
            </w: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574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Fiscal year ended October 31, 2013</w:t>
            </w:r>
          </w:p>
        </w:tc>
        <w:tc>
          <w:tcPr>
            <w:tcW w:w="2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Accrued advertising and marketing programs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56,264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287,217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279,290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64,191</w:t>
            </w: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5740" w:type="dxa"/>
            <w:vAlign w:val="bottom"/>
            <w:gridSpan w:val="2"/>
          </w:tcPr>
          <w:p>
            <w:pPr>
              <w:spacing w:after="0" w:line="132" w:lineRule="exact"/>
              <w:rPr>
                <w:sz w:val="20"/>
                <w:szCs w:val="20"/>
                <w:color w:val="auto"/>
              </w:rPr>
            </w:pPr>
            <w:r>
              <w:rPr>
                <w:rFonts w:ascii="Arial" w:cs="Arial" w:eastAsia="Arial" w:hAnsi="Arial"/>
                <w:sz w:val="13"/>
                <w:szCs w:val="13"/>
                <w:color w:val="auto"/>
              </w:rPr>
              <w:t>Fiscal year ended October 31, 2012</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Arial" w:cs="Arial" w:eastAsia="Arial" w:hAnsi="Arial"/>
                <w:sz w:val="13"/>
                <w:szCs w:val="13"/>
                <w:color w:val="auto"/>
              </w:rPr>
              <w:t>Accrued advertising and marketing programs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47,161</w:t>
            </w:r>
          </w:p>
        </w:tc>
        <w:tc>
          <w:tcPr>
            <w:tcW w:w="24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Arial" w:cs="Arial" w:eastAsia="Arial" w:hAnsi="Arial"/>
                <w:sz w:val="13"/>
                <w:szCs w:val="13"/>
                <w:color w:val="auto"/>
              </w:rPr>
              <w:t>214,474</w:t>
            </w:r>
          </w:p>
        </w:tc>
        <w:tc>
          <w:tcPr>
            <w:tcW w:w="16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205,371</w:t>
            </w:r>
          </w:p>
        </w:tc>
        <w:tc>
          <w:tcPr>
            <w:tcW w:w="14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56,264</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5740" w:type="dxa"/>
            <w:vAlign w:val="bottom"/>
            <w:tcBorders>
              <w:top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Fiscal year ended October 31, 2011</w:t>
            </w:r>
          </w:p>
        </w:tc>
        <w:tc>
          <w:tcPr>
            <w:tcW w:w="2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advertising and marketing programs</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43,095</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190,021</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185,955</w:t>
            </w: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47,161</w:t>
            </w: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hanging="500"/>
        <w:spacing w:after="0"/>
        <w:tabs>
          <w:tab w:leader="none" w:pos="500" w:val="left"/>
        </w:tabs>
        <w:numPr>
          <w:ilvl w:val="0"/>
          <w:numId w:val="55"/>
        </w:numPr>
        <w:rPr>
          <w:rFonts w:ascii="Arial" w:cs="Arial" w:eastAsia="Arial" w:hAnsi="Arial"/>
          <w:sz w:val="20"/>
          <w:szCs w:val="20"/>
          <w:color w:val="auto"/>
          <w:vertAlign w:val="superscript"/>
        </w:rPr>
      </w:pPr>
      <w:r>
        <w:rPr>
          <w:rFonts w:ascii="Arial" w:cs="Arial" w:eastAsia="Arial" w:hAnsi="Arial"/>
          <w:sz w:val="13"/>
          <w:szCs w:val="13"/>
          <w:color w:val="auto"/>
        </w:rPr>
        <w:t>Provision consists of rebates, cooperative advertising, floor planning costs, commissions, and other promotional program expenses. The expense of each program is classified either as</w:t>
      </w:r>
    </w:p>
    <w:tbl>
      <w:tblPr>
        <w:tblLayout w:type="fixed"/>
        <w:tblInd w:w="0" w:type="dxa"/>
        <w:tblCellMar>
          <w:top w:w="0" w:type="dxa"/>
          <w:left w:w="0" w:type="dxa"/>
          <w:bottom w:w="0" w:type="dxa"/>
          <w:right w:w="0" w:type="dxa"/>
        </w:tblCellMar>
      </w:tblPr>
      <w:tr>
        <w:trPr>
          <w:trHeight w:val="135"/>
        </w:trPr>
        <w:tc>
          <w:tcPr>
            <w:tcW w:w="280" w:type="dxa"/>
            <w:vAlign w:val="bottom"/>
            <w:vMerge w:val="restart"/>
          </w:tcPr>
          <w:p>
            <w:pPr>
              <w:jc w:val="right"/>
              <w:ind w:right="170"/>
              <w:spacing w:after="0"/>
              <w:rPr>
                <w:sz w:val="20"/>
                <w:szCs w:val="20"/>
                <w:color w:val="auto"/>
              </w:rPr>
            </w:pPr>
            <w:r>
              <w:rPr>
                <w:rFonts w:ascii="Arial" w:cs="Arial" w:eastAsia="Arial" w:hAnsi="Arial"/>
                <w:sz w:val="10"/>
                <w:szCs w:val="10"/>
                <w:color w:val="auto"/>
                <w:w w:val="71"/>
              </w:rPr>
              <w:t>2</w:t>
            </w:r>
          </w:p>
        </w:tc>
        <w:tc>
          <w:tcPr>
            <w:tcW w:w="11140" w:type="dxa"/>
            <w:vAlign w:val="bottom"/>
          </w:tcPr>
          <w:p>
            <w:pPr>
              <w:ind w:left="220"/>
              <w:spacing w:after="0" w:line="134" w:lineRule="exact"/>
              <w:rPr>
                <w:sz w:val="20"/>
                <w:szCs w:val="20"/>
                <w:color w:val="auto"/>
              </w:rPr>
            </w:pPr>
            <w:r>
              <w:rPr>
                <w:rFonts w:ascii="Arial" w:cs="Arial" w:eastAsia="Arial" w:hAnsi="Arial"/>
                <w:sz w:val="13"/>
                <w:szCs w:val="13"/>
                <w:color w:val="auto"/>
              </w:rPr>
              <w:t>a reduction of net sales or as a component of selling, general, and administrative expense.</w:t>
            </w:r>
          </w:p>
        </w:tc>
        <w:tc>
          <w:tcPr>
            <w:tcW w:w="0" w:type="dxa"/>
            <w:vAlign w:val="bottom"/>
          </w:tcPr>
          <w:p>
            <w:pPr>
              <w:spacing w:after="0"/>
              <w:rPr>
                <w:sz w:val="1"/>
                <w:szCs w:val="1"/>
                <w:color w:val="auto"/>
              </w:rPr>
            </w:pPr>
          </w:p>
        </w:tc>
      </w:tr>
      <w:tr>
        <w:trPr>
          <w:trHeight w:val="106"/>
        </w:trPr>
        <w:tc>
          <w:tcPr>
            <w:tcW w:w="280" w:type="dxa"/>
            <w:vAlign w:val="bottom"/>
            <w:vMerge w:val="continue"/>
          </w:tcPr>
          <w:p>
            <w:pPr>
              <w:spacing w:after="0"/>
              <w:rPr>
                <w:sz w:val="9"/>
                <w:szCs w:val="9"/>
                <w:color w:val="auto"/>
              </w:rPr>
            </w:pPr>
          </w:p>
        </w:tc>
        <w:tc>
          <w:tcPr>
            <w:tcW w:w="11140" w:type="dxa"/>
            <w:vAlign w:val="bottom"/>
            <w:vMerge w:val="restart"/>
          </w:tcPr>
          <w:p>
            <w:pPr>
              <w:ind w:left="220"/>
              <w:spacing w:after="0"/>
              <w:rPr>
                <w:sz w:val="20"/>
                <w:szCs w:val="20"/>
                <w:color w:val="auto"/>
              </w:rPr>
            </w:pPr>
            <w:r>
              <w:rPr>
                <w:rFonts w:ascii="Arial" w:cs="Arial" w:eastAsia="Arial" w:hAnsi="Arial"/>
                <w:sz w:val="13"/>
                <w:szCs w:val="13"/>
                <w:color w:val="auto"/>
              </w:rPr>
              <w:t>Claims paid.</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1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6"/>
        </w:trPr>
        <w:tc>
          <w:tcPr>
            <w:tcW w:w="280" w:type="dxa"/>
            <w:vAlign w:val="bottom"/>
          </w:tcPr>
          <w:p>
            <w:pPr>
              <w:spacing w:after="0"/>
              <w:rPr>
                <w:sz w:val="24"/>
                <w:szCs w:val="24"/>
                <w:color w:val="auto"/>
              </w:rPr>
            </w:pPr>
          </w:p>
        </w:tc>
        <w:tc>
          <w:tcPr>
            <w:tcW w:w="11140" w:type="dxa"/>
            <w:vAlign w:val="bottom"/>
          </w:tcPr>
          <w:p>
            <w:pPr>
              <w:jc w:val="right"/>
              <w:ind w:right="5548"/>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5"/>
        </w:trPr>
        <w:tc>
          <w:tcPr>
            <w:tcW w:w="280" w:type="dxa"/>
            <w:vAlign w:val="bottom"/>
            <w:tcBorders>
              <w:bottom w:val="single" w:sz="8" w:color="808080"/>
            </w:tcBorders>
          </w:tcPr>
          <w:p>
            <w:pPr>
              <w:spacing w:after="0"/>
              <w:rPr>
                <w:sz w:val="16"/>
                <w:szCs w:val="16"/>
                <w:color w:val="auto"/>
              </w:rPr>
            </w:pPr>
          </w:p>
        </w:tc>
        <w:tc>
          <w:tcPr>
            <w:tcW w:w="1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SIGNATURES</w:t>
      </w:r>
    </w:p>
    <w:p>
      <w:pPr>
        <w:spacing w:after="0" w:line="218"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69215</wp:posOffset>
            </wp:positionV>
            <wp:extent cx="17526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16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(Registrant)</w:t>
      </w:r>
    </w:p>
    <w:p>
      <w:pPr>
        <w:spacing w:after="0" w:line="230" w:lineRule="exact"/>
        <w:rPr>
          <w:sz w:val="20"/>
          <w:szCs w:val="20"/>
          <w:color w:val="auto"/>
        </w:rPr>
      </w:pPr>
    </w:p>
    <w:p>
      <w:pPr>
        <w:ind w:left="1020"/>
        <w:spacing w:after="0"/>
        <w:tabs>
          <w:tab w:leader="none" w:pos="1680" w:val="left"/>
          <w:tab w:leader="none" w:pos="8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Renee J. Peterson</w:t>
      </w:r>
      <w:r>
        <w:rPr>
          <w:sz w:val="20"/>
          <w:szCs w:val="20"/>
          <w:color w:val="auto"/>
        </w:rPr>
        <w:tab/>
      </w:r>
      <w:r>
        <w:rPr>
          <w:rFonts w:ascii="Arial" w:cs="Arial" w:eastAsia="Arial" w:hAnsi="Arial"/>
          <w:sz w:val="16"/>
          <w:szCs w:val="16"/>
          <w:color w:val="auto"/>
        </w:rPr>
        <w:t>Dated: December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69215</wp:posOffset>
            </wp:positionV>
            <wp:extent cx="17526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16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Renee J. Peterson</w:t>
      </w:r>
    </w:p>
    <w:p>
      <w:pPr>
        <w:spacing w:after="0" w:line="2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Vice President, Treasurer and</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Chief Financial Officer</w:t>
      </w:r>
    </w:p>
    <w:p>
      <w:pPr>
        <w:spacing w:after="0" w:line="18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172" w:lineRule="exact"/>
        <w:rPr>
          <w:sz w:val="20"/>
          <w:szCs w:val="20"/>
          <w:color w:val="auto"/>
        </w:rPr>
      </w:pPr>
    </w:p>
    <w:p>
      <w:pPr>
        <w:ind w:left="1140"/>
        <w:spacing w:after="0"/>
        <w:tabs>
          <w:tab w:leader="none" w:pos="4180" w:val="left"/>
          <w:tab w:leader="none" w:pos="846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-93345</wp:posOffset>
            </wp:positionV>
            <wp:extent cx="57829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66675</wp:posOffset>
            </wp:positionV>
            <wp:extent cx="16249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Michael J. Hoffman</w:t>
      </w: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69215</wp:posOffset>
            </wp:positionV>
            <wp:extent cx="16249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Renee J. Peterson</w:t>
      </w: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69215</wp:posOffset>
            </wp:positionV>
            <wp:extent cx="16249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Thomas J. Larson</w:t>
      </w: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69215</wp:posOffset>
            </wp:positionV>
            <wp:extent cx="16249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Robert C. Buhrmaster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Chairman of the Board, President and</w:t>
      </w:r>
      <w:r>
        <w:rPr>
          <w:sz w:val="20"/>
          <w:szCs w:val="20"/>
          <w:color w:val="auto"/>
        </w:rPr>
        <w:tab/>
      </w:r>
      <w:r>
        <w:rPr>
          <w:rFonts w:ascii="Arial" w:cs="Arial" w:eastAsia="Arial" w:hAnsi="Arial"/>
          <w:sz w:val="16"/>
          <w:szCs w:val="16"/>
          <w:color w:val="auto"/>
        </w:rPr>
        <w:t>December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-116205</wp:posOffset>
            </wp:positionV>
            <wp:extent cx="57829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Chief Executive Officer and Director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10"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Vice President, Treasurer and</w:t>
      </w:r>
      <w:r>
        <w:rPr>
          <w:sz w:val="20"/>
          <w:szCs w:val="20"/>
          <w:color w:val="auto"/>
        </w:rPr>
        <w:tab/>
      </w:r>
      <w:r>
        <w:rPr>
          <w:rFonts w:ascii="Arial" w:cs="Arial" w:eastAsia="Arial" w:hAnsi="Arial"/>
          <w:sz w:val="16"/>
          <w:szCs w:val="16"/>
          <w:color w:val="auto"/>
        </w:rPr>
        <w:t>December 20, 2013</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10"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Vice President, Corporate Controller</w:t>
      </w:r>
      <w:r>
        <w:rPr>
          <w:sz w:val="20"/>
          <w:szCs w:val="20"/>
          <w:color w:val="auto"/>
        </w:rPr>
        <w:tab/>
      </w:r>
      <w:r>
        <w:rPr>
          <w:rFonts w:ascii="Arial" w:cs="Arial" w:eastAsia="Arial" w:hAnsi="Arial"/>
          <w:sz w:val="16"/>
          <w:szCs w:val="16"/>
          <w:color w:val="auto"/>
        </w:rPr>
        <w:t>December 20, 2013</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386"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20, 2013</w:t>
      </w:r>
    </w:p>
    <w:p>
      <w:pPr>
        <w:spacing w:after="0" w:line="563" w:lineRule="exact"/>
        <w:rPr>
          <w:sz w:val="20"/>
          <w:szCs w:val="20"/>
          <w:color w:val="auto"/>
        </w:rPr>
      </w:pPr>
    </w:p>
    <w:p>
      <w:pPr>
        <w:sectPr>
          <w:pgSz w:w="11900" w:h="16838" w:orient="portrait"/>
          <w:cols w:equalWidth="0" w:num="2">
            <w:col w:w="3480" w:space="720"/>
            <w:col w:w="7220"/>
          </w:cols>
          <w:pgMar w:left="240" w:top="122"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Janet K. Cooper</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Janet K. Cooper</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Gary L. Ellis</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Gary L. Ellis</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Jeffrey M. Ettinger</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Jeffrey M. Ettinger</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Katherine J. Harless</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Katherine J. Harless</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James C. O'Rourke</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James C. O'Rourke</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Gregg W. Steinhafel</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Gregg W. Steinhafel</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414"/>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/s/ Christopher A. Twomey</w:t>
            </w:r>
          </w:p>
        </w:tc>
        <w:tc>
          <w:tcPr>
            <w:tcW w:w="15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220" w:type="dxa"/>
            <w:vAlign w:val="bottom"/>
          </w:tcPr>
          <w:p>
            <w:pPr>
              <w:ind w:left="3280"/>
              <w:spacing w:after="0"/>
              <w:rPr>
                <w:sz w:val="20"/>
                <w:szCs w:val="20"/>
                <w:color w:val="auto"/>
              </w:rPr>
            </w:pPr>
            <w:r>
              <w:rPr>
                <w:rFonts w:ascii="Arial" w:cs="Arial" w:eastAsia="Arial" w:hAnsi="Arial"/>
                <w:sz w:val="16"/>
                <w:szCs w:val="16"/>
                <w:color w:val="auto"/>
              </w:rPr>
              <w:t>December 20, 2013</w:t>
            </w:r>
          </w:p>
        </w:tc>
      </w:tr>
      <w:tr>
        <w:trPr>
          <w:trHeight w:val="73"/>
        </w:trPr>
        <w:tc>
          <w:tcPr>
            <w:tcW w:w="114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6220" w:type="dxa"/>
            <w:vAlign w:val="bottom"/>
          </w:tcPr>
          <w:p>
            <w:pPr>
              <w:spacing w:after="0"/>
              <w:rPr>
                <w:sz w:val="6"/>
                <w:szCs w:val="6"/>
                <w:color w:val="auto"/>
              </w:rPr>
            </w:pPr>
          </w:p>
        </w:tc>
      </w:tr>
      <w:tr>
        <w:trPr>
          <w:trHeight w:val="270"/>
        </w:trPr>
        <w:tc>
          <w:tcPr>
            <w:tcW w:w="11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Christopher A. Twomey</w:t>
            </w:r>
          </w:p>
        </w:tc>
        <w:tc>
          <w:tcPr>
            <w:tcW w:w="150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389"/>
        </w:trPr>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20" w:type="dxa"/>
            <w:vAlign w:val="bottom"/>
          </w:tcPr>
          <w:p>
            <w:pPr>
              <w:ind w:left="420"/>
              <w:spacing w:after="0"/>
              <w:rPr>
                <w:sz w:val="20"/>
                <w:szCs w:val="20"/>
                <w:color w:val="auto"/>
              </w:rPr>
            </w:pPr>
            <w:r>
              <w:rPr>
                <w:rFonts w:ascii="Arial" w:cs="Arial" w:eastAsia="Arial" w:hAnsi="Arial"/>
                <w:sz w:val="16"/>
                <w:szCs w:val="16"/>
                <w:color w:val="auto"/>
              </w:rPr>
              <w:t>72</w:t>
            </w:r>
          </w:p>
        </w:tc>
      </w:tr>
      <w:tr>
        <w:trPr>
          <w:trHeight w:val="195"/>
        </w:trPr>
        <w:tc>
          <w:tcPr>
            <w:tcW w:w="1140" w:type="dxa"/>
            <w:vAlign w:val="bottom"/>
            <w:tcBorders>
              <w:bottom w:val="single" w:sz="8" w:color="808080"/>
            </w:tcBorders>
          </w:tcPr>
          <w:p>
            <w:pPr>
              <w:spacing w:after="0"/>
              <w:rPr>
                <w:sz w:val="16"/>
                <w:szCs w:val="16"/>
                <w:color w:val="auto"/>
              </w:rPr>
            </w:pPr>
          </w:p>
        </w:tc>
        <w:tc>
          <w:tcPr>
            <w:tcW w:w="25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6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2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 2010 EQUITY AND INCENTIVE PLAN</w:t>
      </w:r>
    </w:p>
    <w:p>
      <w:pPr>
        <w:spacing w:after="0" w:line="190" w:lineRule="exact"/>
        <w:rPr>
          <w:sz w:val="20"/>
          <w:szCs w:val="20"/>
          <w:color w:val="auto"/>
        </w:rPr>
      </w:pPr>
    </w:p>
    <w:p>
      <w:pPr>
        <w:ind w:right="120" w:firstLine="602"/>
        <w:spacing w:after="0" w:line="255" w:lineRule="auto"/>
        <w:rPr>
          <w:sz w:val="20"/>
          <w:szCs w:val="20"/>
          <w:color w:val="auto"/>
        </w:rPr>
      </w:pPr>
      <w:r>
        <w:rPr>
          <w:rFonts w:ascii="Times New Roman" w:cs="Times New Roman" w:eastAsia="Times New Roman" w:hAnsi="Times New Roman"/>
          <w:sz w:val="17"/>
          <w:szCs w:val="17"/>
          <w:color w:val="auto"/>
        </w:rPr>
        <w:t>The Board of Directors (the “Board”) and shareholders of The Toro Company, a Delaware corporation (the “Company”), have heretofore approved and adopted The Toro Company 2010 Equity and Incentive Plan (as amended, the “Plan”), and pursuant to the power of amendment reserved to the Compensation and Human Resources Committee of the Board (the “Committee”) in Section 20.1 of the Plan, the Committee has adopted and approved this Amendment No. 2 to the Plan (this “Amendment”), effective as September 17, 2013.</w:t>
      </w:r>
    </w:p>
    <w:p>
      <w:pPr>
        <w:spacing w:after="0" w:line="173" w:lineRule="exact"/>
        <w:rPr>
          <w:sz w:val="20"/>
          <w:szCs w:val="20"/>
          <w:color w:val="auto"/>
        </w:rPr>
      </w:pPr>
    </w:p>
    <w:p>
      <w:pPr>
        <w:ind w:left="1200" w:hanging="598"/>
        <w:spacing w:after="0"/>
        <w:tabs>
          <w:tab w:leader="none" w:pos="12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11.1 of the Plan is hereby amended and restated in its entirety to read as follows:</w:t>
      </w:r>
    </w:p>
    <w:p>
      <w:pPr>
        <w:spacing w:after="0" w:line="201" w:lineRule="exact"/>
        <w:rPr>
          <w:rFonts w:ascii="Times New Roman" w:cs="Times New Roman" w:eastAsia="Times New Roman" w:hAnsi="Times New Roman"/>
          <w:sz w:val="17"/>
          <w:szCs w:val="17"/>
          <w:color w:val="auto"/>
        </w:rPr>
      </w:pPr>
    </w:p>
    <w:p>
      <w:pPr>
        <w:ind w:left="120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b w:val="1"/>
          <w:bCs w:val="1"/>
          <w:color w:val="auto"/>
        </w:rPr>
        <w:t>Nonemployee Director Shares</w:t>
      </w:r>
      <w:r>
        <w:rPr>
          <w:rFonts w:ascii="Times New Roman" w:cs="Times New Roman" w:eastAsia="Times New Roman" w:hAnsi="Times New Roman"/>
          <w:sz w:val="17"/>
          <w:szCs w:val="17"/>
          <w:color w:val="auto"/>
        </w:rPr>
        <w:t>. On the first business day of each fiscal year, the Company shall issue to each person who is then a Nonemployee Director, Shares in an amount equal to $47,000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hereof.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78"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11.2(a) of the Plan is hereby amended and restated in its entirety to read as follows:</w:t>
      </w:r>
    </w:p>
    <w:p>
      <w:pPr>
        <w:spacing w:after="0" w:line="201" w:lineRule="exact"/>
        <w:rPr>
          <w:rFonts w:ascii="Times New Roman" w:cs="Times New Roman" w:eastAsia="Times New Roman" w:hAnsi="Times New Roman"/>
          <w:sz w:val="17"/>
          <w:szCs w:val="17"/>
          <w:color w:val="auto"/>
        </w:rPr>
      </w:pPr>
    </w:p>
    <w:p>
      <w:pPr>
        <w:ind w:left="1200" w:right="4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Annual Grant</w:t>
      </w:r>
      <w:r>
        <w:rPr>
          <w:rFonts w:ascii="Times New Roman" w:cs="Times New Roman" w:eastAsia="Times New Roman" w:hAnsi="Times New Roman"/>
          <w:sz w:val="16"/>
          <w:szCs w:val="16"/>
          <w:color w:val="auto"/>
        </w:rPr>
        <w:t>. Subject to the terms and conditions of this Section 11.2, on the first business day of each fiscal year, the Company shall grant to each person who is then a Nonemployee Director, a Nonqualified Stock Option to purchase Shares (a “Nonemployee Director Option”). Each Nonemployee Director Option shall have a grant date fair value of $47,000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62"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Other Changes</w:t>
      </w:r>
      <w:r>
        <w:rPr>
          <w:rFonts w:ascii="Times New Roman" w:cs="Times New Roman" w:eastAsia="Times New Roman" w:hAnsi="Times New Roman"/>
          <w:sz w:val="17"/>
          <w:szCs w:val="17"/>
          <w:color w:val="auto"/>
        </w:rPr>
        <w:t>. Except as specifically set forth in Sections 1 and 2 of this Amendment, the Plan shall remain unchanged and shall continue in full</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277100"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Toro Company has hereunto subscribed its name effective this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 September, 2013.</w:t>
      </w:r>
    </w:p>
    <w:p>
      <w:pPr>
        <w:spacing w:after="0" w:line="16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200" w:lineRule="exact"/>
        <w:rPr>
          <w:sz w:val="20"/>
          <w:szCs w:val="20"/>
          <w:color w:val="auto"/>
        </w:rPr>
      </w:pP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Michael J. Hoffman</w:t>
      </w:r>
    </w:p>
    <w:p>
      <w:pPr>
        <w:spacing w:after="0" w:line="21"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7"/>
          <w:szCs w:val="17"/>
          <w:color w:val="auto"/>
        </w:rPr>
        <w:t>By:</w:t>
        <w:tab/>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-123190</wp:posOffset>
            </wp:positionV>
            <wp:extent cx="3623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tabs>
          <w:tab w:leader="none" w:pos="6160" w:val="left"/>
        </w:tabs>
        <w:rPr>
          <w:sz w:val="20"/>
          <w:szCs w:val="20"/>
          <w:color w:val="auto"/>
        </w:rPr>
      </w:pPr>
      <w:r>
        <w:rPr>
          <w:rFonts w:ascii="Times New Roman" w:cs="Times New Roman" w:eastAsia="Times New Roman" w:hAnsi="Times New Roman"/>
          <w:sz w:val="17"/>
          <w:szCs w:val="17"/>
          <w:color w:val="auto"/>
        </w:rPr>
        <w:t>Its:</w:t>
        <w:tab/>
        <w:t>Chairman and CEO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7100"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NONQUALIFIED STOCK OPTION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 2010 EQUITY AND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(GRANTS OUTSIDE THE UNITED STATES OF AMERICA)</w:t>
      </w:r>
    </w:p>
    <w:p>
      <w:pPr>
        <w:spacing w:after="0" w:line="186" w:lineRule="exact"/>
        <w:rPr>
          <w:sz w:val="20"/>
          <w:szCs w:val="20"/>
          <w:color w:val="auto"/>
        </w:rPr>
      </w:pPr>
    </w:p>
    <w:p>
      <w:pPr>
        <w:ind w:right="60" w:firstLine="602"/>
        <w:spacing w:after="0" w:line="251" w:lineRule="auto"/>
        <w:rPr>
          <w:sz w:val="20"/>
          <w:szCs w:val="20"/>
          <w:color w:val="auto"/>
        </w:rPr>
      </w:pPr>
      <w:r>
        <w:rPr>
          <w:rFonts w:ascii="Times New Roman" w:cs="Times New Roman" w:eastAsia="Times New Roman" w:hAnsi="Times New Roman"/>
          <w:sz w:val="17"/>
          <w:szCs w:val="17"/>
          <w:color w:val="auto"/>
        </w:rPr>
        <w:t>This Agreement (this “Agreement”) dated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(the “Grant Date”), between The Toro Company, a Delaware corporation (“Toro”), and [</w:t>
      </w: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17"/>
          <w:szCs w:val="17"/>
          <w:color w:val="auto"/>
        </w:rPr>
        <w:t xml:space="preserve"> (“you”) sets forth the terms and conditions of the grant to you of a nonqualified option (this “Option”) to purchase [</w:t>
      </w:r>
      <w:r>
        <w:rPr>
          <w:rFonts w:ascii="Times New Roman" w:cs="Times New Roman" w:eastAsia="Times New Roman" w:hAnsi="Times New Roman"/>
          <w:sz w:val="17"/>
          <w:szCs w:val="17"/>
          <w:b w:val="1"/>
          <w:bCs w:val="1"/>
          <w:color w:val="auto"/>
        </w:rPr>
        <w:t>shares granted</w:t>
      </w:r>
      <w:r>
        <w:rPr>
          <w:rFonts w:ascii="Times New Roman" w:cs="Times New Roman" w:eastAsia="Times New Roman" w:hAnsi="Times New Roman"/>
          <w:sz w:val="17"/>
          <w:szCs w:val="17"/>
          <w:color w:val="auto"/>
        </w:rPr>
        <w:t>] shares of common stock, par value $1.00 per share, of Toro (“Shares”), at an exercise price of $[</w:t>
      </w:r>
      <w:r>
        <w:rPr>
          <w:rFonts w:ascii="Times New Roman" w:cs="Times New Roman" w:eastAsia="Times New Roman" w:hAnsi="Times New Roman"/>
          <w:sz w:val="17"/>
          <w:szCs w:val="17"/>
          <w:b w:val="1"/>
          <w:bCs w:val="1"/>
          <w:color w:val="auto"/>
        </w:rPr>
        <w:t>grant price</w:t>
      </w:r>
      <w:r>
        <w:rPr>
          <w:rFonts w:ascii="Times New Roman" w:cs="Times New Roman" w:eastAsia="Times New Roman" w:hAnsi="Times New Roman"/>
          <w:sz w:val="17"/>
          <w:szCs w:val="17"/>
          <w:color w:val="auto"/>
        </w:rPr>
        <w:t>] per Share, under The Toro Company 2010 Equity and Incentive Plan, as amended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For purposes of this Agreement and the Nonqualified Stock Option Acceptance Agreement, any reference to “Toro” shall include any Affiliate or Subsidiary that employs you.</w:t>
      </w:r>
    </w:p>
    <w:p>
      <w:pPr>
        <w:spacing w:after="0" w:line="174" w:lineRule="exact"/>
        <w:rPr>
          <w:sz w:val="20"/>
          <w:szCs w:val="20"/>
          <w:color w:val="auto"/>
        </w:rPr>
      </w:pPr>
    </w:p>
    <w:p>
      <w:pPr>
        <w:ind w:left="600" w:hanging="600"/>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Expiration Date</w:t>
      </w:r>
      <w:r>
        <w:rPr>
          <w:rFonts w:ascii="Times New Roman" w:cs="Times New Roman" w:eastAsia="Times New Roman" w:hAnsi="Times New Roman"/>
          <w:sz w:val="17"/>
          <w:szCs w:val="17"/>
          <w:color w:val="auto"/>
        </w:rPr>
        <w:t>. This Option shall expire on [</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right="40"/>
        <w:spacing w:after="0" w:line="277" w:lineRule="auto"/>
        <w:tabs>
          <w:tab w:leader="none" w:pos="60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Vesting</w:t>
      </w:r>
      <w:r>
        <w:rPr>
          <w:rFonts w:ascii="Times New Roman" w:cs="Times New Roman" w:eastAsia="Times New Roman" w:hAnsi="Times New Roman"/>
          <w:sz w:val="17"/>
          <w:szCs w:val="17"/>
          <w:color w:val="auto"/>
        </w:rPr>
        <w:t>. Except as provided in Sections 3, 4 and 5 of this Agreement, this Option shall vest and become exercisable in three approximately equal installments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of the first, second and third anniversaries after the date of grant (rounding down to the nearest whole share on the vesting date(s), if necessary).</w:t>
      </w:r>
    </w:p>
    <w:p>
      <w:pPr>
        <w:spacing w:after="0" w:line="15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 of Termination of Employment or Service</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right="100" w:firstLine="602"/>
        <w:spacing w:after="0" w:line="262" w:lineRule="auto"/>
        <w:tabs>
          <w:tab w:leader="none" w:pos="120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If your employment or other service with Toro or any Affiliate or Subsidiary, as the case may be, is terminated by reason of your Disability,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Option will vest immediately, and you or your guardian or legal representative, as the case may be, may exercise this Option until the earlier of the date this Option expires or one (1) year after the date your employment or other service with Toro terminates by reason of your Disability.</w:t>
      </w:r>
    </w:p>
    <w:p>
      <w:pPr>
        <w:spacing w:after="0" w:line="162" w:lineRule="exact"/>
        <w:rPr>
          <w:rFonts w:ascii="Times New Roman" w:cs="Times New Roman" w:eastAsia="Times New Roman" w:hAnsi="Times New Roman"/>
          <w:sz w:val="17"/>
          <w:szCs w:val="17"/>
          <w:color w:val="auto"/>
        </w:rPr>
      </w:pPr>
    </w:p>
    <w:p>
      <w:pPr>
        <w:ind w:right="260" w:firstLine="602"/>
        <w:spacing w:after="0" w:line="277" w:lineRule="auto"/>
        <w:tabs>
          <w:tab w:leader="none" w:pos="121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Death</w:t>
      </w:r>
      <w:r>
        <w:rPr>
          <w:rFonts w:ascii="Times New Roman" w:cs="Times New Roman" w:eastAsia="Times New Roman" w:hAnsi="Times New Roman"/>
          <w:sz w:val="17"/>
          <w:szCs w:val="17"/>
          <w:color w:val="auto"/>
        </w:rPr>
        <w:t>. If you die, this Option will vest immediately, and your legal representatives, heirs or legatees may exercise this Option until the earlier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this Option expires or one (1) year after the date of your death.</w:t>
      </w:r>
    </w:p>
    <w:p>
      <w:pPr>
        <w:spacing w:after="0" w:line="150" w:lineRule="exact"/>
        <w:rPr>
          <w:rFonts w:ascii="Times New Roman" w:cs="Times New Roman" w:eastAsia="Times New Roman" w:hAnsi="Times New Roman"/>
          <w:sz w:val="17"/>
          <w:szCs w:val="17"/>
          <w:color w:val="auto"/>
        </w:rPr>
      </w:pPr>
    </w:p>
    <w:p>
      <w:pPr>
        <w:ind w:right="20" w:firstLine="602"/>
        <w:spacing w:after="0" w:line="254" w:lineRule="auto"/>
        <w:tabs>
          <w:tab w:leader="none" w:pos="121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Retirement</w:t>
      </w:r>
      <w:r>
        <w:rPr>
          <w:rFonts w:ascii="Times New Roman" w:cs="Times New Roman" w:eastAsia="Times New Roman" w:hAnsi="Times New Roman"/>
          <w:sz w:val="17"/>
          <w:szCs w:val="17"/>
          <w:color w:val="auto"/>
        </w:rPr>
        <w:t>. If your employment or other service with Toro or any Affiliate or Subsidiary, as the case may be, is terminated by reason of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Retirement after the last day of the fiscal year in which your grant was made, this Option will remain outstanding for a period of four (4) years after the date of your Retirement, but not later than the date this Option expires, and will continue to vest under Section 2 of this Agreement; provided, however, that if you become employed or retained to render services or assume responsibilities similar to those of the Toro position from which you retire, this Option shall automatically be canceled, expire and be forfeited.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4" w:lineRule="exact"/>
        <w:rPr>
          <w:rFonts w:ascii="Times New Roman" w:cs="Times New Roman" w:eastAsia="Times New Roman" w:hAnsi="Times New Roman"/>
          <w:sz w:val="17"/>
          <w:szCs w:val="17"/>
          <w:color w:val="auto"/>
        </w:rPr>
      </w:pPr>
    </w:p>
    <w:p>
      <w:pPr>
        <w:jc w:val="both"/>
        <w:ind w:right="120" w:firstLine="602"/>
        <w:spacing w:after="0" w:line="256" w:lineRule="auto"/>
        <w:tabs>
          <w:tab w:leader="none" w:pos="121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 If your employment or other service with Toro or any Affiliate or Subsidiary, as the case may be, is terminated for any reason other your death,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Disability or Retirement, you may exercise the then vested portion of this Option, if any, for a period of three (3) months after the date your employment or other service with Toro or any Affiliate or Subsidiary, as the case may be, terminates, but not later than the date this Option expires, and any unvested portion of this Option will be canceled on the date your employment or other service with Toro or any Affiliate or Subsidiary, as the case may be, terminates.</w:t>
      </w:r>
    </w:p>
    <w:p>
      <w:pPr>
        <w:spacing w:after="0" w:line="169" w:lineRule="exact"/>
        <w:rPr>
          <w:rFonts w:ascii="Times New Roman" w:cs="Times New Roman" w:eastAsia="Times New Roman" w:hAnsi="Times New Roman"/>
          <w:sz w:val="17"/>
          <w:szCs w:val="17"/>
          <w:color w:val="auto"/>
        </w:rPr>
      </w:pPr>
    </w:p>
    <w:p>
      <w:pPr>
        <w:ind w:right="440" w:firstLine="602"/>
        <w:spacing w:after="0" w:line="262" w:lineRule="auto"/>
        <w:tabs>
          <w:tab w:leader="none" w:pos="121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 Date of Termination</w:t>
      </w:r>
      <w:r>
        <w:rPr>
          <w:rFonts w:ascii="Times New Roman" w:cs="Times New Roman" w:eastAsia="Times New Roman" w:hAnsi="Times New Roman"/>
          <w:sz w:val="17"/>
          <w:szCs w:val="17"/>
          <w:color w:val="auto"/>
        </w:rPr>
        <w:t>. Notwithstanding anything to the contrary in the Plan and unless otherwise determined by the Committee in its sole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discretion, your termination date shall be the date on which your active employment ceases and shall not be extended by any statutory or common law notice of termination period unless otherwise required by applicable law.</w:t>
      </w:r>
    </w:p>
    <w:p>
      <w:pPr>
        <w:spacing w:after="0" w:line="162" w:lineRule="exact"/>
        <w:rPr>
          <w:rFonts w:ascii="Times New Roman" w:cs="Times New Roman" w:eastAsia="Times New Roman" w:hAnsi="Times New Roman"/>
          <w:sz w:val="17"/>
          <w:szCs w:val="17"/>
          <w:color w:val="auto"/>
        </w:rPr>
      </w:pPr>
    </w:p>
    <w:p>
      <w:pPr>
        <w:ind w:right="60"/>
        <w:spacing w:after="0" w:line="250" w:lineRule="auto"/>
        <w:tabs>
          <w:tab w:leader="none" w:pos="60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Adverse Action</w:t>
      </w:r>
      <w:r>
        <w:rPr>
          <w:rFonts w:ascii="Times New Roman" w:cs="Times New Roman" w:eastAsia="Times New Roman" w:hAnsi="Times New Roman"/>
          <w:sz w:val="17"/>
          <w:szCs w:val="17"/>
          <w:color w:val="auto"/>
        </w:rPr>
        <w:t>. In addition to the other rights of the Committee under the Plan, if you are determined by the Committee, acting in its sole discretion, to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employment or other service with Toro, an Affiliate or a Subsidiary,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4 shall not apply following a Change of Control.</w:t>
      </w:r>
    </w:p>
    <w:p>
      <w:pPr>
        <w:spacing w:after="0" w:line="177"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In the event of a Change of Control, the provisions of the Plan applicable to a Change of Control will apply to this Option.</w:t>
      </w:r>
    </w:p>
    <w:p>
      <w:pPr>
        <w:spacing w:after="0" w:line="205"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Methods of Exercise</w:t>
      </w:r>
      <w:r>
        <w:rPr>
          <w:rFonts w:ascii="Times New Roman" w:cs="Times New Roman" w:eastAsia="Times New Roman" w:hAnsi="Times New Roman"/>
          <w:sz w:val="17"/>
          <w:szCs w:val="17"/>
          <w:color w:val="auto"/>
        </w:rPr>
        <w:t>.</w:t>
      </w:r>
    </w:p>
    <w:p>
      <w:pPr>
        <w:spacing w:after="0" w:line="209" w:lineRule="exact"/>
        <w:rPr>
          <w:rFonts w:ascii="Times New Roman" w:cs="Times New Roman" w:eastAsia="Times New Roman" w:hAnsi="Times New Roman"/>
          <w:sz w:val="17"/>
          <w:szCs w:val="17"/>
          <w:color w:val="auto"/>
        </w:rPr>
      </w:pPr>
    </w:p>
    <w:p>
      <w:pPr>
        <w:ind w:right="20" w:firstLine="602"/>
        <w:spacing w:after="0" w:line="251" w:lineRule="auto"/>
        <w:tabs>
          <w:tab w:leader="none" w:pos="120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this Option, you must deliver to Toro’s Vice President, Secretary and General Counsel or Director, Total Awards and HR Services, as applicable, a written notice of exercise in a form specified or accepted by the Committee specifying the number of whole Shares with respect to which you wish to exercise this Option, accompanied by payment in full of the exercise price for the Shares to be purchased. Payment may be made (i) in cash; (ii) by tendering (either by actual delivery or attestation) previously acquired Shares having an aggregate Fair Market Value at the time of exercise equal to the exercise price; (iii) by a cashless (broker-assisted) exercise; (iv) by a “net exercise” of this Option (as further described below); (v) by any combination of (i), (ii), (iii) and (iv); or (vi) by any other method approved or accepted by the Committee in its sole discretion. In the case of a “net exercise” of this Option, Toro will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-3932555</wp:posOffset>
            </wp:positionV>
            <wp:extent cx="727710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71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184785</wp:posOffset>
            </wp:positionV>
            <wp:extent cx="7277100"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number of Shares issued upon the exercise of this Option by the largest number of whole Shares that has a Fair Market Value on the exercise date that does not exceed the aggregate exercise price for the Shares exercised under this method (and, if applicable, any required tax withholding obligations) and will require cash payment from you for any remaining exercise price (and/or tax withholding obligations). Shares will no longer be outstanding under this Option (and will therefore not thereafter be exercisable) following the exercise of this Option to the extent of (x) Shares used to pay the exercise price of this Option under the “net exercise,” (y) Shares actually delivered to you as a result of such exercise, and (z) any Shares withheld for purposes of tax withholding pursuant to the Plan.</w:t>
      </w:r>
    </w:p>
    <w:p>
      <w:pPr>
        <w:spacing w:after="0" w:line="174" w:lineRule="exact"/>
        <w:rPr>
          <w:sz w:val="20"/>
          <w:szCs w:val="20"/>
          <w:color w:val="auto"/>
        </w:rPr>
      </w:pPr>
    </w:p>
    <w:p>
      <w:pPr>
        <w:ind w:right="60" w:firstLine="602"/>
        <w:spacing w:after="0" w:line="255" w:lineRule="auto"/>
        <w:tabs>
          <w:tab w:leader="none" w:pos="121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you reside in a country where the local foreign exchange rules and regulations either preclude the remittance of currency out of the country for purposes of paying the exercise price, or requires Toro or any Affiliate or Subsidiary, as the case may be, and/or you to secure any legal or regulatory approvals, complete any legal or regulatory filings, or undertake any additional steps for remitting currency out of the country, Toro may restrict the method of exercise to a form of cashless exercise or such other form(s) of exercise (as it determines in its sole discretion).</w:t>
      </w:r>
    </w:p>
    <w:p>
      <w:pPr>
        <w:sectPr>
          <w:pgSz w:w="11900" w:h="16838" w:orient="portrait"/>
          <w:cols w:equalWidth="0" w:num="1">
            <w:col w:w="11420"/>
          </w:cols>
          <w:pgMar w:left="240" w:top="345" w:right="239" w:bottom="0" w:gutter="0" w:footer="0" w:header="0"/>
        </w:sectPr>
      </w:pPr>
    </w:p>
    <w:bookmarkStart w:id="75" w:name="page76"/>
    <w:bookmarkEnd w:id="75"/>
    <w:p>
      <w:pPr>
        <w:ind w:firstLine="602"/>
        <w:spacing w:after="0" w:line="253" w:lineRule="auto"/>
        <w:tabs>
          <w:tab w:leader="none" w:pos="121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of the grant of this Option, you agree to repatriate all payments attributable to this Option in accordance with local foreign exchange rules and regulations in your country of residence (and country of employment, if different). In addition, you agree to take any and all actions, and consent to any and all actions taken by Toro and its Affiliates and Subsidiaries, as may be required to allow Toro and its Affiliates and Subsidiaries to comply with local laws, rules and regulations in your country of residence (and country of employment, if different). Finally, you agree to take any and all actions that may be required to comply with your personal legal and tax obligations under local laws, rules and regulations in your country of residence (and country of employment, if different).</w:t>
      </w:r>
    </w:p>
    <w:p>
      <w:pPr>
        <w:spacing w:after="0" w:line="169" w:lineRule="exact"/>
        <w:rPr>
          <w:rFonts w:ascii="Times New Roman" w:cs="Times New Roman" w:eastAsia="Times New Roman" w:hAnsi="Times New Roman"/>
          <w:sz w:val="17"/>
          <w:szCs w:val="17"/>
          <w:color w:val="auto"/>
        </w:rPr>
      </w:pPr>
    </w:p>
    <w:p>
      <w:pPr>
        <w:spacing w:after="0" w:line="254" w:lineRule="auto"/>
        <w:tabs>
          <w:tab w:leader="none" w:pos="60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EU Age Discrimination Rules</w:t>
      </w:r>
      <w:r>
        <w:rPr>
          <w:rFonts w:ascii="Times New Roman" w:cs="Times New Roman" w:eastAsia="Times New Roman" w:hAnsi="Times New Roman"/>
          <w:sz w:val="17"/>
          <w:szCs w:val="17"/>
          <w:color w:val="auto"/>
        </w:rPr>
        <w:t>. If you are a local national of and employed in a country that is a member of the European Union, the grant of this Option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and conditions governing this Option are intended to comply with the age discrimination provisions of the EU Equal Treatment Framework Directive, as implemented into local law (the “Age Discrimination Rules”). To the extent that a court or tribunal of competent jurisdiction determines that any provision of this Agreement is invalid or unenforceable, in whole or in part, under the Age Discrimination Rules, Toro, in its sole discretion, shall have the power and authority to revise or strike such provision to the minimum extent necessary to make it valid and enforceable to the full extent permitted under local law.</w:t>
      </w:r>
    </w:p>
    <w:p>
      <w:pPr>
        <w:spacing w:after="0" w:line="169" w:lineRule="exact"/>
        <w:rPr>
          <w:rFonts w:ascii="Times New Roman" w:cs="Times New Roman" w:eastAsia="Times New Roman" w:hAnsi="Times New Roman"/>
          <w:sz w:val="17"/>
          <w:szCs w:val="17"/>
          <w:color w:val="auto"/>
        </w:rPr>
      </w:pPr>
    </w:p>
    <w:p>
      <w:pPr>
        <w:ind w:right="60"/>
        <w:spacing w:after="0" w:line="256" w:lineRule="auto"/>
        <w:tabs>
          <w:tab w:leader="none" w:pos="60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 Restriction</w:t>
      </w:r>
      <w:r>
        <w:rPr>
          <w:rFonts w:ascii="Times New Roman" w:cs="Times New Roman" w:eastAsia="Times New Roman" w:hAnsi="Times New Roman"/>
          <w:sz w:val="17"/>
          <w:szCs w:val="17"/>
          <w:color w:val="auto"/>
        </w:rPr>
        <w:t>. If at any time the Committee determines that the listing, registration or qualification of the Shares subject to this Option on any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or under any state or federal law, or the consent or approval of any government regulatory body, is necessary or desirable as a condition of, or in connection with, the issuance or purchase of Shares upon exercise of this Option, this Option may not be exercised unless such listing, registration, qualification, consent or approval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27710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66" w:lineRule="exact"/>
        <w:rPr>
          <w:sz w:val="20"/>
          <w:szCs w:val="20"/>
          <w:color w:val="auto"/>
        </w:rPr>
      </w:pPr>
    </w:p>
    <w:p>
      <w:pPr>
        <w:ind w:right="20"/>
        <w:spacing w:after="0" w:line="262" w:lineRule="auto"/>
        <w:tabs>
          <w:tab w:leader="none" w:pos="60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and Other Laws</w:t>
      </w:r>
      <w:r>
        <w:rPr>
          <w:rFonts w:ascii="Times New Roman" w:cs="Times New Roman" w:eastAsia="Times New Roman" w:hAnsi="Times New Roman"/>
          <w:sz w:val="17"/>
          <w:szCs w:val="17"/>
          <w:color w:val="auto"/>
        </w:rPr>
        <w:t>. Toro shall deliver appropriate and proper evidence of ownership of any Shares purchased pursuant to the exercise of this Option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soon as practicable after such exercise to the extent such delivery is then permissible under applicable law, rule or regulation, and such delivery shall discharge Toro of all of its duties and responsibilities with respect to this Option.</w:t>
      </w:r>
    </w:p>
    <w:p>
      <w:pPr>
        <w:spacing w:after="0" w:line="162"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Income Tax and Social Insurance Contributions Withholding</w:t>
      </w:r>
      <w:r>
        <w:rPr>
          <w:rFonts w:ascii="Times New Roman" w:cs="Times New Roman" w:eastAsia="Times New Roman" w:hAnsi="Times New Roman"/>
          <w:sz w:val="17"/>
          <w:szCs w:val="17"/>
          <w:color w:val="auto"/>
        </w:rPr>
        <w:t>.</w:t>
      </w:r>
    </w:p>
    <w:p>
      <w:pPr>
        <w:spacing w:after="0" w:line="209" w:lineRule="exact"/>
        <w:rPr>
          <w:rFonts w:ascii="Times New Roman" w:cs="Times New Roman" w:eastAsia="Times New Roman" w:hAnsi="Times New Roman"/>
          <w:sz w:val="17"/>
          <w:szCs w:val="17"/>
          <w:color w:val="auto"/>
        </w:rPr>
      </w:pPr>
    </w:p>
    <w:p>
      <w:pPr>
        <w:ind w:firstLine="602"/>
        <w:spacing w:after="0" w:line="251" w:lineRule="auto"/>
        <w:tabs>
          <w:tab w:leader="none" w:pos="12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any action Toro or any Affiliate or Subsidiary takes with respect to any or all income tax (including U.S. federal, state and local taxes and/or non-U.S. taxes), social insurance, payroll tax, payment on account or other tax-related withholding (“Tax-Related Items”), you acknowledge that the ultimate liability for all Tax-Related Items legally due by you is and remains your responsibility and that neither Toro nor any Affiliate or Subsidiary: (i) makes any representations or undertakings regarding the treatment of any Tax-Related Items in connection with any aspect of this Option, including the grant of this Option, the vesting of this Option, the exercise of this Option and the subsequent sale of any Shares acquired pursuant to this Option; and (ii) commits to structure the terms of this Option or any aspect of this Option to reduce or eliminate your liability for Tax-Related Items.</w:t>
      </w:r>
    </w:p>
    <w:p>
      <w:pPr>
        <w:spacing w:after="0" w:line="178" w:lineRule="exact"/>
        <w:rPr>
          <w:rFonts w:ascii="Times New Roman" w:cs="Times New Roman" w:eastAsia="Times New Roman" w:hAnsi="Times New Roman"/>
          <w:sz w:val="17"/>
          <w:szCs w:val="17"/>
          <w:color w:val="auto"/>
        </w:rPr>
      </w:pPr>
    </w:p>
    <w:p>
      <w:pPr>
        <w:ind w:right="20" w:firstLine="602"/>
        <w:spacing w:after="0" w:line="249" w:lineRule="auto"/>
        <w:tabs>
          <w:tab w:leader="none" w:pos="121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delivery of Shares upon the exercise of this Option, if your country of residence (and/or the country of employment, if different) requires withholding of Tax-Related Items, Toro: (i) shall withhold a sufficient number of whole Shares otherwise issuable upon the exercise of this Option that have an aggregate Fair Market Value sufficient to pay the minimum Tax-Related Items required to be withheld (in which case, the cash equivalent of such withheld Shares shall be used to settle the withholding obligation); or (ii) shall withhold an amount from your regular salary and/or wages, or from any other amounts payable to you. In cases where Shares are withheld and the Fair Market Value of the number of whole Shares withheld is greater than the minimum Tax-Related Items required to be withheld, Toro shall make a cash payment to you equal to the difference as soon as administratively practicable. In the event the withholding requirements are not satisfied through the withholding of Shares or through your regular salary and/or wages or other amounts payable to you, no Shares will be issued to you unless and until satisfactory arrangements (as determined by the Committee) have been made by you with respect to the payment of any Tax-Related Items which Toro determines, in its sole discretion, must be withheld or collected with respect to this Option. By accepting the grant of this Option, you expressly consent to the withholding of Shares and/or the withholding of amounts from your regular salary and/or wages, or other amounts payable to you, as provided for hereunder. All other Tax-Related Items related to this Option and any Shares acquired pursuant to the exercise of this Option is your sole responsibility.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2" w:lineRule="exact"/>
        <w:rPr>
          <w:rFonts w:ascii="Times New Roman" w:cs="Times New Roman" w:eastAsia="Times New Roman" w:hAnsi="Times New Roman"/>
          <w:sz w:val="17"/>
          <w:szCs w:val="17"/>
          <w:color w:val="auto"/>
        </w:rPr>
      </w:pPr>
    </w:p>
    <w:p>
      <w:pPr>
        <w:ind w:left="1220" w:hanging="618"/>
        <w:spacing w:after="0"/>
        <w:tabs>
          <w:tab w:leader="none" w:pos="122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any withholding for Tax-Related Items exceed the minimum statutory withholding requirement.</w:t>
      </w:r>
    </w:p>
    <w:p>
      <w:pPr>
        <w:spacing w:after="0" w:line="201" w:lineRule="exact"/>
        <w:rPr>
          <w:rFonts w:ascii="Times New Roman" w:cs="Times New Roman" w:eastAsia="Times New Roman" w:hAnsi="Times New Roman"/>
          <w:sz w:val="17"/>
          <w:szCs w:val="17"/>
          <w:color w:val="auto"/>
        </w:rPr>
      </w:pPr>
    </w:p>
    <w:p>
      <w:pPr>
        <w:ind w:right="200"/>
        <w:spacing w:after="0" w:line="277" w:lineRule="auto"/>
        <w:tabs>
          <w:tab w:leader="none" w:pos="59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Transfer</w:t>
      </w:r>
      <w:r>
        <w:rPr>
          <w:rFonts w:ascii="Times New Roman" w:cs="Times New Roman" w:eastAsia="Times New Roman" w:hAnsi="Times New Roman"/>
          <w:sz w:val="17"/>
          <w:szCs w:val="17"/>
          <w:color w:val="auto"/>
        </w:rPr>
        <w:t>. You may not transfer this Option other than by will or applicable laws of descent and distribution or, if approved by the Committee, pursuant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qualified domestic relations order entered into by a court of competent jurisdiction.</w:t>
      </w:r>
    </w:p>
    <w:p>
      <w:pPr>
        <w:spacing w:after="0" w:line="150" w:lineRule="exact"/>
        <w:rPr>
          <w:rFonts w:ascii="Times New Roman" w:cs="Times New Roman" w:eastAsia="Times New Roman" w:hAnsi="Times New Roman"/>
          <w:sz w:val="17"/>
          <w:szCs w:val="17"/>
          <w:color w:val="auto"/>
        </w:rPr>
      </w:pPr>
    </w:p>
    <w:p>
      <w:pPr>
        <w:jc w:val="both"/>
        <w:ind w:right="200"/>
        <w:spacing w:after="0" w:line="262" w:lineRule="auto"/>
        <w:tabs>
          <w:tab w:leader="none" w:pos="59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Right to Continue Employment or Service</w:t>
      </w:r>
      <w:r>
        <w:rPr>
          <w:rFonts w:ascii="Times New Roman" w:cs="Times New Roman" w:eastAsia="Times New Roman" w:hAnsi="Times New Roman"/>
          <w:sz w:val="17"/>
          <w:szCs w:val="17"/>
          <w:color w:val="auto"/>
        </w:rPr>
        <w:t>. Neither the Plan, this Option, nor any related material shall give you the right to continue in employment by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services to Toro or any Affiliate or Subsidiary or shall adversely affect the right of Toro or any Affiliate or Subsidiary to terminate your employment or service relationship with Toro or any Affiliate or Subsidiary with or without cause at any time.</w:t>
      </w:r>
    </w:p>
    <w:p>
      <w:pPr>
        <w:spacing w:after="0" w:line="162" w:lineRule="exact"/>
        <w:rPr>
          <w:rFonts w:ascii="Times New Roman" w:cs="Times New Roman" w:eastAsia="Times New Roman" w:hAnsi="Times New Roman"/>
          <w:sz w:val="17"/>
          <w:szCs w:val="17"/>
          <w:color w:val="auto"/>
        </w:rPr>
      </w:pPr>
    </w:p>
    <w:p>
      <w:pPr>
        <w:ind w:right="40"/>
        <w:spacing w:after="0" w:line="256" w:lineRule="auto"/>
        <w:tabs>
          <w:tab w:leader="none" w:pos="59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Shareholder Status</w:t>
      </w:r>
      <w:r>
        <w:rPr>
          <w:rFonts w:ascii="Times New Roman" w:cs="Times New Roman" w:eastAsia="Times New Roman" w:hAnsi="Times New Roman"/>
          <w:sz w:val="17"/>
          <w:szCs w:val="17"/>
          <w:color w:val="auto"/>
        </w:rPr>
        <w:t>. You shall have no rights as a shareholder of Toro with respect to any Shares underlying this Option until such Shares have been duly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69"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Data Privacy Consent</w:t>
      </w:r>
      <w:r>
        <w:rPr>
          <w:rFonts w:ascii="Times New Roman" w:cs="Times New Roman" w:eastAsia="Times New Roman" w:hAnsi="Times New Roman"/>
          <w:sz w:val="17"/>
          <w:szCs w:val="17"/>
          <w:color w:val="auto"/>
        </w:rPr>
        <w:t>.</w:t>
      </w:r>
    </w:p>
    <w:p>
      <w:pPr>
        <w:spacing w:after="0" w:line="209" w:lineRule="exact"/>
        <w:rPr>
          <w:rFonts w:ascii="Times New Roman" w:cs="Times New Roman" w:eastAsia="Times New Roman" w:hAnsi="Times New Roman"/>
          <w:sz w:val="17"/>
          <w:szCs w:val="17"/>
          <w:color w:val="auto"/>
        </w:rPr>
      </w:pPr>
    </w:p>
    <w:p>
      <w:pPr>
        <w:ind w:right="140" w:firstLine="602"/>
        <w:spacing w:after="0" w:line="253" w:lineRule="auto"/>
        <w:tabs>
          <w:tab w:leader="none" w:pos="12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applicable personal data protection laws, Toro hereby notifies you of the following in relation to your personal data and the collection, processing and transfer of such data in relation to Toro’s grant of this Option and your participation in the Plan. The collection, processing and transfer of your personal data is necessary for Toro’s administration of the Plan and your participation in the Plan. Your denial and/or objection to the collection, processing and transfer of personal data may affect your participation in the Plan. As such, you voluntarily acknowledge and consent (where required under applicable law) to the collection, use, processing and transfer of personal data as described herein.</w:t>
      </w:r>
    </w:p>
    <w:p>
      <w:pPr>
        <w:spacing w:after="0" w:line="173" w:lineRule="exact"/>
        <w:rPr>
          <w:rFonts w:ascii="Times New Roman" w:cs="Times New Roman" w:eastAsia="Times New Roman" w:hAnsi="Times New Roman"/>
          <w:sz w:val="17"/>
          <w:szCs w:val="17"/>
          <w:color w:val="auto"/>
        </w:rPr>
      </w:pPr>
    </w:p>
    <w:p>
      <w:pPr>
        <w:ind w:right="80" w:firstLine="602"/>
        <w:spacing w:after="0" w:line="270" w:lineRule="auto"/>
        <w:tabs>
          <w:tab w:leader="none" w:pos="1211"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Toro and its Affiliates and Subsidiaries hold certain personal information about you, including your name, home address and telephone number, date of birth, social security number or other employee identification number, salary, nationality, job title, any Shares or directorships held in Toro or any Affiliate or Subsidiary, details of all equity awards or any other entitlement to Shares awarded, canceled, purchased, vested, unvested or outstanding in your favor, for the purpose of managing and administering the Plan (“Data”). The Data may be provided by you or collected, where lawful, from third parties, and Toro and its Affiliates and Subsidiaries will process the Data for the exclusive purpose of implementing, administering and managing your participation in the Plan. The Data processing will take place through electronic and non-electronic means according to logics and procedures strictly correlated to the purposes for which Data are collected and with confidentiality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-3942080</wp:posOffset>
            </wp:positionV>
            <wp:extent cx="727710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bookmarkStart w:id="76" w:name="page77"/>
    <w:bookmarkEnd w:id="76"/>
    <w:p>
      <w:pPr>
        <w:ind w:right="420"/>
        <w:spacing w:after="0" w:line="272" w:lineRule="auto"/>
        <w:rPr>
          <w:sz w:val="20"/>
          <w:szCs w:val="20"/>
          <w:color w:val="auto"/>
        </w:rPr>
      </w:pPr>
      <w:r>
        <w:rPr>
          <w:rFonts w:ascii="Times New Roman" w:cs="Times New Roman" w:eastAsia="Times New Roman" w:hAnsi="Times New Roman"/>
          <w:sz w:val="17"/>
          <w:szCs w:val="17"/>
          <w:color w:val="auto"/>
        </w:rPr>
        <w:t>security provisions as set forth by applicable laws and regulations in your country of residence. Data processing operations will be performed minimizing the use of personal and identification data when such operations are unnecessary for the processing purposes sought. Data will be accessible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710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7"/>
          <w:szCs w:val="17"/>
          <w:color w:val="auto"/>
        </w:rPr>
        <w:t>organization of Toro and its Affiliates and Subsidiaries only by those persons requiring access for purposes of the implementation, administration and operation of the Plan and for your participation in the Plan.</w:t>
      </w:r>
    </w:p>
    <w:p>
      <w:pPr>
        <w:spacing w:after="0" w:line="159" w:lineRule="exact"/>
        <w:rPr>
          <w:sz w:val="20"/>
          <w:szCs w:val="20"/>
          <w:color w:val="auto"/>
        </w:rPr>
      </w:pPr>
    </w:p>
    <w:p>
      <w:pPr>
        <w:ind w:right="20" w:firstLine="602"/>
        <w:spacing w:after="0" w:line="250" w:lineRule="auto"/>
        <w:tabs>
          <w:tab w:leader="none" w:pos="121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Toro and its Affiliates and Subsidiaries will transfer Data as necessary for the purpose of implementation, administration and management of your participation in the Plan, and Toro and its Affiliates and Subsidiaries may further transfer Data to any third parties assisting Toro and its Affiliates and Subsidiaries in the implementation, administration and management of the Plan. These recipients may be located in the European Economic Area, or elsewhere throughout the world, such as the United States. You hereby authorize (where required under applicable law) them to receive, possess, use, retain and transfer the Data, in electronic or other form, for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w:t>
      </w:r>
    </w:p>
    <w:p>
      <w:pPr>
        <w:spacing w:after="0" w:line="180" w:lineRule="exact"/>
        <w:rPr>
          <w:rFonts w:ascii="Times New Roman" w:cs="Times New Roman" w:eastAsia="Times New Roman" w:hAnsi="Times New Roman"/>
          <w:sz w:val="17"/>
          <w:szCs w:val="17"/>
          <w:color w:val="auto"/>
        </w:rPr>
      </w:pPr>
    </w:p>
    <w:p>
      <w:pPr>
        <w:ind w:right="20" w:firstLine="602"/>
        <w:spacing w:after="0" w:line="253" w:lineRule="auto"/>
        <w:tabs>
          <w:tab w:leader="none" w:pos="121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 any time, exercise your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your participation in the Plan. You may seek to exercise these rights by contacting your local HR manager or the Toro’s Human Resources Department.</w:t>
      </w:r>
    </w:p>
    <w:p>
      <w:pPr>
        <w:spacing w:after="0" w:line="169" w:lineRule="exact"/>
        <w:rPr>
          <w:rFonts w:ascii="Times New Roman" w:cs="Times New Roman" w:eastAsia="Times New Roman" w:hAnsi="Times New Roman"/>
          <w:sz w:val="17"/>
          <w:szCs w:val="17"/>
          <w:color w:val="auto"/>
        </w:rPr>
      </w:pPr>
    </w:p>
    <w:p>
      <w:pPr>
        <w:spacing w:after="0" w:line="271" w:lineRule="auto"/>
        <w:tabs>
          <w:tab w:leader="none" w:pos="59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Private Placement</w:t>
      </w:r>
      <w:r>
        <w:rPr>
          <w:rFonts w:ascii="Times New Roman" w:cs="Times New Roman" w:eastAsia="Times New Roman" w:hAnsi="Times New Roman"/>
          <w:sz w:val="16"/>
          <w:szCs w:val="16"/>
          <w:color w:val="auto"/>
        </w:rPr>
        <w:t>. If you are a resident and/or employed outside of the United States, the grant of this Option is not intended to be a public offering of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your country of residence (and country of employment, if different). Toro has not submitted any registration statement, prospectus or other filing with the local securities authorities (unless otherwise required under local law), and this Option is not subject to the supervision of the local securities authorities. No employee of Toro or its Affiliates and Subsidiaries is permitted to advise you on whether you should purchase Shares under the Plan. Investment in Shares involves a degree of risk. Before deciding to purchase Shares pursuant to this Option, you should carefully consider all risk factors relevant to the acquisition of Shares under the Plan and should carefully review all of the materials related to this Option and the Plan. In addition, you should consult with your personal investment advisor for professional investment advice.</w:t>
      </w:r>
    </w:p>
    <w:p>
      <w:pPr>
        <w:spacing w:after="0" w:line="158" w:lineRule="exact"/>
        <w:rPr>
          <w:rFonts w:ascii="Times New Roman" w:cs="Times New Roman" w:eastAsia="Times New Roman" w:hAnsi="Times New Roman"/>
          <w:sz w:val="16"/>
          <w:szCs w:val="16"/>
          <w:color w:val="auto"/>
        </w:rPr>
      </w:pPr>
    </w:p>
    <w:p>
      <w:pPr>
        <w:ind w:right="20"/>
        <w:spacing w:after="0" w:line="262"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Electronic Delivery</w:t>
      </w:r>
      <w:r>
        <w:rPr>
          <w:rFonts w:ascii="Times New Roman" w:cs="Times New Roman" w:eastAsia="Times New Roman" w:hAnsi="Times New Roman"/>
          <w:sz w:val="17"/>
          <w:szCs w:val="17"/>
          <w:color w:val="auto"/>
        </w:rPr>
        <w:t>. Toro, in its sole discretion, may decide to deliver any documents related to this Option to you under the Plan by electronic means.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hereby consent to receive such documents by electronic delivery and agree to participate in the Plan through an on-line or electronic system established and maintained by Toro or a third party designated by Toro.</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7" w:lineRule="exact"/>
        <w:rPr>
          <w:rFonts w:ascii="Times New Roman" w:cs="Times New Roman" w:eastAsia="Times New Roman" w:hAnsi="Times New Roman"/>
          <w:sz w:val="17"/>
          <w:szCs w:val="17"/>
          <w:color w:val="auto"/>
        </w:rPr>
      </w:pPr>
    </w:p>
    <w:p>
      <w:pPr>
        <w:jc w:val="both"/>
        <w:ind w:right="40"/>
        <w:spacing w:after="0" w:line="256"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English Language</w:t>
      </w:r>
      <w:r>
        <w:rPr>
          <w:rFonts w:ascii="Times New Roman" w:cs="Times New Roman" w:eastAsia="Times New Roman" w:hAnsi="Times New Roman"/>
          <w:sz w:val="17"/>
          <w:szCs w:val="17"/>
          <w:color w:val="auto"/>
        </w:rPr>
        <w:t>. If you are resident outside of the United States, you acknowledge and agree that it is your express intent that this Agreement, the Plan and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documents, notices and legal proceedings entered into, given or instituted pursuant to this Option, be drawn up in English. If you have received this Agreement, the Plan or any other documents related to this Option translated into a language other than English, and if the meaning of the translated version is different from the English version, the meaning of the English version shall control.</w:t>
      </w:r>
    </w:p>
    <w:p>
      <w:pPr>
        <w:spacing w:after="0" w:line="169" w:lineRule="exact"/>
        <w:rPr>
          <w:rFonts w:ascii="Times New Roman" w:cs="Times New Roman" w:eastAsia="Times New Roman" w:hAnsi="Times New Roman"/>
          <w:sz w:val="17"/>
          <w:szCs w:val="17"/>
          <w:color w:val="auto"/>
        </w:rPr>
      </w:pPr>
    </w:p>
    <w:p>
      <w:pPr>
        <w:ind w:right="140"/>
        <w:spacing w:after="0" w:line="252"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Addendum</w:t>
      </w:r>
      <w:r>
        <w:rPr>
          <w:rFonts w:ascii="Times New Roman" w:cs="Times New Roman" w:eastAsia="Times New Roman" w:hAnsi="Times New Roman"/>
          <w:sz w:val="17"/>
          <w:szCs w:val="17"/>
          <w:color w:val="auto"/>
        </w:rPr>
        <w:t>. Notwithstanding any provisions of this Agreement to the contrary, this Option shall be subject to any special terms and conditions for your country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residence (and country of employment, if different), as are forth in the applicable Addendum to this Agreement. Further, if you transfer residence and/or employment to another country reflected in an Addendum to this Agreement, the special terms and conditions for such country will apply to you to the extent Toro determines, in its sole discretion, that the application of such terms and conditions is necessary or advisable in order to comply with local law, rules and regulations or to facilitate the operation and administration of this Option and the Plan (or Toro may establish alternative terms and conditions as may be necessary or advisable to accommodate your transfer). Any applicable Addendum shall constitute part of this Agreement.</w:t>
      </w:r>
    </w:p>
    <w:p>
      <w:pPr>
        <w:spacing w:after="0" w:line="173" w:lineRule="exact"/>
        <w:rPr>
          <w:rFonts w:ascii="Times New Roman" w:cs="Times New Roman" w:eastAsia="Times New Roman" w:hAnsi="Times New Roman"/>
          <w:sz w:val="17"/>
          <w:szCs w:val="17"/>
          <w:color w:val="auto"/>
        </w:rPr>
      </w:pPr>
    </w:p>
    <w:p>
      <w:pPr>
        <w:ind w:right="40"/>
        <w:spacing w:after="0" w:line="256"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Requirements</w:t>
      </w:r>
      <w:r>
        <w:rPr>
          <w:rFonts w:ascii="Times New Roman" w:cs="Times New Roman" w:eastAsia="Times New Roman" w:hAnsi="Times New Roman"/>
          <w:sz w:val="17"/>
          <w:szCs w:val="17"/>
          <w:color w:val="auto"/>
        </w:rPr>
        <w:t>. Toro reserves the right to impose other requirements on this Option, any payment made pursuant to this Option, and your participation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Plan, to the extent Toro determines, in its sole discretion, that such other requirements are necessary or advisable in order to comply with local law, rules and regulations or to facilitate the operation and administration of this Option and the Plan. Such requirements may include (but are not limited to) requiring you to sign any agreements or undertakings that may be necessary to accomplish the foregoing.</w:t>
      </w:r>
    </w:p>
    <w:p>
      <w:pPr>
        <w:spacing w:after="0" w:line="169" w:lineRule="exact"/>
        <w:rPr>
          <w:rFonts w:ascii="Times New Roman" w:cs="Times New Roman" w:eastAsia="Times New Roman" w:hAnsi="Times New Roman"/>
          <w:sz w:val="17"/>
          <w:szCs w:val="17"/>
          <w:color w:val="auto"/>
        </w:rPr>
      </w:pPr>
    </w:p>
    <w:p>
      <w:pPr>
        <w:ind w:right="60"/>
        <w:spacing w:after="0" w:line="262"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This Agreement and the Nonqualified Stock Option Acceptance Agreement shall be construed, administered and governed in all respects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by the applicable laws of the State of Delaware, excluding any conflicts or choice of law rule or principle that might otherwise refer construction or interpretation to the substantive law of another jurisdiction.</w:t>
      </w:r>
    </w:p>
    <w:p>
      <w:pPr>
        <w:spacing w:after="0" w:line="162" w:lineRule="exact"/>
        <w:rPr>
          <w:rFonts w:ascii="Times New Roman" w:cs="Times New Roman" w:eastAsia="Times New Roman" w:hAnsi="Times New Roman"/>
          <w:sz w:val="17"/>
          <w:szCs w:val="17"/>
          <w:color w:val="auto"/>
        </w:rPr>
      </w:pPr>
    </w:p>
    <w:p>
      <w:pPr>
        <w:ind w:right="40"/>
        <w:spacing w:after="0" w:line="277"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Venue</w:t>
      </w:r>
      <w:r>
        <w:rPr>
          <w:rFonts w:ascii="Times New Roman" w:cs="Times New Roman" w:eastAsia="Times New Roman" w:hAnsi="Times New Roman"/>
          <w:sz w:val="17"/>
          <w:szCs w:val="17"/>
          <w:color w:val="auto"/>
        </w:rPr>
        <w:t>. In accepting this Option grant, you are deemed to submit to the exclusive jurisdiction and venue of the federal or state courts of the State of Minnesota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United States of America to resolve any and all issues that may arise out of or relate to this Option and this Agreement.</w:t>
      </w:r>
    </w:p>
    <w:p>
      <w:pPr>
        <w:spacing w:after="0" w:line="15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 This Agreement shall be binding upon Toro and you and its and your respective heirs, executors, administrators and successors.</w:t>
      </w:r>
    </w:p>
    <w:p>
      <w:pPr>
        <w:spacing w:after="0" w:line="205" w:lineRule="exact"/>
        <w:rPr>
          <w:rFonts w:ascii="Times New Roman" w:cs="Times New Roman" w:eastAsia="Times New Roman" w:hAnsi="Times New Roman"/>
          <w:sz w:val="17"/>
          <w:szCs w:val="17"/>
          <w:color w:val="auto"/>
        </w:rPr>
      </w:pPr>
    </w:p>
    <w:p>
      <w:pPr>
        <w:ind w:right="20"/>
        <w:spacing w:after="0" w:line="277"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Conflict</w:t>
      </w:r>
      <w:r>
        <w:rPr>
          <w:rFonts w:ascii="Times New Roman" w:cs="Times New Roman" w:eastAsia="Times New Roman" w:hAnsi="Times New Roman"/>
          <w:sz w:val="17"/>
          <w:szCs w:val="17"/>
          <w:color w:val="auto"/>
        </w:rPr>
        <w:t>. To the extent the terms of this Agreement or the Nonqualified Stock Option Acceptance Agreement are inconsistent with the Plan, the provisions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shall control and supersede any inconsistent provision of this Agreement or the Nonqualified Stock Option Acceptance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5" w:lineRule="exact"/>
        <w:rPr>
          <w:rFonts w:ascii="Times New Roman" w:cs="Times New Roman" w:eastAsia="Times New Roman" w:hAnsi="Times New Roman"/>
          <w:sz w:val="17"/>
          <w:szCs w:val="17"/>
          <w:color w:val="auto"/>
        </w:rPr>
      </w:pPr>
    </w:p>
    <w:p>
      <w:pPr>
        <w:ind w:right="20"/>
        <w:spacing w:after="0" w:line="277" w:lineRule="auto"/>
        <w:tabs>
          <w:tab w:leader="none" w:pos="5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Non-Negotiable Terms</w:t>
      </w:r>
      <w:r>
        <w:rPr>
          <w:rFonts w:ascii="Times New Roman" w:cs="Times New Roman" w:eastAsia="Times New Roman" w:hAnsi="Times New Roman"/>
          <w:sz w:val="17"/>
          <w:szCs w:val="17"/>
          <w:color w:val="auto"/>
        </w:rPr>
        <w:t>. The terms of this Agreement and the Nonqualified Stock Option Acceptance Agreement are not negotiable, but you may refuse to accept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Option by notifying Toro’s Vice President, Secretary and General Counsel, or Director, Total Rewards and HR Services, as applicable,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-4751705</wp:posOffset>
            </wp:positionV>
            <wp:extent cx="7277100"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71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-633730</wp:posOffset>
            </wp:positionV>
            <wp:extent cx="727710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710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firstLine="602"/>
        <w:spacing w:after="0" w:line="272" w:lineRule="auto"/>
        <w:rPr>
          <w:sz w:val="20"/>
          <w:szCs w:val="20"/>
          <w:color w:val="auto"/>
        </w:rPr>
      </w:pPr>
      <w:r>
        <w:rPr>
          <w:rFonts w:ascii="Times New Roman" w:cs="Times New Roman" w:eastAsia="Times New Roman" w:hAnsi="Times New Roman"/>
          <w:sz w:val="17"/>
          <w:szCs w:val="17"/>
          <w:color w:val="auto"/>
        </w:rPr>
        <w:t>IN WITNESS WHEREOF, this Agreement has been executed and delivered by The Toro Company and has been executed by you by execution of the attached Nonqualified Stock Option Acceptance Agreement.</w:t>
      </w:r>
    </w:p>
    <w:p>
      <w:pPr>
        <w:sectPr>
          <w:pgSz w:w="11900" w:h="16838" w:orient="portrait"/>
          <w:cols w:equalWidth="0" w:num="1">
            <w:col w:w="11420"/>
          </w:cols>
          <w:pgMar w:left="240" w:top="123" w:right="239" w:bottom="3"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grant date</w:t>
      </w:r>
      <w:r>
        <w:rPr>
          <w:rFonts w:ascii="Times New Roman" w:cs="Times New Roman" w:eastAsia="Times New Roman" w:hAnsi="Times New Roman"/>
          <w:sz w:val="17"/>
          <w:szCs w:val="17"/>
          <w:b w:val="1"/>
          <w:bCs w:val="1"/>
          <w:color w:val="auto"/>
        </w:rPr>
        <w:t>]</w:t>
      </w:r>
    </w:p>
    <w:p>
      <w:pPr>
        <w:spacing w:after="0" w:line="2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By:</w:t>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-123190</wp:posOffset>
            </wp:positionV>
            <wp:extent cx="33216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216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192405</wp:posOffset>
            </wp:positionV>
            <wp:extent cx="7277100"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NONQUALIFIED STOCK OPTION ACCEPTANCE AGREEMENT</w:t>
      </w:r>
    </w:p>
    <w:p>
      <w:pPr>
        <w:spacing w:after="0" w:line="206" w:lineRule="exact"/>
        <w:rPr>
          <w:sz w:val="20"/>
          <w:szCs w:val="20"/>
          <w:color w:val="auto"/>
        </w:rPr>
      </w:pPr>
    </w:p>
    <w:p>
      <w:pPr>
        <w:ind w:right="140" w:firstLine="602"/>
        <w:spacing w:after="0" w:line="272" w:lineRule="auto"/>
        <w:rPr>
          <w:sz w:val="20"/>
          <w:szCs w:val="20"/>
          <w:color w:val="auto"/>
        </w:rPr>
      </w:pPr>
      <w:r>
        <w:rPr>
          <w:rFonts w:ascii="Times New Roman" w:cs="Times New Roman" w:eastAsia="Times New Roman" w:hAnsi="Times New Roman"/>
          <w:sz w:val="17"/>
          <w:szCs w:val="17"/>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accepting the Option grant, I hereby acknowledge that:</w:t>
      </w:r>
    </w:p>
    <w:p>
      <w:pPr>
        <w:spacing w:after="0" w:line="206" w:lineRule="exact"/>
        <w:rPr>
          <w:sz w:val="20"/>
          <w:szCs w:val="20"/>
          <w:color w:val="auto"/>
        </w:rPr>
      </w:pPr>
    </w:p>
    <w:p>
      <w:pPr>
        <w:ind w:right="80" w:firstLine="602"/>
        <w:spacing w:after="0" w:line="272" w:lineRule="auto"/>
        <w:tabs>
          <w:tab w:leader="none" w:pos="120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Toro, it is discretionary in nature and it may be modified, amended, suspended or terminated by Toro at any time, unless otherwise provided in the Plan, the Nonqualified Stock Option Agreement or this Nonqualified Stock Option Acceptance Agreement;</w:t>
      </w:r>
    </w:p>
    <w:p>
      <w:pPr>
        <w:spacing w:after="0" w:line="159" w:lineRule="exact"/>
        <w:rPr>
          <w:rFonts w:ascii="Times New Roman" w:cs="Times New Roman" w:eastAsia="Times New Roman" w:hAnsi="Times New Roman"/>
          <w:sz w:val="17"/>
          <w:szCs w:val="17"/>
          <w:color w:val="auto"/>
        </w:rPr>
      </w:pPr>
    </w:p>
    <w:p>
      <w:pPr>
        <w:ind w:right="100" w:firstLine="602"/>
        <w:spacing w:after="0" w:line="272" w:lineRule="auto"/>
        <w:tabs>
          <w:tab w:leader="none" w:pos="12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59" w:lineRule="exact"/>
        <w:rPr>
          <w:rFonts w:ascii="Times New Roman" w:cs="Times New Roman" w:eastAsia="Times New Roman" w:hAnsi="Times New Roman"/>
          <w:sz w:val="17"/>
          <w:szCs w:val="17"/>
          <w:color w:val="auto"/>
        </w:rPr>
      </w:pPr>
    </w:p>
    <w:p>
      <w:pPr>
        <w:ind w:left="1220" w:hanging="618"/>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with respect to future Option grants, if any, will be at the sole discretion of Toro;</w:t>
      </w:r>
    </w:p>
    <w:p>
      <w:pPr>
        <w:spacing w:after="0" w:line="205" w:lineRule="exact"/>
        <w:rPr>
          <w:rFonts w:ascii="Times New Roman" w:cs="Times New Roman" w:eastAsia="Times New Roman" w:hAnsi="Times New Roman"/>
          <w:sz w:val="17"/>
          <w:szCs w:val="17"/>
          <w:color w:val="auto"/>
        </w:rPr>
      </w:pPr>
    </w:p>
    <w:p>
      <w:pPr>
        <w:ind w:left="1220" w:hanging="618"/>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voluntarily participating in the Plan;</w:t>
      </w:r>
    </w:p>
    <w:p>
      <w:pPr>
        <w:spacing w:after="0" w:line="205" w:lineRule="exact"/>
        <w:rPr>
          <w:rFonts w:ascii="Times New Roman" w:cs="Times New Roman" w:eastAsia="Times New Roman" w:hAnsi="Times New Roman"/>
          <w:sz w:val="17"/>
          <w:szCs w:val="17"/>
          <w:color w:val="auto"/>
        </w:rPr>
      </w:pPr>
    </w:p>
    <w:p>
      <w:pPr>
        <w:ind w:firstLine="602"/>
        <w:spacing w:after="0" w:line="259" w:lineRule="auto"/>
        <w:tabs>
          <w:tab w:leader="none" w:pos="121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any Affiliate or Subsidiary;</w:t>
      </w:r>
    </w:p>
    <w:p>
      <w:pPr>
        <w:spacing w:after="0" w:line="169" w:lineRule="exact"/>
        <w:rPr>
          <w:rFonts w:ascii="Times New Roman" w:cs="Times New Roman" w:eastAsia="Times New Roman" w:hAnsi="Times New Roman"/>
          <w:sz w:val="17"/>
          <w:szCs w:val="17"/>
          <w:color w:val="auto"/>
        </w:rPr>
      </w:pPr>
    </w:p>
    <w:p>
      <w:pPr>
        <w:ind w:right="140" w:firstLine="602"/>
        <w:spacing w:after="0" w:line="259" w:lineRule="auto"/>
        <w:tabs>
          <w:tab w:leader="none" w:pos="120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69" w:lineRule="exact"/>
        <w:rPr>
          <w:rFonts w:ascii="Times New Roman" w:cs="Times New Roman" w:eastAsia="Times New Roman" w:hAnsi="Times New Roman"/>
          <w:sz w:val="17"/>
          <w:szCs w:val="17"/>
          <w:color w:val="auto"/>
        </w:rPr>
      </w:pPr>
    </w:p>
    <w:p>
      <w:pPr>
        <w:ind w:firstLine="602"/>
        <w:spacing w:after="0" w:line="253" w:lineRule="auto"/>
        <w:tabs>
          <w:tab w:leader="none" w:pos="122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Toro or any one of its Affiliates or Subsidiaries (for any reason whatsoever and whether or not in breach of applicable labor laws) and I hereby irrevocably release Toro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firstLine="602"/>
        <w:spacing w:after="0" w:line="272" w:lineRule="auto"/>
        <w:tabs>
          <w:tab w:leader="none" w:pos="12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Toro is not providing any tax, legal or financial advice, nor is Toro making any recommendations regarding my participation in the Plan, or my purchase or sale of the Shares underlying the Option; and</w:t>
      </w:r>
    </w:p>
    <w:p>
      <w:pPr>
        <w:spacing w:after="0" w:line="159" w:lineRule="exact"/>
        <w:rPr>
          <w:rFonts w:ascii="Times New Roman" w:cs="Times New Roman" w:eastAsia="Times New Roman" w:hAnsi="Times New Roman"/>
          <w:sz w:val="17"/>
          <w:szCs w:val="17"/>
          <w:color w:val="auto"/>
        </w:rPr>
      </w:pPr>
    </w:p>
    <w:p>
      <w:pPr>
        <w:ind w:right="240" w:firstLine="602"/>
        <w:spacing w:after="0" w:line="272" w:lineRule="auto"/>
        <w:tabs>
          <w:tab w:leader="none" w:pos="122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been advised to consult with my own personal tax, legal and financial advisors regarding my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-1013460</wp:posOffset>
            </wp:positionV>
            <wp:extent cx="7277100"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139" w:lineRule="exact"/>
        <w:rPr>
          <w:sz w:val="20"/>
          <w:szCs w:val="20"/>
          <w:color w:val="auto"/>
        </w:rPr>
      </w:pPr>
    </w:p>
    <w:p>
      <w:pPr>
        <w:ind w:right="40" w:firstLine="602"/>
        <w:spacing w:after="0" w:line="255" w:lineRule="auto"/>
        <w:rPr>
          <w:sz w:val="20"/>
          <w:szCs w:val="20"/>
          <w:color w:val="auto"/>
        </w:rPr>
      </w:pPr>
      <w:r>
        <w:rPr>
          <w:rFonts w:ascii="Times New Roman" w:cs="Times New Roman" w:eastAsia="Times New Roman" w:hAnsi="Times New Roman"/>
          <w:sz w:val="17"/>
          <w:szCs w:val="17"/>
          <w:color w:val="auto"/>
        </w:rPr>
        <w:t>I hereby acknowledge that I have received electronically a copy of the Plan, the U.S. Prospectus relating to the Plan, the Employee Information Supplement (Tax Supplement) for my country of employment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69" w:lineRule="exact"/>
        <w:rPr>
          <w:sz w:val="20"/>
          <w:szCs w:val="20"/>
          <w:color w:val="auto"/>
        </w:rPr>
      </w:pPr>
    </w:p>
    <w:p>
      <w:pPr>
        <w:jc w:val="both"/>
        <w:ind w:right="180" w:firstLine="602"/>
        <w:spacing w:after="0" w:line="262" w:lineRule="auto"/>
        <w:rPr>
          <w:sz w:val="20"/>
          <w:szCs w:val="20"/>
          <w:color w:val="auto"/>
        </w:rPr>
      </w:pPr>
      <w:r>
        <w:rPr>
          <w:rFonts w:ascii="Times New Roman" w:cs="Times New Roman" w:eastAsia="Times New Roman" w:hAnsi="Times New Roman"/>
          <w:sz w:val="17"/>
          <w:szCs w:val="17"/>
          <w:i w:val="1"/>
          <w:iCs w:val="1"/>
          <w:color w:val="auto"/>
        </w:rPr>
        <w:t>Note: If you do not wish to accept the Option on the terms stated in the Nonqualified Stock Option Agreement and this Nonqualified Stock Option Acceptance Agreement, please immediately contact Toro’s Vice President, Secretary and General Counsel, or Director, Total Rewards and HR Services, as applicable, to decline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7710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ADDENDUM TO NONQUALIFIED STOCK OPTION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 2010 EQUITY AND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(GRANTS OUTSIDE THE UNITED STATES OF AMERICA)</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addition to the terms of The Toro Company 2010 Equity and Incentive Plan, as amended (the “Plan”) and the Nonqualified Stock Option Agreement (the “Agreement”), the Option is subject to the following additional terms and conditions as set forth in this addendum to the extent you reside and/or are employed in one of the countries addressed herein (the “Addendum”). All defined terms as contained in this Addendum shall have the same meaning as set forth in the Plan and the Agreement. To the extent you transfer residence and/or employment to another country, the special terms and conditions for such country as reflected in this Addendum (if any) will apply to you to the extent Toro determines, in its sole discretion, that the application of such terms and conditions is necessary or advisable in order to comply with local laws, rules and regulations, or to facilitate the operation and administration of the Option and the Plan (or Toro may establish alternative terms and conditions as may be necessary or advisable to accommodate your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Australia</w:t>
      </w:r>
    </w:p>
    <w:p>
      <w:pPr>
        <w:spacing w:after="0" w:line="206" w:lineRule="exact"/>
        <w:rPr>
          <w:sz w:val="20"/>
          <w:szCs w:val="20"/>
          <w:color w:val="auto"/>
        </w:rPr>
      </w:pPr>
    </w:p>
    <w:p>
      <w:pPr>
        <w:ind w:right="60" w:firstLine="602"/>
        <w:spacing w:after="0" w:line="262" w:lineRule="auto"/>
        <w:tabs>
          <w:tab w:leader="none" w:pos="120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Option Conditioned on Satisfaction of Regulatory Obligations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you are (a) a director of a Subsidiary incorporated in Australia, or (b) a person who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management-level executive of a Subsidiary incorporated in Australia and who also is a director of a Subsidiary incorporated outside of the Australia, the grant of the Option is conditioned upon satisfaction of the shareholder approval provisions of section 200B of the Corporations Act 2001 (Cth) in Australia.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Italy</w:t>
      </w:r>
    </w:p>
    <w:p>
      <w:pPr>
        <w:spacing w:after="0" w:line="206" w:lineRule="exact"/>
        <w:rPr>
          <w:sz w:val="20"/>
          <w:szCs w:val="20"/>
          <w:color w:val="auto"/>
        </w:rPr>
      </w:pPr>
    </w:p>
    <w:p>
      <w:pPr>
        <w:ind w:right="280" w:firstLine="602"/>
        <w:spacing w:after="0" w:line="310" w:lineRule="auto"/>
        <w:tabs>
          <w:tab w:leader="none" w:pos="120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Mandatory Cashless Sell-All Exercise</w:t>
      </w:r>
      <w:r>
        <w:rPr>
          <w:rFonts w:ascii="Times New Roman" w:cs="Times New Roman" w:eastAsia="Times New Roman" w:hAnsi="Times New Roman"/>
          <w:sz w:val="16"/>
          <w:szCs w:val="16"/>
          <w:color w:val="auto"/>
        </w:rPr>
        <w:t>. Notwithstanding any provision in Section 6 of the Agreement to the contrary, if you are resident in Italy,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exercise the Option only by means of a cashless “sell-all” exercise unless the amendments to the Italian Financial Services Act, which became effective 13</w:t>
      </w:r>
    </w:p>
    <w:p>
      <w:pPr>
        <w:sectPr>
          <w:pgSz w:w="11900" w:h="16838" w:orient="portrait"/>
          <w:cols w:equalWidth="0" w:num="1">
            <w:col w:w="11420"/>
          </w:cols>
          <w:pgMar w:left="240" w:top="119" w:right="239" w:bottom="0" w:gutter="0" w:footer="0" w:header="0"/>
        </w:sectPr>
      </w:pPr>
    </w:p>
    <w:bookmarkStart w:id="78" w:name="page79"/>
    <w:bookmarkEnd w:id="78"/>
    <w:p>
      <w:pPr>
        <w:ind w:right="40"/>
        <w:spacing w:after="0" w:line="255" w:lineRule="auto"/>
        <w:rPr>
          <w:sz w:val="20"/>
          <w:szCs w:val="20"/>
          <w:color w:val="auto"/>
        </w:rPr>
      </w:pPr>
      <w:r>
        <w:rPr>
          <w:rFonts w:ascii="Times New Roman" w:cs="Times New Roman" w:eastAsia="Times New Roman" w:hAnsi="Times New Roman"/>
          <w:sz w:val="17"/>
          <w:szCs w:val="17"/>
          <w:color w:val="auto"/>
        </w:rPr>
        <w:t>November 2012, permit the acquisition of Shares pursuant to the exercise of the Option without the involvement of an authorized financial intermediary in Italy (in which case, you may utilize any method of exercise permitted under the Agreement). Under a cashless “sell-all” exercise, all of the Shares issuable upon the exercise of the Option will be sold and the sales proceeds (net from the payment of the option price and the withholding of any Tax-Related Items pursuant to Section 10 of the Agreement) will be paid to you in cash.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Mexico</w:t>
      </w:r>
    </w:p>
    <w:p>
      <w:pPr>
        <w:spacing w:after="0" w:line="206" w:lineRule="exact"/>
        <w:rPr>
          <w:sz w:val="20"/>
          <w:szCs w:val="20"/>
          <w:color w:val="auto"/>
        </w:rPr>
      </w:pPr>
    </w:p>
    <w:p>
      <w:pPr>
        <w:ind w:left="1200" w:hanging="598"/>
        <w:spacing w:after="0"/>
        <w:tabs>
          <w:tab w:leader="none" w:pos="12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Extraordinary Item of Compensation. </w:t>
      </w:r>
      <w:r>
        <w:rPr>
          <w:rFonts w:ascii="Times New Roman" w:cs="Times New Roman" w:eastAsia="Times New Roman" w:hAnsi="Times New Roman"/>
          <w:sz w:val="17"/>
          <w:szCs w:val="17"/>
          <w:color w:val="auto"/>
        </w:rPr>
        <w:t>You expressly recognize and acknowledge that your participation in the Plan is a result of the discretionary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77100"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unilateral decision of Toro, as well as your free and voluntary decision to participate in the Plan in accord with the terms and conditions of the Plan, the Agreement and this Addendum. As such, you acknowledge and agree that Toro may, in its sole discretion, amend and/or discontinue your participation in the Plan at any time and without any liability. The value of the Option is an extraordinary item of compensation outside the scope of your employment contract, if any. The Option is not part of your regular or expected compensation for purposes of calculating any severance, resignation, redundancy, end of service payments, bonuses, long-service awards, pension or retirement benefits, or any similar payments, which are the exclusive obligations of any Affiliate or Subsidiary.</w:t>
      </w:r>
    </w:p>
    <w:p>
      <w:pPr>
        <w:spacing w:after="0" w:line="174" w:lineRule="exact"/>
        <w:rPr>
          <w:sz w:val="20"/>
          <w:szCs w:val="20"/>
          <w:color w:val="auto"/>
        </w:rPr>
      </w:pPr>
    </w:p>
    <w:p>
      <w:pPr>
        <w:ind w:right="800"/>
        <w:spacing w:after="0" w:line="272" w:lineRule="auto"/>
        <w:rPr>
          <w:sz w:val="20"/>
          <w:szCs w:val="20"/>
          <w:color w:val="auto"/>
        </w:rPr>
      </w:pPr>
      <w:r>
        <w:rPr>
          <w:rFonts w:ascii="Times New Roman" w:cs="Times New Roman" w:eastAsia="Times New Roman" w:hAnsi="Times New Roman"/>
          <w:sz w:val="17"/>
          <w:szCs w:val="17"/>
          <w:color w:val="auto"/>
        </w:rPr>
        <w:t>BY SIGNING BELOW, YOU ACKNOWLEDGE, UNDERSTAND AND AGREE TO THE PROVISIONS OF THE AGREEMENT, THE PLAN AND THIS ADDENDUM.</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36322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3632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36322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line="186"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IMPORTANT NOTE: THIS ADDENDUM MUST BE SIGNED AND RETURNED TO THE LOCAL HR DEPARTMENT OF TORO MEXICO NO LATER THAN [INSERT].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06" w:lineRule="exact"/>
        <w:rPr>
          <w:sz w:val="20"/>
          <w:szCs w:val="20"/>
          <w:color w:val="auto"/>
        </w:rPr>
      </w:pPr>
    </w:p>
    <w:p>
      <w:pPr>
        <w:ind w:left="1200" w:hanging="598"/>
        <w:spacing w:after="0"/>
        <w:tabs>
          <w:tab w:leader="none" w:pos="12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Income Tax and Social Insurance Contribution Withholding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following provision shall replace Section 10 of the Agreement:</w:t>
      </w:r>
    </w:p>
    <w:p>
      <w:pPr>
        <w:spacing w:after="0" w:line="209" w:lineRule="exact"/>
        <w:rPr>
          <w:rFonts w:ascii="Times New Roman" w:cs="Times New Roman" w:eastAsia="Times New Roman" w:hAnsi="Times New Roman"/>
          <w:sz w:val="17"/>
          <w:szCs w:val="17"/>
          <w:color w:val="auto"/>
        </w:rPr>
      </w:pPr>
    </w:p>
    <w:p>
      <w:pPr>
        <w:ind w:right="80" w:firstLine="1205"/>
        <w:spacing w:after="0" w:line="268" w:lineRule="auto"/>
        <w:tabs>
          <w:tab w:leader="none" w:pos="180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Toro and any Affiliate or Subsidiary takes with respect to any or all income tax, primary and secondary Class I National Insurance Contributions, payroll tax, payment on account or other tax-related withholding (“Tax-Related Items”), you acknowledge that the ultimate liability for all Tax-Related Items legally due by you is and remains your responsibility and that Toro and any Affiliate or Subsidiary: (i) make no representations or undertakings regarding the treatment of any Tax-Related Items in connection with any aspect of the Option, including the grant of the Option, the vesting of the Option, the exercise of the Option, the subsequent sale of any Shares acquired pursuant to the Option, and the receipt of any dividends; and (ii) do not commit to structure the terms of the grant or any aspect of the Option to reduce or eliminate your liability for Tax-Related Items. Further, if you become subject to taxation in more than one country between the Grant Date and the date of any relevant taxable or tax withholding event, as applicable, you acknowledge that Toro and/or any Affiliate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178435</wp:posOffset>
            </wp:positionV>
            <wp:extent cx="7277100"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may be required to withhold or account for Tax-Related Items in more than one country.</w:t>
      </w:r>
    </w:p>
    <w:p>
      <w:pPr>
        <w:spacing w:after="0" w:line="206" w:lineRule="exact"/>
        <w:rPr>
          <w:sz w:val="20"/>
          <w:szCs w:val="20"/>
          <w:color w:val="auto"/>
        </w:rPr>
      </w:pPr>
    </w:p>
    <w:p>
      <w:pPr>
        <w:ind w:firstLine="1205"/>
        <w:spacing w:after="0" w:line="249" w:lineRule="auto"/>
        <w:tabs>
          <w:tab w:leader="none" w:pos="181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of the issuance of Shares (or cash payment) upon exercise of the Option, Toro and/or any Affiliate or Subsidiary shall be entitled to withhold and you agree to pay, or make adequate arrangements satisfactory to Toro and/or any Affiliate or Subsidiary to satisfy, all obligations of Toro and/or any Affiliate or Subsidiary to account to HM Revenue &amp; Customs (“HMRC”) for any Tax-Related Items. In this regard, you authorize Toro and/or any Affiliate or Subsidiary to withhold all applicable Tax-Related Items legally payable by you from any salary/wages or other cash compensation payable to you. Alternatively, or in addition, if permissible under local law, you authorize Toro and/or any Affiliate or Subsidiary, at its discretion and pursuant to such procedures as it may specify from time to time, to satisfy the obligations with regard to all Tax-Related Items legally payable by you by one or a combination of the following: (a) withholding otherwise deliverable Shares; (b) arranging for the sale of Shares otherwise deliverable to you (on your behalf and at your direction pursuant to this authorization); or</w:t>
      </w:r>
    </w:p>
    <w:p>
      <w:pPr>
        <w:spacing w:after="0" w:line="1" w:lineRule="exact"/>
        <w:rPr>
          <w:rFonts w:ascii="Times New Roman" w:cs="Times New Roman" w:eastAsia="Times New Roman" w:hAnsi="Times New Roman"/>
          <w:sz w:val="17"/>
          <w:szCs w:val="17"/>
          <w:color w:val="auto"/>
        </w:rPr>
      </w:pPr>
    </w:p>
    <w:p>
      <w:pPr>
        <w:ind w:right="40"/>
        <w:spacing w:after="0" w:line="249" w:lineRule="auto"/>
        <w:tabs>
          <w:tab w:leader="none" w:pos="22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the proceeds of the sale of Shares acquired upon exercise of the Option. If the obligation for Tax-Related Items is satisfied by withholding a number of Shares as described herein, you shall be deemed to have been issued the full number of Shares subject to the Option, notwithstanding that a number of the Shares are held back solely for the purpose of paying the Tax-Related Items due as a result of any aspect of the Option.</w:t>
      </w:r>
    </w:p>
    <w:p>
      <w:pPr>
        <w:spacing w:after="0" w:line="178" w:lineRule="exact"/>
        <w:rPr>
          <w:rFonts w:ascii="Times New Roman" w:cs="Times New Roman" w:eastAsia="Times New Roman" w:hAnsi="Times New Roman"/>
          <w:sz w:val="17"/>
          <w:szCs w:val="17"/>
          <w:color w:val="auto"/>
        </w:rPr>
      </w:pPr>
    </w:p>
    <w:p>
      <w:pPr>
        <w:ind w:right="60" w:firstLine="1205"/>
        <w:spacing w:after="0" w:line="253" w:lineRule="auto"/>
        <w:tabs>
          <w:tab w:leader="none" w:pos="18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the date on which the event giving rise to the Tax-Related Items occurs (the “Chargeable Event”), you have relocated to a jurisdiction other than the United Kingdom, you acknowledge that Toro and/or any Affiliate or Subsidiary may be required to withhold or account for Tax-Related Items in more than one jurisdiction, including the United Kingdom. You also agree that Toro and any Affiliate or Subsidiary may determine the amount of Tax-Related Items to be withheld and accounted for by reference to the maximum applicable rates, without prejudice to any right which you may have to recover any overpayment from the relevant tax authorities.</w:t>
      </w:r>
    </w:p>
    <w:p>
      <w:pPr>
        <w:spacing w:after="0" w:line="173" w:lineRule="exact"/>
        <w:rPr>
          <w:rFonts w:ascii="Times New Roman" w:cs="Times New Roman" w:eastAsia="Times New Roman" w:hAnsi="Times New Roman"/>
          <w:sz w:val="17"/>
          <w:szCs w:val="17"/>
          <w:color w:val="auto"/>
        </w:rPr>
      </w:pPr>
    </w:p>
    <w:p>
      <w:pPr>
        <w:ind w:right="100" w:firstLine="1205"/>
        <w:spacing w:after="0" w:line="250" w:lineRule="auto"/>
        <w:tabs>
          <w:tab w:leader="none" w:pos="181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shall pay to Toro or any Affiliate or Subsidiary any amount of Tax-Related Items that Toro or any Affiliate or Subsidiary may be required to account to HMRC with respect to the Chargeable Event that cannot be satisfied by the means previously described. If payment or withholding is not made within 90 days of the Chargeable Event or such other period as required under U.K. law (the “Due Date”), you agree that the amount of any uncollected Tax-Related Items shall (assuming you are not a director or executive officer of Toro (within the meaning of Section 13(k) of the U.S. Securities and Exchange Act of 1934, as amended), constitute a loan owed by you to any Affiliate or Subsidiary, effective on the Due Date. You agree that the loan will bear interest at the then-current HMRC Official Rate and it will be immediately due and repayable, and Toro and/or any Affiliate or Subsidiary may recover it at any time thereafter by any of the means referred to above. If any of the foregoing methods of collection are not allowed under applicable laws or if you fail to comply with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77100" cy="28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in connection with the Tax-Related Items as described in this section, Toro may refuse to deliver the Shares acquired under the Plan.</w:t>
      </w:r>
    </w:p>
    <w:p>
      <w:pPr>
        <w:sectPr>
          <w:pgSz w:w="11900" w:h="16838" w:orient="portrait"/>
          <w:cols w:equalWidth="0" w:num="1">
            <w:col w:w="11420"/>
          </w:cols>
          <w:pgMar w:left="240" w:top="123" w:right="239" w:bottom="75" w:gutter="0" w:footer="0" w:header="0"/>
        </w:sectPr>
      </w:pPr>
    </w:p>
    <w:bookmarkStart w:id="79" w:name="page80"/>
    <w:bookmarkEnd w:id="79"/>
    <w:p>
      <w:pPr>
        <w:ind w:left="-20" w:firstLine="602"/>
        <w:spacing w:after="0" w:line="256" w:lineRule="auto"/>
        <w:tabs>
          <w:tab w:leader="none" w:pos="118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Exclusion of Claim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 and agree that you shall have no entitlement to compensation or damages in consequence of the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employment with any Affiliate or Subsidiary for any reason whatsoever and whether or not in breach of contract, insofar as such entitlement arises or may arise from your ceasing to have rights under or to be entitled to vesting in your Option as a result of such termination, or from the loss or diminution in value of your Option. Upon the grant of your Option, you shall be deemed irrevocably to have waived any such entitlement.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202565</wp:posOffset>
            </wp:positionV>
            <wp:extent cx="7277100"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60" w:top="119" w:right="25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12</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THE TORO COMPANY AND SUBSIDIARIES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Computation of Ratio of Earnings to Fixed Charges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 Covered by Report of Independent Registered Public Accounting Firm)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10/31/2013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10/31/2012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10/31/2011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10/31/2010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10/31/2009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3"/>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before income taxes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226,713,000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196,262,000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174,826,000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141,268,000</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95,788,000</w:t>
            </w:r>
          </w:p>
        </w:tc>
        <w:tc>
          <w:tcPr>
            <w:tcW w:w="40" w:type="dxa"/>
            <w:vAlign w:val="bottom"/>
          </w:tcPr>
          <w:p>
            <w:pPr>
              <w:spacing w:after="0"/>
              <w:rPr>
                <w:sz w:val="17"/>
                <w:szCs w:val="17"/>
                <w:color w:val="auto"/>
              </w:rPr>
            </w:pPr>
          </w:p>
        </w:tc>
      </w:tr>
      <w:tr>
        <w:trPr>
          <w:trHeight w:val="201"/>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Plus: Fixed charges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24,343,024</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24,294,555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24,249,868</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23,579,921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24,280,076</w:t>
            </w:r>
          </w:p>
        </w:tc>
        <w:tc>
          <w:tcPr>
            <w:tcW w:w="40" w:type="dxa"/>
            <w:vAlign w:val="bottom"/>
          </w:tcPr>
          <w:p>
            <w:pPr>
              <w:spacing w:after="0"/>
              <w:rPr>
                <w:sz w:val="17"/>
                <w:szCs w:val="17"/>
                <w:color w:val="auto"/>
              </w:rPr>
            </w:pPr>
          </w:p>
        </w:tc>
      </w:tr>
      <w:tr>
        <w:trPr>
          <w:trHeight w:val="193"/>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available to cover fixed charges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251,056,024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220,556,555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199,075,868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164,847,921</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120,068,076</w:t>
            </w:r>
          </w:p>
        </w:tc>
        <w:tc>
          <w:tcPr>
            <w:tcW w:w="40" w:type="dxa"/>
            <w:vAlign w:val="bottom"/>
          </w:tcPr>
          <w:p>
            <w:pPr>
              <w:spacing w:after="0"/>
              <w:rPr>
                <w:sz w:val="17"/>
                <w:szCs w:val="17"/>
                <w:color w:val="auto"/>
              </w:rPr>
            </w:pPr>
          </w:p>
        </w:tc>
      </w:tr>
      <w:tr>
        <w:trPr>
          <w:trHeight w:val="193"/>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Ratio of earnings to fixed charges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9.08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8.21</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4.95</w:t>
            </w:r>
          </w:p>
        </w:tc>
        <w:tc>
          <w:tcPr>
            <w:tcW w:w="40" w:type="dxa"/>
            <w:vAlign w:val="bottom"/>
          </w:tcPr>
          <w:p>
            <w:pPr>
              <w:spacing w:after="0"/>
              <w:rPr>
                <w:sz w:val="17"/>
                <w:szCs w:val="17"/>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16,210,000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16,906,000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16,970,000</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17,113,000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17,578,000</w:t>
            </w:r>
          </w:p>
        </w:tc>
        <w:tc>
          <w:tcPr>
            <w:tcW w:w="40" w:type="dxa"/>
            <w:vAlign w:val="bottom"/>
          </w:tcPr>
          <w:p>
            <w:pPr>
              <w:spacing w:after="0"/>
              <w:rPr>
                <w:sz w:val="17"/>
                <w:szCs w:val="17"/>
                <w:color w:val="auto"/>
              </w:rPr>
            </w:pPr>
          </w:p>
        </w:tc>
      </w:tr>
      <w:tr>
        <w:trPr>
          <w:trHeight w:val="201"/>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Rentals (interest expense)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8,133,024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7,388,555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7,279,868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6,466,921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6,702,076</w:t>
            </w:r>
          </w:p>
        </w:tc>
        <w:tc>
          <w:tcPr>
            <w:tcW w:w="40" w:type="dxa"/>
            <w:vAlign w:val="bottom"/>
          </w:tcPr>
          <w:p>
            <w:pPr>
              <w:spacing w:after="0"/>
              <w:rPr>
                <w:sz w:val="17"/>
                <w:szCs w:val="17"/>
                <w:color w:val="auto"/>
              </w:rPr>
            </w:pPr>
          </w:p>
        </w:tc>
      </w:tr>
      <w:tr>
        <w:trPr>
          <w:trHeight w:val="193"/>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fixed charges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24,343,024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24,294,555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24,249,868</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23,579,921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24,280,076</w:t>
            </w:r>
          </w:p>
        </w:tc>
        <w:tc>
          <w:tcPr>
            <w:tcW w:w="40" w:type="dxa"/>
            <w:vAlign w:val="bottom"/>
          </w:tcPr>
          <w:p>
            <w:pPr>
              <w:spacing w:after="0"/>
              <w:rPr>
                <w:sz w:val="17"/>
                <w:szCs w:val="17"/>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3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-27940</wp:posOffset>
            </wp:positionV>
            <wp:extent cx="12700" cy="28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45" w:right="199" w:bottom="1440" w:gutter="0" w:footer="0" w:header="0"/>
        </w:sectPr>
      </w:pPr>
    </w:p>
    <w:bookmarkStart w:id="81" w:name="page82"/>
    <w:bookmarkEnd w:id="8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580" w:type="dxa"/>
            <w:vAlign w:val="bottom"/>
          </w:tcPr>
          <w:p>
            <w:pPr>
              <w:spacing w:after="0"/>
              <w:rPr>
                <w:sz w:val="24"/>
                <w:szCs w:val="24"/>
                <w:color w:val="auto"/>
              </w:rPr>
            </w:pPr>
          </w:p>
        </w:tc>
        <w:tc>
          <w:tcPr>
            <w:tcW w:w="5880" w:type="dxa"/>
            <w:vAlign w:val="bottom"/>
            <w:gridSpan w:val="4"/>
          </w:tcPr>
          <w:p>
            <w:pPr>
              <w:jc w:val="right"/>
              <w:ind w:right="2040"/>
              <w:spacing w:after="0"/>
              <w:rPr>
                <w:sz w:val="20"/>
                <w:szCs w:val="20"/>
                <w:color w:val="auto"/>
              </w:rPr>
            </w:pPr>
            <w:r>
              <w:rPr>
                <w:rFonts w:ascii="Times New Roman" w:cs="Times New Roman" w:eastAsia="Times New Roman" w:hAnsi="Times New Roman"/>
                <w:sz w:val="17"/>
                <w:szCs w:val="17"/>
                <w:b w:val="1"/>
                <w:bCs w:val="1"/>
                <w:color w:val="auto"/>
              </w:rPr>
              <w:t>THE TORO COMPANY AND SUBSIDIARIES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19"/>
                <w:szCs w:val="19"/>
                <w:color w:val="auto"/>
              </w:rPr>
            </w:pPr>
          </w:p>
        </w:tc>
        <w:tc>
          <w:tcPr>
            <w:tcW w:w="5880" w:type="dxa"/>
            <w:vAlign w:val="bottom"/>
            <w:gridSpan w:val="4"/>
          </w:tcPr>
          <w:p>
            <w:pPr>
              <w:jc w:val="right"/>
              <w:ind w:right="2820"/>
              <w:spacing w:after="0"/>
              <w:rPr>
                <w:sz w:val="20"/>
                <w:szCs w:val="20"/>
                <w:color w:val="auto"/>
              </w:rPr>
            </w:pPr>
            <w:r>
              <w:rPr>
                <w:rFonts w:ascii="Times New Roman" w:cs="Times New Roman" w:eastAsia="Times New Roman" w:hAnsi="Times New Roman"/>
                <w:sz w:val="17"/>
                <w:szCs w:val="17"/>
                <w:b w:val="1"/>
                <w:bCs w:val="1"/>
                <w:color w:val="auto"/>
              </w:rPr>
              <w:t>Subsidiaries of Registrant</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94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are significant subsidiaries of The Toro Company as of December 12, 2013.</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19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Percentage of Voting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Securities Owned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Exmark Manufacturing Company Incorporated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Nebraska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Hayter Holdings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United Kingdom</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Hayter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United Kingdom</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Holiman Co. Inc.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Pennsylvania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Irritrol Systems Europe S.r.l.</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Italy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Irritrol Systems Europe Productions S.r.l.</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Italy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MTI Distributing, Inc.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Rain Master Irrigation Systems, Inc.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California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 Iron Acceptance, LLC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Delaware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 Iron Holding Corporation</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Delaware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 Iron Insurance,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Bermuda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ShopToro Company</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Toro Company (Asia) Pte. Ltd.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Singapore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Australia Pty.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Australia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Australia Group Sales Pty. Ltd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Australia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(China) Irrigation Equipment Co., Ltd.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Credit Company</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Company de Mexico, S. de R.L. de C.V.</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Mexico</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Europe N.V.</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Belgium</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Factoring Company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Guernsey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Finance Co. GmbH</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Switzerland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(Gibraltar) Limited</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Gibraltar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Global Services Company</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Luxembourg S.à.r.l.</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Luxembourg</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LLC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Delaware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Manufacturing and Sales, S.R.L.</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Romania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Mexico Holdings, LLC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International Company</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Manufacturing LLC</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Delaware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Purchasing Company</w:t>
            </w:r>
          </w:p>
        </w:tc>
        <w:tc>
          <w:tcPr>
            <w:tcW w:w="2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Minnesota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58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-27940</wp:posOffset>
            </wp:positionV>
            <wp:extent cx="12700"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R&amp;D Company</w:t>
            </w:r>
          </w:p>
        </w:tc>
        <w:tc>
          <w:tcPr>
            <w:tcW w:w="50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Minnesota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1"/>
        </w:trPr>
        <w:tc>
          <w:tcPr>
            <w:tcW w:w="50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Sales Company</w:t>
            </w:r>
          </w:p>
        </w:tc>
        <w:tc>
          <w:tcPr>
            <w:tcW w:w="50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Minnesota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1"/>
        </w:trPr>
        <w:tc>
          <w:tcPr>
            <w:tcW w:w="50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Toro Warranty Company</w:t>
            </w:r>
          </w:p>
        </w:tc>
        <w:tc>
          <w:tcPr>
            <w:tcW w:w="50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Minnesota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1"/>
        </w:trPr>
        <w:tc>
          <w:tcPr>
            <w:tcW w:w="50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Tover Overseas, B.V</w:t>
            </w:r>
          </w:p>
        </w:tc>
        <w:tc>
          <w:tcPr>
            <w:tcW w:w="50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Netherlands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1"/>
        </w:trPr>
        <w:tc>
          <w:tcPr>
            <w:tcW w:w="50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28"/>
        </w:trPr>
        <w:tc>
          <w:tcPr>
            <w:tcW w:w="5020" w:type="dxa"/>
            <w:vAlign w:val="bottom"/>
            <w:shd w:val="clear" w:color="auto" w:fill="CCEEFF"/>
          </w:tcPr>
          <w:p>
            <w:pPr>
              <w:spacing w:after="0"/>
              <w:rPr>
                <w:sz w:val="11"/>
                <w:szCs w:val="11"/>
                <w:color w:val="auto"/>
              </w:rPr>
            </w:pPr>
          </w:p>
        </w:tc>
        <w:tc>
          <w:tcPr>
            <w:tcW w:w="50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bl>
    <w:p>
      <w:pPr>
        <w:sectPr>
          <w:pgSz w:w="11900" w:h="16900" w:orient="portrait"/>
          <w:cols w:equalWidth="0" w:num="1">
            <w:col w:w="11460"/>
          </w:cols>
          <w:pgMar w:left="240" w:top="345" w:right="19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Tover Overseas I C.V.</w:t>
            </w:r>
          </w:p>
        </w:tc>
        <w:tc>
          <w:tcPr>
            <w:tcW w:w="51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Netherlands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r>
      <w:tr>
        <w:trPr>
          <w:trHeight w:val="201"/>
        </w:trPr>
        <w:tc>
          <w:tcPr>
            <w:tcW w:w="50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Toro Company (Canada), Inc.</w:t>
            </w:r>
          </w:p>
        </w:tc>
        <w:tc>
          <w:tcPr>
            <w:tcW w:w="51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New Brunswick, Canada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r>
      <w:tr>
        <w:trPr>
          <w:trHeight w:val="201"/>
        </w:trPr>
        <w:tc>
          <w:tcPr>
            <w:tcW w:w="50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Western Equipment Distributors, Inc.</w:t>
            </w:r>
          </w:p>
        </w:tc>
        <w:tc>
          <w:tcPr>
            <w:tcW w:w="51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Minnesota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7"/>
                <w:szCs w:val="17"/>
                <w:color w:val="auto"/>
              </w:rPr>
            </w:pPr>
          </w:p>
        </w:tc>
      </w:tr>
      <w:tr>
        <w:trPr>
          <w:trHeight w:val="322"/>
        </w:trPr>
        <w:tc>
          <w:tcPr>
            <w:tcW w:w="500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-27940</wp:posOffset>
            </wp:positionV>
            <wp:extent cx="12700" cy="28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19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We consent to incorporation by reference in the Registration Statement No. 333-142282 on Form S-3 and in Registration Statements (Nos. 333-03505, 333-44879, 333-36166, 333-47260, 333-57198, 333-89260, 333-89262, 333-135033, 333-119504, 333-119506, 333-151086, 333-159767, 333-39052, 033-59563, 333-11860, 333-100004, 333-87461 and 333-165582) on Form S-8 of The Toro Company of our report dated December 20, 2013, related to the consolidated balance sheets of The Toro Company and subsidiaries as of October 31, 2013 and 2012, and the related consolidated statements of earnings, comprehensive income, cash flows, and stockholders’ equity and related financial statement schedule for each of the years in the three year period ended October 31, 2013, and the effectiveness of internal control over financial reporting as of October 31, 2013, which report is included in the Annual Report on Form 10-K of The Toro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27710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J. Hoffman, certify that:</w:t>
      </w:r>
    </w:p>
    <w:p>
      <w:pPr>
        <w:spacing w:after="0" w:line="206" w:lineRule="exact"/>
        <w:rPr>
          <w:sz w:val="20"/>
          <w:szCs w:val="20"/>
          <w:color w:val="auto"/>
        </w:rPr>
      </w:pPr>
    </w:p>
    <w:p>
      <w:pPr>
        <w:ind w:left="160" w:hanging="160"/>
        <w:spacing w:after="0"/>
        <w:tabs>
          <w:tab w:leader="none" w:pos="1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Toro Company;</w:t>
      </w:r>
    </w:p>
    <w:p>
      <w:pPr>
        <w:spacing w:after="0" w:line="205" w:lineRule="exact"/>
        <w:rPr>
          <w:rFonts w:ascii="Times New Roman" w:cs="Times New Roman" w:eastAsia="Times New Roman" w:hAnsi="Times New Roman"/>
          <w:sz w:val="17"/>
          <w:szCs w:val="17"/>
          <w:color w:val="auto"/>
        </w:rPr>
      </w:pPr>
    </w:p>
    <w:p>
      <w:pPr>
        <w:ind w:right="160"/>
        <w:spacing w:after="0" w:line="272" w:lineRule="auto"/>
        <w:tabs>
          <w:tab w:leader="none" w:pos="16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160"/>
        <w:spacing w:after="0" w:line="272" w:lineRule="auto"/>
        <w:tabs>
          <w:tab w:leader="none" w:pos="16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440"/>
        <w:spacing w:after="0" w:line="304" w:lineRule="auto"/>
        <w:tabs>
          <w:tab w:leader="none" w:pos="1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600" w:right="80" w:hanging="299"/>
        <w:spacing w:after="0" w:line="253" w:lineRule="auto"/>
        <w:tabs>
          <w:tab w:leader="none" w:pos="59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00" w:right="20" w:hanging="299"/>
        <w:spacing w:after="0" w:line="246"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00" w:right="460" w:hanging="299"/>
        <w:spacing w:after="0" w:line="246" w:lineRule="auto"/>
        <w:tabs>
          <w:tab w:leader="none" w:pos="60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00" w:right="100" w:hanging="299"/>
        <w:spacing w:after="0" w:line="249"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7"/>
          <w:szCs w:val="17"/>
          <w:color w:val="auto"/>
        </w:rPr>
      </w:pPr>
    </w:p>
    <w:p>
      <w:pPr>
        <w:ind w:right="460"/>
        <w:spacing w:after="0" w:line="272" w:lineRule="auto"/>
        <w:tabs>
          <w:tab w:leader="none" w:pos="16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right="660" w:hanging="299"/>
        <w:spacing w:after="0" w:line="256" w:lineRule="auto"/>
        <w:tabs>
          <w:tab w:leader="none" w:pos="59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0" w:right="240" w:hanging="299"/>
        <w:spacing w:after="0" w:line="252"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20, 2013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J. Hoffman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632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277100"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Renee J. Peterson, certify that:</w:t>
      </w:r>
    </w:p>
    <w:p>
      <w:pPr>
        <w:spacing w:after="0" w:line="206" w:lineRule="exact"/>
        <w:rPr>
          <w:sz w:val="20"/>
          <w:szCs w:val="20"/>
          <w:color w:val="auto"/>
        </w:rPr>
      </w:pPr>
    </w:p>
    <w:p>
      <w:pPr>
        <w:ind w:left="160" w:hanging="160"/>
        <w:spacing w:after="0"/>
        <w:tabs>
          <w:tab w:leader="none" w:pos="1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Toro Company;</w:t>
      </w:r>
    </w:p>
    <w:p>
      <w:pPr>
        <w:spacing w:after="0" w:line="205" w:lineRule="exact"/>
        <w:rPr>
          <w:rFonts w:ascii="Times New Roman" w:cs="Times New Roman" w:eastAsia="Times New Roman" w:hAnsi="Times New Roman"/>
          <w:sz w:val="17"/>
          <w:szCs w:val="17"/>
          <w:color w:val="auto"/>
        </w:rPr>
      </w:pPr>
    </w:p>
    <w:p>
      <w:pPr>
        <w:ind w:right="160"/>
        <w:spacing w:after="0" w:line="272" w:lineRule="auto"/>
        <w:tabs>
          <w:tab w:leader="none" w:pos="16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160"/>
        <w:spacing w:after="0" w:line="272" w:lineRule="auto"/>
        <w:tabs>
          <w:tab w:leader="none" w:pos="16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440"/>
        <w:spacing w:after="0" w:line="304" w:lineRule="auto"/>
        <w:tabs>
          <w:tab w:leader="none" w:pos="16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600" w:right="80" w:hanging="299"/>
        <w:spacing w:after="0" w:line="253" w:lineRule="auto"/>
        <w:tabs>
          <w:tab w:leader="none" w:pos="59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00" w:right="20" w:hanging="299"/>
        <w:spacing w:after="0" w:line="246" w:lineRule="auto"/>
        <w:tabs>
          <w:tab w:leader="none" w:pos="60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00" w:right="460" w:hanging="299"/>
        <w:spacing w:after="0" w:line="246" w:lineRule="auto"/>
        <w:tabs>
          <w:tab w:leader="none" w:pos="60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00" w:right="100" w:hanging="299"/>
        <w:spacing w:after="0" w:line="249" w:lineRule="auto"/>
        <w:tabs>
          <w:tab w:leader="none" w:pos="60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7"/>
          <w:szCs w:val="17"/>
          <w:color w:val="auto"/>
        </w:rPr>
      </w:pPr>
    </w:p>
    <w:p>
      <w:pPr>
        <w:ind w:right="460"/>
        <w:spacing w:after="0" w:line="272" w:lineRule="auto"/>
        <w:tabs>
          <w:tab w:leader="none" w:pos="16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right="660" w:hanging="299"/>
        <w:spacing w:after="0" w:line="256" w:lineRule="auto"/>
        <w:tabs>
          <w:tab w:leader="none" w:pos="59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0" w:right="240" w:hanging="299"/>
        <w:spacing w:after="0" w:line="252" w:lineRule="auto"/>
        <w:tabs>
          <w:tab w:leader="none" w:pos="60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20, 2013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632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Vice President, Treasurer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277100" cy="28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In connection with the Annual Report of The Toro Company (the “Company”) on Form 10-K for the fiscal year ended October 31, 2013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3" w:lineRule="exact"/>
        <w:rPr>
          <w:sz w:val="20"/>
          <w:szCs w:val="20"/>
          <w:color w:val="auto"/>
        </w:rPr>
      </w:pPr>
    </w:p>
    <w:p>
      <w:pPr>
        <w:ind w:left="920" w:hanging="318"/>
        <w:spacing w:after="0"/>
        <w:tabs>
          <w:tab w:leader="none" w:pos="9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5" w:lineRule="exact"/>
        <w:rPr>
          <w:rFonts w:ascii="Times New Roman" w:cs="Times New Roman" w:eastAsia="Times New Roman" w:hAnsi="Times New Roman"/>
          <w:sz w:val="17"/>
          <w:szCs w:val="17"/>
          <w:color w:val="auto"/>
        </w:rPr>
      </w:pPr>
    </w:p>
    <w:p>
      <w:pPr>
        <w:ind w:left="920" w:hanging="318"/>
        <w:spacing w:after="0"/>
        <w:tabs>
          <w:tab w:leader="none" w:pos="9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J. Hoffman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632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 2013</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6322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32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Vice President, Treasurer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 2013</w:t>
      </w:r>
    </w:p>
    <w:p>
      <w:pPr>
        <w:spacing w:after="0" w:line="19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7100" cy="28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sectPr>
      <w:pgSz w:w="11900" w:h="16838" w:orient="portrait"/>
      <w:cols w:equalWidth="0" w:num="1">
        <w:col w:w="11420"/>
      </w:cols>
      <w:pgMar w:left="240" w:top="3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lowerRoman"/>
      <w:start w:val="1"/>
    </w:lvl>
  </w:abstractNum>
  <w:abstractNum w:abstractNumId="4">
    <w:nsid w:val="51EAD36B"/>
    <w:multiLevelType w:val="hybridMultilevel"/>
    <w:lvl w:ilvl="0">
      <w:lvlJc w:val="left"/>
      <w:lvlText w:val="(%1)"/>
      <w:numFmt w:val="lowerRoman"/>
      <w:start w:val="4"/>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bullet"/>
      <w:start w:val="1"/>
    </w:lvl>
  </w:abstractNum>
  <w:abstractNum w:abstractNumId="12">
    <w:nsid w:val="1D4ED43B"/>
    <w:multiLevelType w:val="hybridMultilevel"/>
    <w:lvl w:ilvl="0">
      <w:lvlJc w:val="left"/>
      <w:lvlText w:val="1"/>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bullet"/>
      <w:start w:val="1"/>
    </w:lvl>
  </w:abstractNum>
  <w:abstractNum w:abstractNumId="32">
    <w:nsid w:val="520EEDD1"/>
    <w:multiLevelType w:val="hybridMultilevel"/>
    <w:lvl w:ilvl="0">
      <w:lvlJc w:val="left"/>
      <w:lvlText w:val="5"/>
      <w:numFmt w:val="bullet"/>
      <w:start w:val="1"/>
    </w:lvl>
  </w:abstractNum>
  <w:abstractNum w:abstractNumId="33">
    <w:nsid w:val="374A3FE6"/>
    <w:multiLevelType w:val="hybridMultilevel"/>
    <w:lvl w:ilvl="0">
      <w:lvlJc w:val="left"/>
      <w:lvlText w:val="(%1)"/>
      <w:numFmt w:val="lowerRoman"/>
      <w:start w:val="3"/>
    </w:lvl>
  </w:abstractNum>
  <w:abstractNum w:abstractNumId="34">
    <w:nsid w:val="4F4EF005"/>
    <w:multiLevelType w:val="hybridMultilevel"/>
    <w:lvl w:ilvl="0">
      <w:lvlJc w:val="left"/>
      <w:lvlText w:val="%1."/>
      <w:numFmt w:val="decimal"/>
      <w:start w:val="2"/>
    </w:lvl>
  </w:abstractNum>
  <w:abstractNum w:abstractNumId="35">
    <w:nsid w:val="23F9C13C"/>
    <w:multiLevelType w:val="hybridMultilevel"/>
    <w:lvl w:ilvl="0">
      <w:lvlJc w:val="left"/>
      <w:lvlText w:val="1"/>
      <w:numFmt w:val="bullet"/>
      <w:start w:val="1"/>
    </w:lvl>
  </w:abstractNum>
  <w:abstractNum w:abstractNumId="36">
    <w:nsid w:val="649BB77C"/>
    <w:multiLevelType w:val="hybridMultilevel"/>
    <w:lvl w:ilvl="0">
      <w:lvlJc w:val="left"/>
      <w:lvlText w:val="2"/>
      <w:numFmt w:val="bullet"/>
      <w:start w:val="1"/>
    </w:lvl>
  </w:abstractNum>
  <w:abstractNum w:abstractNumId="37">
    <w:nsid w:val="275AC794"/>
    <w:multiLevelType w:val="hybridMultilevel"/>
    <w:lvl w:ilvl="0">
      <w:lvlJc w:val="left"/>
      <w:lvlText w:val="3"/>
      <w:numFmt w:val="bullet"/>
      <w:start w:val="1"/>
    </w:lvl>
  </w:abstractNum>
  <w:abstractNum w:abstractNumId="38">
    <w:nsid w:val="39386575"/>
    <w:multiLevelType w:val="hybridMultilevel"/>
    <w:lvl w:ilvl="0">
      <w:lvlJc w:val="left"/>
      <w:lvlText w:val="4"/>
      <w:numFmt w:val="bullet"/>
      <w:start w:val="1"/>
    </w:lvl>
  </w:abstractNum>
  <w:abstractNum w:abstractNumId="39">
    <w:nsid w:val="1CF10FD8"/>
    <w:multiLevelType w:val="hybridMultilevel"/>
    <w:lvl w:ilvl="0">
      <w:lvlJc w:val="left"/>
      <w:lvlText w:val="6"/>
      <w:numFmt w:val="bullet"/>
      <w:start w:val="1"/>
    </w:lvl>
  </w:abstractNum>
  <w:abstractNum w:abstractNumId="40">
    <w:nsid w:val="180115BE"/>
    <w:multiLevelType w:val="hybridMultilevel"/>
    <w:lvl w:ilvl="0">
      <w:lvlJc w:val="left"/>
      <w:lvlText w:val="7"/>
      <w:numFmt w:val="bullet"/>
      <w:start w:val="1"/>
    </w:lvl>
  </w:abstractNum>
  <w:abstractNum w:abstractNumId="41">
    <w:nsid w:val="235BA861"/>
    <w:multiLevelType w:val="hybridMultilevel"/>
    <w:lvl w:ilvl="0">
      <w:lvlJc w:val="left"/>
      <w:lvlText w:val="8"/>
      <w:numFmt w:val="bullet"/>
      <w:start w:val="1"/>
    </w:lvl>
  </w:abstractNum>
  <w:abstractNum w:abstractNumId="42">
    <w:nsid w:val="47398C89"/>
    <w:multiLevelType w:val="hybridMultilevel"/>
    <w:lvl w:ilvl="0">
      <w:lvlJc w:val="left"/>
      <w:lvlText w:val="9"/>
      <w:numFmt w:val="bullet"/>
      <w:start w:val="1"/>
    </w:lvl>
  </w:abstractNum>
  <w:abstractNum w:abstractNumId="43">
    <w:nsid w:val="354FE9F9"/>
    <w:multiLevelType w:val="hybridMultilevel"/>
    <w:lvl w:ilvl="0">
      <w:lvlJc w:val="left"/>
      <w:lvlText w:val="1"/>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2"/>
    </w:lvl>
  </w:abstractNum>
  <w:abstractNum w:abstractNumId="47">
    <w:nsid w:val="10233C99"/>
    <w:multiLevelType w:val="hybridMultilevel"/>
    <w:lvl w:ilvl="0">
      <w:lvlJc w:val="left"/>
      <w:lvlText w:val="%1"/>
      <w:numFmt w:val="decimal"/>
      <w:start w:val="21"/>
    </w:lvl>
  </w:abstractNum>
  <w:abstractNum w:abstractNumId="48">
    <w:nsid w:val="3F6AB60F"/>
    <w:multiLevelType w:val="hybridMultilevel"/>
    <w:lvl w:ilvl="0">
      <w:lvlJc w:val="left"/>
      <w:lvlText w:val="%1"/>
      <w:numFmt w:val="decimal"/>
      <w:start w:val="23"/>
    </w:lvl>
  </w:abstractNum>
  <w:abstractNum w:abstractNumId="49">
    <w:nsid w:val="61574095"/>
    <w:multiLevelType w:val="hybridMultilevel"/>
    <w:lvl w:ilvl="0">
      <w:lvlJc w:val="left"/>
      <w:lvlText w:val="%1"/>
      <w:numFmt w:val="decimal"/>
      <w:start w:val="32"/>
    </w:lvl>
  </w:abstractNum>
  <w:abstractNum w:abstractNumId="50">
    <w:nsid w:val="7E0C57B1"/>
    <w:multiLevelType w:val="hybridMultilevel"/>
    <w:lvl w:ilvl="0">
      <w:lvlJc w:val="left"/>
      <w:lvlText w:val="%1"/>
      <w:numFmt w:val="decimal"/>
      <w:start w:val="101"/>
    </w:lvl>
  </w:abstractNum>
  <w:abstractNum w:abstractNumId="51">
    <w:nsid w:val="77AE35EB"/>
    <w:multiLevelType w:val="hybridMultilevel"/>
    <w:lvl w:ilvl="0">
      <w:lvlJc w:val="left"/>
      <w:lvlText w:val="(%1)"/>
      <w:numFmt w:val="decimal"/>
      <w:start w:val="1"/>
    </w:lvl>
    <w:lvl w:ilvl="1">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lvl w:ilvl="1">
      <w:lvlJc w:val="left"/>
      <w:lvlText w:val="(%2)"/>
      <w:numFmt w:val="lowerLetter"/>
      <w:start w:val="1"/>
    </w:lvl>
  </w:abstractNum>
  <w:abstractNum w:abstractNumId="57">
    <w:nsid w:val="1DBABF00"/>
    <w:multiLevelType w:val="hybridMultilevel"/>
    <w:lvl w:ilvl="0">
      <w:lvlJc w:val="left"/>
      <w:lvlText w:val="(%1)"/>
      <w:numFmt w:val="lowerLetter"/>
      <w:start w:val="2"/>
    </w:lvl>
  </w:abstractNum>
  <w:abstractNum w:abstractNumId="58">
    <w:nsid w:val="4AD084E9"/>
    <w:multiLevelType w:val="hybridMultilevel"/>
    <w:lvl w:ilvl="0">
      <w:lvlJc w:val="left"/>
      <w:lvlText w:val="%1"/>
      <w:numFmt w:val="decimal"/>
      <w:start w:val="1"/>
    </w:lvl>
    <w:lvl w:ilvl="1">
      <w:lvlJc w:val="left"/>
      <w:lvlText w:val="(%2)"/>
      <w:numFmt w:val="lowerLetter"/>
      <w:start w:val="3"/>
    </w:lvl>
  </w:abstractNum>
  <w:abstractNum w:abstractNumId="59">
    <w:nsid w:val="1F48EAA1"/>
    <w:multiLevelType w:val="hybridMultilevel"/>
    <w:lvl w:ilvl="0">
      <w:lvlJc w:val="left"/>
      <w:lvlText w:val="%1."/>
      <w:numFmt w:val="decimal"/>
      <w:start w:val="7"/>
    </w:lvl>
    <w:lvl w:ilvl="1">
      <w:lvlJc w:val="left"/>
      <w:lvlText w:val="%2"/>
      <w:numFmt w:val="lowerLetter"/>
      <w:start w:val="1"/>
    </w:lvl>
  </w:abstractNum>
  <w:abstractNum w:abstractNumId="60">
    <w:nsid w:val="1381823A"/>
    <w:multiLevelType w:val="hybridMultilevel"/>
    <w:lvl w:ilvl="0">
      <w:lvlJc w:val="left"/>
      <w:lvlText w:val="%1."/>
      <w:numFmt w:val="decimal"/>
      <w:start w:val="9"/>
    </w:lvl>
    <w:lvl w:ilvl="1">
      <w:lvlJc w:val="left"/>
      <w:lvlText w:val="(%2)"/>
      <w:numFmt w:val="lowerLetter"/>
      <w:start w:val="1"/>
    </w:lvl>
  </w:abstractNum>
  <w:abstractNum w:abstractNumId="61">
    <w:nsid w:val="5DB70AE5"/>
    <w:multiLevelType w:val="hybridMultilevel"/>
    <w:lvl w:ilvl="0">
      <w:lvlJc w:val="left"/>
      <w:lvlText w:val="%1"/>
      <w:numFmt w:val="decimal"/>
      <w:start w:val="1"/>
    </w:lvl>
    <w:lvl w:ilvl="1">
      <w:lvlJc w:val="left"/>
      <w:lvlText w:val="(%2)"/>
      <w:numFmt w:val="lowerLetter"/>
      <w:start w:val="3"/>
    </w:lvl>
  </w:abstractNum>
  <w:abstractNum w:abstractNumId="62">
    <w:nsid w:val="100F8FCA"/>
    <w:multiLevelType w:val="hybridMultilevel"/>
    <w:lvl w:ilvl="0">
      <w:lvlJc w:val="left"/>
      <w:lvlText w:val="%1."/>
      <w:numFmt w:val="decimal"/>
      <w:start w:val="15"/>
    </w:lvl>
    <w:lvl w:ilvl="1">
      <w:lvlJc w:val="left"/>
      <w:lvlText w:val="%2"/>
      <w:numFmt w:val="lowerLetter"/>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lvl w:ilvl="1">
      <w:lvlJc w:val="left"/>
      <w:lvlText w:val="(%2)"/>
      <w:numFmt w:val="lowerLetter"/>
      <w:start w:val="1"/>
    </w:lvl>
  </w:abstractNum>
  <w:abstractNum w:abstractNumId="68">
    <w:nsid w:val="6B94764"/>
    <w:multiLevelType w:val="hybridMultilevel"/>
    <w:lvl w:ilvl="0">
      <w:lvlJc w:val="left"/>
      <w:lvlText w:val="%1"/>
      <w:numFmt w:val="lowerLetter"/>
      <w:start w:val="1"/>
    </w:lvl>
    <w:lvl w:ilvl="1">
      <w:lvlJc w:val="left"/>
      <w:lvlText w:val="(%2)"/>
      <w:numFmt w:val="lowerLetter"/>
      <w:start w:val="2"/>
    </w:lvl>
  </w:abstractNum>
  <w:abstractNum w:abstractNumId="69">
    <w:nsid w:val="42C296BD"/>
    <w:multiLevelType w:val="hybridMultilevel"/>
    <w:lvl w:ilvl="0">
      <w:lvlJc w:val="left"/>
      <w:lvlText w:val="(%1)"/>
      <w:numFmt w:val="lowerLetter"/>
      <w:start w:val="3"/>
    </w:lvl>
    <w:lvl w:ilvl="1">
      <w:lvlJc w:val="left"/>
      <w:lvlText w:val="(%2)"/>
      <w:numFmt w:val="lowerLetter"/>
      <w:start w:val="3"/>
    </w:lvl>
  </w:abstractNum>
  <w:abstractNum w:abstractNumId="70">
    <w:nsid w:val="168E121F"/>
    <w:multiLevelType w:val="hybridMultilevel"/>
    <w:lvl w:ilvl="0">
      <w:lvlJc w:val="left"/>
      <w:lvlText w:val="%1."/>
      <w:numFmt w:val="decimal"/>
      <w:start w:val="3"/>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2019-12-05T21:31:41Z</dcterms:created>
  <dcterms:modified xsi:type="dcterms:W3CDTF">2019-12-05T21:31:41Z</dcterms:modified>
</cp:coreProperties>
</file>