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167005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TORO COMPANY</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3" w:lineRule="exact"/>
        <w:rPr>
          <w:sz w:val="24"/>
          <w:szCs w:val="24"/>
          <w:color w:val="auto"/>
        </w:rPr>
      </w:pPr>
    </w:p>
    <w:tbl>
      <w:tblPr>
        <w:tblLayout w:type="fixed"/>
        <w:tblInd w:w="700" w:type="dxa"/>
        <w:tblCellMar>
          <w:top w:w="0" w:type="dxa"/>
          <w:left w:w="0" w:type="dxa"/>
          <w:bottom w:w="0" w:type="dxa"/>
          <w:right w:w="0" w:type="dxa"/>
        </w:tblCellMar>
      </w:tblPr>
      <w:tr>
        <w:trPr>
          <w:trHeight w:val="242"/>
        </w:trPr>
        <w:tc>
          <w:tcPr>
            <w:tcW w:w="2800" w:type="dxa"/>
            <w:vAlign w:val="bottom"/>
          </w:tcPr>
          <w:p>
            <w:pPr>
              <w:jc w:val="center"/>
              <w:ind w:right="150"/>
              <w:spacing w:after="0"/>
              <w:rPr>
                <w:sz w:val="20"/>
                <w:szCs w:val="20"/>
                <w:color w:val="auto"/>
              </w:rPr>
            </w:pPr>
            <w:r>
              <w:rPr>
                <w:rFonts w:ascii="Arial" w:cs="Arial" w:eastAsia="Arial" w:hAnsi="Arial"/>
                <w:sz w:val="20"/>
                <w:szCs w:val="20"/>
                <w:b w:val="1"/>
                <w:bCs w:val="1"/>
                <w:color w:val="auto"/>
                <w:w w:val="91"/>
              </w:rPr>
              <w:t>Delaware</w:t>
            </w:r>
          </w:p>
        </w:tc>
        <w:tc>
          <w:tcPr>
            <w:tcW w:w="4320" w:type="dxa"/>
            <w:vAlign w:val="bottom"/>
          </w:tcPr>
          <w:p>
            <w:pPr>
              <w:jc w:val="center"/>
              <w:spacing w:after="0"/>
              <w:rPr>
                <w:sz w:val="20"/>
                <w:szCs w:val="20"/>
                <w:color w:val="auto"/>
              </w:rPr>
            </w:pPr>
            <w:r>
              <w:rPr>
                <w:rFonts w:ascii="Arial" w:cs="Arial" w:eastAsia="Arial" w:hAnsi="Arial"/>
                <w:sz w:val="20"/>
                <w:szCs w:val="20"/>
                <w:b w:val="1"/>
                <w:bCs w:val="1"/>
                <w:color w:val="auto"/>
                <w:w w:val="89"/>
              </w:rPr>
              <w:t>1-8649</w:t>
            </w:r>
          </w:p>
        </w:tc>
        <w:tc>
          <w:tcPr>
            <w:tcW w:w="2580" w:type="dxa"/>
            <w:vAlign w:val="bottom"/>
          </w:tcPr>
          <w:p>
            <w:pPr>
              <w:jc w:val="right"/>
              <w:ind w:right="550"/>
              <w:spacing w:after="0"/>
              <w:rPr>
                <w:sz w:val="20"/>
                <w:szCs w:val="20"/>
                <w:color w:val="auto"/>
              </w:rPr>
            </w:pPr>
            <w:r>
              <w:rPr>
                <w:rFonts w:ascii="Arial" w:cs="Arial" w:eastAsia="Arial" w:hAnsi="Arial"/>
                <w:sz w:val="20"/>
                <w:szCs w:val="20"/>
                <w:b w:val="1"/>
                <w:bCs w:val="1"/>
                <w:color w:val="auto"/>
              </w:rPr>
              <w:t>41-0580470</w:t>
            </w:r>
          </w:p>
        </w:tc>
      </w:tr>
      <w:tr>
        <w:trPr>
          <w:trHeight w:val="203"/>
        </w:trPr>
        <w:tc>
          <w:tcPr>
            <w:tcW w:w="2800" w:type="dxa"/>
            <w:vAlign w:val="bottom"/>
          </w:tcPr>
          <w:p>
            <w:pPr>
              <w:jc w:val="center"/>
              <w:ind w:right="150"/>
              <w:spacing w:after="0"/>
              <w:rPr>
                <w:sz w:val="20"/>
                <w:szCs w:val="20"/>
                <w:color w:val="auto"/>
              </w:rPr>
            </w:pPr>
            <w:r>
              <w:rPr>
                <w:rFonts w:ascii="Arial" w:cs="Arial" w:eastAsia="Arial" w:hAnsi="Arial"/>
                <w:sz w:val="16"/>
                <w:szCs w:val="16"/>
                <w:color w:val="auto"/>
                <w:w w:val="94"/>
              </w:rPr>
              <w:t>(State or other jurisdiction</w:t>
            </w:r>
          </w:p>
        </w:tc>
        <w:tc>
          <w:tcPr>
            <w:tcW w:w="4320" w:type="dxa"/>
            <w:vAlign w:val="bottom"/>
          </w:tcPr>
          <w:p>
            <w:pPr>
              <w:jc w:val="center"/>
              <w:spacing w:after="0"/>
              <w:rPr>
                <w:sz w:val="20"/>
                <w:szCs w:val="20"/>
                <w:color w:val="auto"/>
              </w:rPr>
            </w:pPr>
            <w:r>
              <w:rPr>
                <w:rFonts w:ascii="Arial" w:cs="Arial" w:eastAsia="Arial" w:hAnsi="Arial"/>
                <w:sz w:val="16"/>
                <w:szCs w:val="16"/>
                <w:color w:val="auto"/>
                <w:w w:val="93"/>
              </w:rPr>
              <w:t>(Commission File Number)</w:t>
            </w:r>
          </w:p>
        </w:tc>
        <w:tc>
          <w:tcPr>
            <w:tcW w:w="2580" w:type="dxa"/>
            <w:vAlign w:val="bottom"/>
          </w:tcPr>
          <w:p>
            <w:pPr>
              <w:jc w:val="center"/>
              <w:ind w:left="250"/>
              <w:spacing w:after="0"/>
              <w:rPr>
                <w:sz w:val="20"/>
                <w:szCs w:val="20"/>
                <w:color w:val="auto"/>
              </w:rPr>
            </w:pPr>
            <w:r>
              <w:rPr>
                <w:rFonts w:ascii="Arial" w:cs="Arial" w:eastAsia="Arial" w:hAnsi="Arial"/>
                <w:sz w:val="16"/>
                <w:szCs w:val="16"/>
                <w:color w:val="auto"/>
                <w:w w:val="96"/>
              </w:rPr>
              <w:t>(IRS Employer Identification No.)</w:t>
            </w:r>
          </w:p>
        </w:tc>
      </w:tr>
      <w:tr>
        <w:trPr>
          <w:trHeight w:val="206"/>
        </w:trPr>
        <w:tc>
          <w:tcPr>
            <w:tcW w:w="2800" w:type="dxa"/>
            <w:vAlign w:val="bottom"/>
          </w:tcPr>
          <w:p>
            <w:pPr>
              <w:jc w:val="center"/>
              <w:ind w:right="150"/>
              <w:spacing w:after="0"/>
              <w:rPr>
                <w:sz w:val="20"/>
                <w:szCs w:val="20"/>
                <w:color w:val="auto"/>
              </w:rPr>
            </w:pPr>
            <w:r>
              <w:rPr>
                <w:rFonts w:ascii="Arial" w:cs="Arial" w:eastAsia="Arial" w:hAnsi="Arial"/>
                <w:sz w:val="16"/>
                <w:szCs w:val="16"/>
                <w:color w:val="auto"/>
                <w:w w:val="96"/>
              </w:rPr>
              <w:t>of incorporation)</w:t>
            </w:r>
          </w:p>
        </w:tc>
        <w:tc>
          <w:tcPr>
            <w:tcW w:w="432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429"/>
        </w:trPr>
        <w:tc>
          <w:tcPr>
            <w:tcW w:w="2800" w:type="dxa"/>
            <w:vAlign w:val="bottom"/>
          </w:tcPr>
          <w:p>
            <w:pPr>
              <w:jc w:val="center"/>
              <w:ind w:right="150"/>
              <w:spacing w:after="0"/>
              <w:rPr>
                <w:sz w:val="20"/>
                <w:szCs w:val="20"/>
                <w:color w:val="auto"/>
              </w:rPr>
            </w:pPr>
            <w:r>
              <w:rPr>
                <w:rFonts w:ascii="Arial" w:cs="Arial" w:eastAsia="Arial" w:hAnsi="Arial"/>
                <w:sz w:val="20"/>
                <w:szCs w:val="20"/>
                <w:b w:val="1"/>
                <w:bCs w:val="1"/>
                <w:color w:val="auto"/>
                <w:w w:val="87"/>
              </w:rPr>
              <w:t>8111 Lyndale Avenue South</w:t>
            </w:r>
          </w:p>
        </w:tc>
        <w:tc>
          <w:tcPr>
            <w:tcW w:w="43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42"/>
        </w:trPr>
        <w:tc>
          <w:tcPr>
            <w:tcW w:w="2800" w:type="dxa"/>
            <w:vAlign w:val="bottom"/>
          </w:tcPr>
          <w:p>
            <w:pPr>
              <w:jc w:val="center"/>
              <w:ind w:right="150"/>
              <w:spacing w:after="0"/>
              <w:rPr>
                <w:sz w:val="20"/>
                <w:szCs w:val="20"/>
                <w:color w:val="auto"/>
              </w:rPr>
            </w:pPr>
            <w:r>
              <w:rPr>
                <w:rFonts w:ascii="Arial" w:cs="Arial" w:eastAsia="Arial" w:hAnsi="Arial"/>
                <w:sz w:val="20"/>
                <w:szCs w:val="20"/>
                <w:b w:val="1"/>
                <w:bCs w:val="1"/>
                <w:color w:val="auto"/>
                <w:w w:val="89"/>
              </w:rPr>
              <w:t>Bloomington, Minnesota</w:t>
            </w:r>
          </w:p>
        </w:tc>
        <w:tc>
          <w:tcPr>
            <w:tcW w:w="4320" w:type="dxa"/>
            <w:vAlign w:val="bottom"/>
          </w:tcPr>
          <w:p>
            <w:pPr>
              <w:spacing w:after="0"/>
              <w:rPr>
                <w:sz w:val="21"/>
                <w:szCs w:val="21"/>
                <w:color w:val="auto"/>
              </w:rPr>
            </w:pPr>
          </w:p>
        </w:tc>
        <w:tc>
          <w:tcPr>
            <w:tcW w:w="2580" w:type="dxa"/>
            <w:vAlign w:val="bottom"/>
          </w:tcPr>
          <w:p>
            <w:pPr>
              <w:jc w:val="right"/>
              <w:ind w:right="790"/>
              <w:spacing w:after="0"/>
              <w:rPr>
                <w:sz w:val="20"/>
                <w:szCs w:val="20"/>
                <w:color w:val="auto"/>
              </w:rPr>
            </w:pPr>
            <w:r>
              <w:rPr>
                <w:rFonts w:ascii="Arial" w:cs="Arial" w:eastAsia="Arial" w:hAnsi="Arial"/>
                <w:sz w:val="20"/>
                <w:szCs w:val="20"/>
                <w:b w:val="1"/>
                <w:bCs w:val="1"/>
                <w:color w:val="auto"/>
              </w:rPr>
              <w:t>55420</w:t>
            </w:r>
          </w:p>
        </w:tc>
      </w:tr>
      <w:tr>
        <w:trPr>
          <w:trHeight w:val="206"/>
        </w:trPr>
        <w:tc>
          <w:tcPr>
            <w:tcW w:w="2800" w:type="dxa"/>
            <w:vAlign w:val="bottom"/>
          </w:tcPr>
          <w:p>
            <w:pPr>
              <w:jc w:val="center"/>
              <w:ind w:right="150"/>
              <w:spacing w:after="0"/>
              <w:rPr>
                <w:sz w:val="20"/>
                <w:szCs w:val="20"/>
                <w:color w:val="auto"/>
              </w:rPr>
            </w:pPr>
            <w:r>
              <w:rPr>
                <w:rFonts w:ascii="Arial" w:cs="Arial" w:eastAsia="Arial" w:hAnsi="Arial"/>
                <w:sz w:val="16"/>
                <w:szCs w:val="16"/>
                <w:color w:val="auto"/>
                <w:w w:val="93"/>
              </w:rPr>
              <w:t>(Address of principal executive offices)</w:t>
            </w:r>
          </w:p>
        </w:tc>
        <w:tc>
          <w:tcPr>
            <w:tcW w:w="4320" w:type="dxa"/>
            <w:vAlign w:val="bottom"/>
          </w:tcPr>
          <w:p>
            <w:pPr>
              <w:spacing w:after="0"/>
              <w:rPr>
                <w:sz w:val="17"/>
                <w:szCs w:val="17"/>
                <w:color w:val="auto"/>
              </w:rPr>
            </w:pPr>
          </w:p>
        </w:tc>
        <w:tc>
          <w:tcPr>
            <w:tcW w:w="2580" w:type="dxa"/>
            <w:vAlign w:val="bottom"/>
          </w:tcPr>
          <w:p>
            <w:pPr>
              <w:jc w:val="center"/>
              <w:ind w:left="250"/>
              <w:spacing w:after="0"/>
              <w:rPr>
                <w:sz w:val="20"/>
                <w:szCs w:val="20"/>
                <w:color w:val="auto"/>
              </w:rPr>
            </w:pPr>
            <w:r>
              <w:rPr>
                <w:rFonts w:ascii="Arial" w:cs="Arial" w:eastAsia="Arial" w:hAnsi="Arial"/>
                <w:sz w:val="16"/>
                <w:szCs w:val="16"/>
                <w:color w:val="auto"/>
                <w:w w:val="95"/>
              </w:rPr>
              <w:t>(Zip Code)</w:t>
            </w:r>
          </w:p>
        </w:tc>
      </w:tr>
      <w:tr>
        <w:trPr>
          <w:trHeight w:val="356"/>
        </w:trPr>
        <w:tc>
          <w:tcPr>
            <w:tcW w:w="280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Arial" w:cs="Arial" w:eastAsia="Arial" w:hAnsi="Arial"/>
                <w:sz w:val="20"/>
                <w:szCs w:val="20"/>
                <w:b w:val="1"/>
                <w:bCs w:val="1"/>
                <w:color w:val="auto"/>
                <w:w w:val="90"/>
              </w:rPr>
              <w:t>(952) 888-8801</w:t>
            </w:r>
          </w:p>
        </w:tc>
        <w:tc>
          <w:tcPr>
            <w:tcW w:w="2580" w:type="dxa"/>
            <w:vAlign w:val="bottom"/>
          </w:tcPr>
          <w:p>
            <w:pPr>
              <w:spacing w:after="0"/>
              <w:rPr>
                <w:sz w:val="24"/>
                <w:szCs w:val="24"/>
                <w:color w:val="auto"/>
              </w:rPr>
            </w:pPr>
          </w:p>
        </w:tc>
      </w:tr>
      <w:tr>
        <w:trPr>
          <w:trHeight w:val="230"/>
        </w:trPr>
        <w:tc>
          <w:tcPr>
            <w:tcW w:w="2800" w:type="dxa"/>
            <w:vAlign w:val="bottom"/>
          </w:tcPr>
          <w:p>
            <w:pPr>
              <w:spacing w:after="0"/>
              <w:rPr>
                <w:sz w:val="20"/>
                <w:szCs w:val="20"/>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c>
          <w:tcPr>
            <w:tcW w:w="2580" w:type="dxa"/>
            <w:vAlign w:val="bottom"/>
          </w:tcPr>
          <w:p>
            <w:pPr>
              <w:spacing w:after="0"/>
              <w:rPr>
                <w:sz w:val="20"/>
                <w:szCs w:val="20"/>
                <w:color w:val="auto"/>
              </w:rPr>
            </w:pPr>
          </w:p>
        </w:tc>
      </w:tr>
    </w:tbl>
    <w:p>
      <w:pPr>
        <w:spacing w:after="0" w:line="9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740" w:firstLine="8"/>
        <w:spacing w:after="0" w:line="415" w:lineRule="auto"/>
        <w:tabs>
          <w:tab w:leader="none" w:pos="45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4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6"/>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28"/>
        </w:trPr>
        <w:tc>
          <w:tcPr>
            <w:tcW w:w="4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 per share</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TTC</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r>
        <w:trPr>
          <w:trHeight w:val="22"/>
        </w:trPr>
        <w:tc>
          <w:tcPr>
            <w:tcW w:w="4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4480" w:type="dxa"/>
            <w:vAlign w:val="bottom"/>
            <w:tcBorders>
              <w:bottom w:val="single" w:sz="8" w:color="auto"/>
              <w:right w:val="single" w:sz="8" w:color="auto"/>
            </w:tcBorders>
          </w:tcPr>
          <w:p>
            <w:pPr>
              <w:spacing w:after="0" w:line="20" w:lineRule="exact"/>
              <w:rPr>
                <w:sz w:val="1"/>
                <w:szCs w:val="1"/>
                <w:color w:val="auto"/>
              </w:rPr>
            </w:pPr>
          </w:p>
        </w:tc>
      </w:tr>
    </w:tbl>
    <w:p>
      <w:pPr>
        <w:spacing w:after="0" w:line="12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43"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733425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Section 1—Registrant’s Business and Operations</w:t>
      </w:r>
    </w:p>
    <w:p>
      <w:pPr>
        <w:spacing w:after="0" w:line="229"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1.01</w:t>
      </w:r>
      <w:r>
        <w:rPr>
          <w:sz w:val="20"/>
          <w:szCs w:val="20"/>
          <w:color w:val="auto"/>
        </w:rPr>
        <w:tab/>
      </w:r>
      <w:r>
        <w:rPr>
          <w:rFonts w:ascii="Arial" w:cs="Arial" w:eastAsia="Arial" w:hAnsi="Arial"/>
          <w:sz w:val="18"/>
          <w:szCs w:val="18"/>
          <w:b w:val="1"/>
          <w:bCs w:val="1"/>
          <w:color w:val="auto"/>
        </w:rPr>
        <w:t>Entry into a Material Definitive Agreement.</w:t>
      </w:r>
    </w:p>
    <w:p>
      <w:pPr>
        <w:spacing w:after="0" w:line="235"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20"/>
          <w:szCs w:val="20"/>
          <w:color w:val="auto"/>
        </w:rPr>
        <w:t>On March 30, 2020, The Toro Company (“TTC”) entered into a term loan credit agreement with certain lenders, Bank of America, N.A., as administrative agent, and U.S. Bank National Association, as syndication agent (the “Term Loan”). The Term Loan provides for an aggregate credit commitment of up to $190 million to TTC pursuant to a three-year unsecured term loan credit facility. TTC entered into the Term Loan (i) to refinance certain of its outstanding borrowings incurred in connection with TTC’s acquisition of Venture Products, Inc. that was completed on March 2, 2020 and borrowed under its revolving credit agreement dated as of June 19, 2018, with certain lenders, Bank of America, N.A., as administrative agent, swingline lender and letter of credit issuer, and Wells Fargo Bank, National Association, as syndication agent and (ii) as a precautionary measure in order to increase its liquidity and preserve financial flexibility in light of the current uncertainty in the global financial and commercial markets as a result of the coronavirus (“COVID-19”) pandemic (the “Borrowing Purpose”).</w:t>
      </w:r>
    </w:p>
    <w:p>
      <w:pPr>
        <w:spacing w:after="0" w:line="208" w:lineRule="exact"/>
        <w:rPr>
          <w:sz w:val="20"/>
          <w:szCs w:val="20"/>
          <w:color w:val="auto"/>
        </w:rPr>
      </w:pPr>
    </w:p>
    <w:p>
      <w:pPr>
        <w:jc w:val="both"/>
        <w:ind w:firstLine="749"/>
        <w:spacing w:after="0" w:line="316" w:lineRule="auto"/>
        <w:rPr>
          <w:sz w:val="20"/>
          <w:szCs w:val="20"/>
          <w:color w:val="auto"/>
        </w:rPr>
      </w:pPr>
      <w:r>
        <w:rPr>
          <w:rFonts w:ascii="Arial" w:cs="Arial" w:eastAsia="Arial" w:hAnsi="Arial"/>
          <w:sz w:val="16"/>
          <w:szCs w:val="16"/>
          <w:color w:val="auto"/>
        </w:rPr>
        <w:t>At the option of TTC, the Term Loan will bear interest at a variable rate generally based on LIBOR or an alternative variable rate based on the highest of the Bank of America prime rate, the federal funds rate or a rate generally based on LIBOR, in each case depending on the leverage ratio (as measured quarterly and defined as the ratio of (a) total indebtedness to (b) consolidated EBIT (earnings before interest and taxes) plus depreciation and amortization expense) and debt rating of TTC, each as identified in the Term Loan. Interest is payable quarterly in arrears. Beginning with the last business day of March 2021, TTC will make quarterly amortization payments on the Term Loan equal to (a) 5.0% for the first four payments and (b) 7.50% thereafter, in each case, of the aggregate principal amount of the Term Loan.</w:t>
      </w:r>
    </w:p>
    <w:p>
      <w:pPr>
        <w:spacing w:after="0" w:line="153"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8"/>
          <w:szCs w:val="18"/>
          <w:color w:val="auto"/>
        </w:rPr>
        <w:t>The Term Loan contains customary covenants regarding TTC and its subsidiaries, including, without limitation: financial covenants, such as the maintenance of minimum interest coverage and maximum leverage ratios; and negative covenants, which, among other things, limit dividends, disposition of assets, consolidations and mergers, liens and other matters customarily restricted in such agreements. Most of these restrictions are subject to certain minimum thresholds and exceptions. The Term Loan also contains customary events of default, including, without limitation, payment defaults, material inaccuracy of representations and warranties, covenant defaults, bankruptcy and insolvency proceedings, cross-defaults to certain other agreements, and change of control.</w:t>
      </w:r>
    </w:p>
    <w:p>
      <w:pPr>
        <w:spacing w:after="0" w:line="178"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BofA Securities, Inc. served as lead arranger and bookrunner for the Term Loan, for which they each received customary compensation. In addition, the Administrative Agent, the Syndication Agent and certain of the other lenders and their respective affiliates have in the past performed, and may in the future from time to time perform, investment banking, financial advisory, lending and/or commercial banking services for TTC and its subsidiaries, for which service they have in the past received, and may in the future receive, customary compensation and reimbursement of expenses.</w:t>
      </w:r>
    </w:p>
    <w:p>
      <w:pPr>
        <w:spacing w:after="0" w:line="20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The foregoing description of the Term Loan is a summary of the material terms of the Term Loan, does not purport to be complete and is qualified in its entirety by reference to the complete text of the Term Loan, a copy of which is filed as Exhibit 10.1 to this Current Report on Form 8-K and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2—Financial Information</w:t>
      </w:r>
    </w:p>
    <w:p>
      <w:pPr>
        <w:sectPr>
          <w:pgSz w:w="11900" w:h="16838" w:orient="portrait"/>
          <w:cols w:equalWidth="0" w:num="1">
            <w:col w:w="11240"/>
          </w:cols>
          <w:pgMar w:left="320" w:top="333" w:right="3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880"/>
        <w:spacing w:after="0" w:line="267" w:lineRule="auto"/>
        <w:rPr>
          <w:sz w:val="20"/>
          <w:szCs w:val="20"/>
          <w:color w:val="auto"/>
        </w:rPr>
      </w:pPr>
      <w:r>
        <w:rPr>
          <w:rFonts w:ascii="Arial" w:cs="Arial" w:eastAsia="Arial" w:hAnsi="Arial"/>
          <w:sz w:val="20"/>
          <w:szCs w:val="20"/>
          <w:b w:val="1"/>
          <w:bCs w:val="1"/>
          <w:color w:val="auto"/>
        </w:rPr>
        <w:t>Creation of a Direct Financial Obligation or an Obligation under an Off-Balance Sheet Arrangement of a Registrant.</w:t>
      </w:r>
    </w:p>
    <w:p>
      <w:pPr>
        <w:spacing w:after="0" w:line="183" w:lineRule="exact"/>
        <w:rPr>
          <w:sz w:val="20"/>
          <w:szCs w:val="20"/>
          <w:color w:val="auto"/>
        </w:rPr>
      </w:pPr>
    </w:p>
    <w:p>
      <w:pPr>
        <w:sectPr>
          <w:pgSz w:w="11900" w:h="16838" w:orient="portrait"/>
          <w:cols w:equalWidth="0" w:num="2">
            <w:col w:w="800" w:space="700"/>
            <w:col w:w="9740"/>
          </w:cols>
          <w:pgMar w:left="320" w:top="333" w:right="339" w:bottom="1440" w:gutter="0" w:footer="0" w:header="0"/>
          <w:type w:val="continuous"/>
        </w:sectPr>
      </w:pPr>
    </w:p>
    <w:p>
      <w:pPr>
        <w:jc w:val="both"/>
        <w:ind w:firstLine="749"/>
        <w:spacing w:after="0" w:line="250" w:lineRule="auto"/>
        <w:rPr>
          <w:sz w:val="20"/>
          <w:szCs w:val="20"/>
          <w:color w:val="auto"/>
        </w:rPr>
      </w:pPr>
      <w:r>
        <w:rPr>
          <w:rFonts w:ascii="Arial" w:cs="Arial" w:eastAsia="Arial" w:hAnsi="Arial"/>
          <w:sz w:val="20"/>
          <w:szCs w:val="20"/>
          <w:color w:val="auto"/>
        </w:rPr>
        <w:t>On April 1, 2020, TTC borrowed the full $190 million of available borrowings under the Term Loan to use for the Borrowing Purpose. The information described above under “Section 1 – Registrant’s Business and Operations – Item 1.01 Entry into a Material Definitive Agreement”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7—Regulation FD</w:t>
      </w:r>
    </w:p>
    <w:p>
      <w:pPr>
        <w:spacing w:after="0" w:line="229"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 w:name="page3"/>
    <w:bookmarkEnd w:id="2"/>
    <w:p>
      <w:pPr>
        <w:jc w:val="both"/>
        <w:ind w:firstLine="749"/>
        <w:spacing w:after="0" w:line="246" w:lineRule="auto"/>
        <w:rPr>
          <w:sz w:val="20"/>
          <w:szCs w:val="20"/>
          <w:color w:val="auto"/>
        </w:rPr>
      </w:pPr>
      <w:r>
        <w:rPr>
          <w:rFonts w:ascii="Arial" w:cs="Arial" w:eastAsia="Arial" w:hAnsi="Arial"/>
          <w:sz w:val="20"/>
          <w:szCs w:val="20"/>
          <w:color w:val="auto"/>
        </w:rPr>
        <w:t>Attached to this Current Report on Form 8-K as Exhibit 99.1 is a copy of the press release issued by TTC on March 30, 2020 regarding the Term Loan, business update on the actions TTC is taking as a result of the COVID-19 pandemic and the withdrawal of its fiscal 2020 second quarter and full year guidance provided in its Current Report on Form 8-K and its Quarterly Report on Form 10-Q, each filed on March 5, 2020. Further updates will be provided in TTC’s fiscal 2020 second quarter earnings announcement and conference call expected to be held on June 4, 2020</w:t>
      </w:r>
      <w:r>
        <w:rPr>
          <w:rFonts w:ascii="Arial" w:cs="Arial" w:eastAsia="Arial" w:hAnsi="Arial"/>
          <w:sz w:val="21"/>
          <w:szCs w:val="21"/>
          <w:color w:val="212529"/>
        </w:rPr>
        <w:t>.</w:t>
      </w:r>
    </w:p>
    <w:p>
      <w:pPr>
        <w:spacing w:after="0" w:line="200" w:lineRule="exact"/>
        <w:rPr>
          <w:sz w:val="20"/>
          <w:szCs w:val="20"/>
          <w:color w:val="auto"/>
        </w:rPr>
      </w:pPr>
    </w:p>
    <w:p>
      <w:pPr>
        <w:ind w:right="120" w:firstLine="749"/>
        <w:spacing w:after="0" w:line="263" w:lineRule="auto"/>
        <w:rPr>
          <w:sz w:val="20"/>
          <w:szCs w:val="20"/>
          <w:color w:val="auto"/>
        </w:rPr>
      </w:pPr>
      <w:r>
        <w:rPr>
          <w:rFonts w:ascii="Arial" w:cs="Arial" w:eastAsia="Arial" w:hAnsi="Arial"/>
          <w:sz w:val="19"/>
          <w:szCs w:val="19"/>
          <w:color w:val="auto"/>
        </w:rPr>
        <w:t>The information contained in this Item 7.01 and Exhibit 99.1 to this Current Report on Form 8-K shall not be deemed to be “filed” for purposes of Section 18 of the Securities Exchange Act of 1934, as amended (the “Exchange Act”), or otherwise subject to the liability of that section, and shall not be incorporated by reference into any filings made by TTC under the Securities Act of 1933, as amended, or the Exchange Act, except as shall be expressly set forth by specific reference in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8—Other Events</w:t>
      </w:r>
    </w:p>
    <w:p>
      <w:pPr>
        <w:spacing w:after="0" w:line="229" w:lineRule="exact"/>
        <w:rPr>
          <w:sz w:val="20"/>
          <w:szCs w:val="20"/>
          <w:color w:val="auto"/>
        </w:rPr>
      </w:pPr>
    </w:p>
    <w:p>
      <w:pPr>
        <w:spacing w:after="0"/>
        <w:tabs>
          <w:tab w:leader="none" w:pos="1480" w:val="left"/>
        </w:tabs>
        <w:rPr>
          <w:sz w:val="20"/>
          <w:szCs w:val="20"/>
          <w:color w:val="auto"/>
        </w:rPr>
      </w:pPr>
      <w:r>
        <w:rPr>
          <w:rFonts w:ascii="Arial" w:cs="Arial" w:eastAsia="Arial" w:hAnsi="Arial"/>
          <w:sz w:val="20"/>
          <w:szCs w:val="20"/>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235" w:lineRule="exact"/>
        <w:rPr>
          <w:sz w:val="20"/>
          <w:szCs w:val="20"/>
          <w:color w:val="auto"/>
        </w:rPr>
      </w:pPr>
    </w:p>
    <w:p>
      <w:pPr>
        <w:jc w:val="both"/>
        <w:ind w:left="60" w:firstLine="701"/>
        <w:spacing w:after="0" w:line="246" w:lineRule="auto"/>
        <w:rPr>
          <w:sz w:val="20"/>
          <w:szCs w:val="20"/>
          <w:color w:val="auto"/>
        </w:rPr>
      </w:pPr>
      <w:r>
        <w:rPr>
          <w:rFonts w:ascii="Arial" w:cs="Arial" w:eastAsia="Arial" w:hAnsi="Arial"/>
          <w:sz w:val="20"/>
          <w:szCs w:val="20"/>
          <w:color w:val="auto"/>
        </w:rPr>
        <w:t>In light of the COVID-19 pandemic, TTC is supplementing the risk factors described in Part I, Item 1A of TTC’s Annual Report on Form 10-K for the fiscal year ended October 31, 2019 and Part II, Item 1A of its Quarterly Report on Form 10-Q for the quarterly period ended January 31, 2020, each as filed with the Securities and Exchange Commission on December 20, 2019 and March 5, 2020, respectively.</w:t>
      </w:r>
    </w:p>
    <w:p>
      <w:pPr>
        <w:spacing w:after="0" w:line="11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The extent to which the novel coronavirus (“COVID-19”) pandemic will adversely impact our business, financial condition and operating results is highly uncertain and cannot be predicted but could be material.</w:t>
      </w:r>
    </w:p>
    <w:p>
      <w:pPr>
        <w:spacing w:after="0" w:line="190" w:lineRule="exact"/>
        <w:rPr>
          <w:sz w:val="20"/>
          <w:szCs w:val="20"/>
          <w:color w:val="auto"/>
        </w:rPr>
      </w:pPr>
    </w:p>
    <w:p>
      <w:pPr>
        <w:jc w:val="both"/>
        <w:ind w:firstLine="631"/>
        <w:spacing w:after="0" w:line="243" w:lineRule="auto"/>
        <w:rPr>
          <w:sz w:val="20"/>
          <w:szCs w:val="20"/>
          <w:color w:val="auto"/>
        </w:rPr>
      </w:pPr>
      <w:r>
        <w:rPr>
          <w:rFonts w:ascii="Arial" w:cs="Arial" w:eastAsia="Arial" w:hAnsi="Arial"/>
          <w:sz w:val="20"/>
          <w:szCs w:val="20"/>
          <w:color w:val="auto"/>
        </w:rPr>
        <w:t>The COVID-19 pandemic has created significant worldwide volatility, uncertainty and disruption. In particular, the COVID-19 pandemic has resulted in a substantial curtailment of business activities, a significant number of business closures, slowdowns, suspensions or delays of production and commercial activity, and weakened economic conditions, both in the United States and many foreign countries. As such, the COVID-19 pandemic has directly and indirectly adversely impacted TTC and such adverse impact will likely continue. However, the extent to which the COVID-19 pandemic will ultimately adversely impact TTC’s business, financial condition and operating results, which could be material, will depend on numerous evolving factors that are highly uncertain, rapidly changing and cannot be predicted at this time, including:</w:t>
      </w:r>
    </w:p>
    <w:p>
      <w:pPr>
        <w:spacing w:after="0" w:line="44" w:lineRule="exact"/>
        <w:rPr>
          <w:sz w:val="20"/>
          <w:szCs w:val="20"/>
          <w:color w:val="auto"/>
        </w:rPr>
      </w:pPr>
    </w:p>
    <w:p>
      <w:pPr>
        <w:ind w:left="920" w:hanging="291"/>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20"/>
          <w:szCs w:val="20"/>
          <w:color w:val="auto"/>
        </w:rPr>
        <w:t>the duration and scope of the COVID-19 pandemic;</w:t>
      </w:r>
    </w:p>
    <w:p>
      <w:pPr>
        <w:spacing w:after="0" w:line="94" w:lineRule="exact"/>
        <w:rPr>
          <w:rFonts w:ascii="Arial" w:cs="Arial" w:eastAsia="Arial" w:hAnsi="Arial"/>
          <w:sz w:val="18"/>
          <w:szCs w:val="18"/>
          <w:color w:val="auto"/>
        </w:rPr>
      </w:pPr>
    </w:p>
    <w:p>
      <w:pPr>
        <w:jc w:val="both"/>
        <w:ind w:left="920" w:right="640" w:hanging="291"/>
        <w:spacing w:after="0" w:line="250" w:lineRule="auto"/>
        <w:tabs>
          <w:tab w:leader="none" w:pos="920" w:val="left"/>
        </w:tabs>
        <w:numPr>
          <w:ilvl w:val="0"/>
          <w:numId w:val="2"/>
        </w:numPr>
        <w:rPr>
          <w:rFonts w:ascii="Arial" w:cs="Arial" w:eastAsia="Arial" w:hAnsi="Arial"/>
          <w:sz w:val="18"/>
          <w:szCs w:val="18"/>
          <w:color w:val="auto"/>
        </w:rPr>
      </w:pPr>
      <w:r>
        <w:rPr>
          <w:rFonts w:ascii="Arial" w:cs="Arial" w:eastAsia="Arial" w:hAnsi="Arial"/>
          <w:sz w:val="20"/>
          <w:szCs w:val="20"/>
          <w:color w:val="auto"/>
        </w:rPr>
        <w:t>governmental, business and individual actions that have been, and continue to be, taken in response to the COVID-19 pandemic, including business and travel restrictions, “stay-at-home” and “shelter-in-place” directives, quarantines, and slowdowns, suspensions or delays of commercial activity;</w:t>
      </w:r>
    </w:p>
    <w:p>
      <w:pPr>
        <w:spacing w:after="0" w:line="64" w:lineRule="exact"/>
        <w:rPr>
          <w:rFonts w:ascii="Arial" w:cs="Arial" w:eastAsia="Arial" w:hAnsi="Arial"/>
          <w:sz w:val="18"/>
          <w:szCs w:val="18"/>
          <w:color w:val="auto"/>
        </w:rPr>
      </w:pPr>
    </w:p>
    <w:p>
      <w:pPr>
        <w:jc w:val="both"/>
        <w:ind w:left="920" w:hanging="291"/>
        <w:spacing w:after="0" w:line="250" w:lineRule="auto"/>
        <w:tabs>
          <w:tab w:leader="none" w:pos="920" w:val="left"/>
        </w:tabs>
        <w:numPr>
          <w:ilvl w:val="0"/>
          <w:numId w:val="2"/>
        </w:numPr>
        <w:rPr>
          <w:rFonts w:ascii="Arial" w:cs="Arial" w:eastAsia="Arial" w:hAnsi="Arial"/>
          <w:sz w:val="18"/>
          <w:szCs w:val="18"/>
          <w:color w:val="auto"/>
        </w:rPr>
      </w:pPr>
      <w:r>
        <w:rPr>
          <w:rFonts w:ascii="Arial" w:cs="Arial" w:eastAsia="Arial" w:hAnsi="Arial"/>
          <w:sz w:val="20"/>
          <w:szCs w:val="20"/>
          <w:color w:val="auto"/>
        </w:rPr>
        <w:t>the effect of the COVID-19 pandemic on our dealers, distributors, mass retailers and other channel partners and customers, including their ability to remain open, continue to sell and service our products, pay for the products purchased from us and/or collect payment from their customers;</w:t>
      </w:r>
    </w:p>
    <w:p>
      <w:pPr>
        <w:spacing w:after="0" w:line="37" w:lineRule="exact"/>
        <w:rPr>
          <w:rFonts w:ascii="Arial" w:cs="Arial" w:eastAsia="Arial" w:hAnsi="Arial"/>
          <w:sz w:val="18"/>
          <w:szCs w:val="18"/>
          <w:color w:val="auto"/>
        </w:rPr>
      </w:pPr>
    </w:p>
    <w:p>
      <w:pPr>
        <w:jc w:val="both"/>
        <w:ind w:left="920" w:hanging="291"/>
        <w:spacing w:after="0" w:line="269" w:lineRule="auto"/>
        <w:tabs>
          <w:tab w:leader="none" w:pos="920" w:val="left"/>
        </w:tabs>
        <w:numPr>
          <w:ilvl w:val="0"/>
          <w:numId w:val="2"/>
        </w:numPr>
        <w:rPr>
          <w:rFonts w:ascii="Arial" w:cs="Arial" w:eastAsia="Arial" w:hAnsi="Arial"/>
          <w:sz w:val="17"/>
          <w:szCs w:val="17"/>
          <w:color w:val="auto"/>
        </w:rPr>
      </w:pPr>
      <w:r>
        <w:rPr>
          <w:rFonts w:ascii="Arial" w:cs="Arial" w:eastAsia="Arial" w:hAnsi="Arial"/>
          <w:sz w:val="19"/>
          <w:szCs w:val="19"/>
          <w:color w:val="auto"/>
        </w:rPr>
        <w:t>our ability during the COVID-19 pandemic to continue operations and/or adjust our production schedules, including by the temporary suspension of production activity mandated or otherwise made necessary by governmental authorities, as a result of current and anticipated weakened demand and/or production delays at certain of our facilities;</w:t>
      </w:r>
    </w:p>
    <w:p>
      <w:pPr>
        <w:spacing w:after="0" w:line="21" w:lineRule="exact"/>
        <w:rPr>
          <w:rFonts w:ascii="Arial" w:cs="Arial" w:eastAsia="Arial" w:hAnsi="Arial"/>
          <w:sz w:val="17"/>
          <w:szCs w:val="17"/>
          <w:color w:val="auto"/>
        </w:rPr>
      </w:pPr>
    </w:p>
    <w:p>
      <w:pPr>
        <w:ind w:left="920" w:hanging="291"/>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20"/>
          <w:szCs w:val="20"/>
          <w:color w:val="auto"/>
        </w:rPr>
        <w:t>significant reductions or volatility in demand for one or more of our products or services;</w:t>
      </w:r>
    </w:p>
    <w:p>
      <w:pPr>
        <w:spacing w:after="0" w:line="67" w:lineRule="exact"/>
        <w:rPr>
          <w:rFonts w:ascii="Arial" w:cs="Arial" w:eastAsia="Arial" w:hAnsi="Arial"/>
          <w:sz w:val="18"/>
          <w:szCs w:val="18"/>
          <w:color w:val="auto"/>
        </w:rPr>
      </w:pPr>
    </w:p>
    <w:p>
      <w:pPr>
        <w:ind w:left="920" w:hanging="291"/>
        <w:spacing w:after="0" w:line="260" w:lineRule="auto"/>
        <w:tabs>
          <w:tab w:leader="none" w:pos="920" w:val="left"/>
        </w:tabs>
        <w:numPr>
          <w:ilvl w:val="0"/>
          <w:numId w:val="2"/>
        </w:numPr>
        <w:rPr>
          <w:rFonts w:ascii="Arial" w:cs="Arial" w:eastAsia="Arial" w:hAnsi="Arial"/>
          <w:sz w:val="18"/>
          <w:szCs w:val="18"/>
          <w:color w:val="auto"/>
        </w:rPr>
      </w:pPr>
      <w:r>
        <w:rPr>
          <w:rFonts w:ascii="Arial" w:cs="Arial" w:eastAsia="Arial" w:hAnsi="Arial"/>
          <w:sz w:val="20"/>
          <w:szCs w:val="20"/>
          <w:color w:val="auto"/>
        </w:rPr>
        <w:t>the effect of the COVID-19 pandemic on our suppliers and our ability to obtain commodities, components, parts, and accessories on a timely basis through our supply chain and at previously anticipated costs;</w:t>
      </w:r>
    </w:p>
    <w:p>
      <w:pPr>
        <w:spacing w:after="0" w:line="28" w:lineRule="exact"/>
        <w:rPr>
          <w:rFonts w:ascii="Arial" w:cs="Arial" w:eastAsia="Arial" w:hAnsi="Arial"/>
          <w:sz w:val="18"/>
          <w:szCs w:val="18"/>
          <w:color w:val="auto"/>
        </w:rPr>
      </w:pPr>
    </w:p>
    <w:p>
      <w:pPr>
        <w:ind w:left="920" w:hanging="291"/>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20"/>
          <w:szCs w:val="20"/>
          <w:color w:val="auto"/>
        </w:rPr>
        <w:t>logistics costs and challenges, including availability of transportation and at previously anticipated costs;</w:t>
      </w:r>
    </w:p>
    <w:p>
      <w:pPr>
        <w:spacing w:after="0" w:line="67" w:lineRule="exact"/>
        <w:rPr>
          <w:rFonts w:ascii="Arial" w:cs="Arial" w:eastAsia="Arial" w:hAnsi="Arial"/>
          <w:sz w:val="18"/>
          <w:szCs w:val="18"/>
          <w:color w:val="auto"/>
        </w:rPr>
      </w:pPr>
    </w:p>
    <w:p>
      <w:pPr>
        <w:jc w:val="both"/>
        <w:ind w:left="920" w:hanging="291"/>
        <w:spacing w:after="0" w:line="291" w:lineRule="auto"/>
        <w:tabs>
          <w:tab w:leader="none" w:pos="920" w:val="left"/>
        </w:tabs>
        <w:numPr>
          <w:ilvl w:val="0"/>
          <w:numId w:val="2"/>
        </w:numPr>
        <w:rPr>
          <w:rFonts w:ascii="Arial" w:cs="Arial" w:eastAsia="Arial" w:hAnsi="Arial"/>
          <w:sz w:val="16"/>
          <w:szCs w:val="16"/>
          <w:color w:val="auto"/>
        </w:rPr>
      </w:pPr>
      <w:r>
        <w:rPr>
          <w:rFonts w:ascii="Arial" w:cs="Arial" w:eastAsia="Arial" w:hAnsi="Arial"/>
          <w:sz w:val="18"/>
          <w:szCs w:val="18"/>
          <w:color w:val="auto"/>
        </w:rPr>
        <w:t>costs incurred as a result of necessary actions and preparedness plans to help ensure the health and safety of our employees and continued operations, including remote working accommodations, enhanced cleaning processes, protocols designed to implement appropriate social distancing practices, and/or adoption of additional wage and benefit programs to assist employees;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 w:name="page4"/>
    <w:bookmarkEnd w:id="3"/>
    <w:p>
      <w:pPr>
        <w:ind w:left="920" w:hanging="29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20"/>
          <w:szCs w:val="20"/>
          <w:color w:val="auto"/>
        </w:rPr>
        <w:t>potential future restructuring, impairment and other charges;</w:t>
      </w:r>
    </w:p>
    <w:p>
      <w:pPr>
        <w:spacing w:after="0" w:line="67" w:lineRule="exact"/>
        <w:rPr>
          <w:rFonts w:ascii="Arial" w:cs="Arial" w:eastAsia="Arial" w:hAnsi="Arial"/>
          <w:sz w:val="18"/>
          <w:szCs w:val="18"/>
          <w:color w:val="auto"/>
        </w:rPr>
      </w:pPr>
    </w:p>
    <w:p>
      <w:pPr>
        <w:ind w:left="920" w:hanging="291"/>
        <w:spacing w:after="0" w:line="260"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20"/>
          <w:szCs w:val="20"/>
          <w:color w:val="auto"/>
        </w:rPr>
        <w:t>availability of employees, their ability to conduct work away from normal working locations and/or under revised work environment protocols, as well as the general willingness of employees to come to and perform work;</w:t>
      </w:r>
    </w:p>
    <w:p>
      <w:pPr>
        <w:spacing w:after="0" w:line="28" w:lineRule="exact"/>
        <w:rPr>
          <w:rFonts w:ascii="Arial" w:cs="Arial" w:eastAsia="Arial" w:hAnsi="Arial"/>
          <w:sz w:val="18"/>
          <w:szCs w:val="18"/>
          <w:color w:val="auto"/>
        </w:rPr>
      </w:pPr>
    </w:p>
    <w:p>
      <w:pPr>
        <w:ind w:left="920" w:hanging="29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20"/>
          <w:szCs w:val="20"/>
          <w:color w:val="auto"/>
        </w:rPr>
        <w:t>the impact of the COVID-19 pandemic on the financial and credit markets and economic activity generally;</w:t>
      </w:r>
    </w:p>
    <w:p>
      <w:pPr>
        <w:spacing w:after="0" w:line="94" w:lineRule="exact"/>
        <w:rPr>
          <w:rFonts w:ascii="Arial" w:cs="Arial" w:eastAsia="Arial" w:hAnsi="Arial"/>
          <w:sz w:val="18"/>
          <w:szCs w:val="18"/>
          <w:color w:val="auto"/>
        </w:rPr>
      </w:pPr>
    </w:p>
    <w:p>
      <w:pPr>
        <w:ind w:left="920" w:hanging="291"/>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9"/>
          <w:szCs w:val="19"/>
          <w:color w:val="auto"/>
        </w:rPr>
        <w:t>our ability to access lending, capital markets, and other sources of liquidity when needed on reasonable terms or at all;</w:t>
      </w:r>
    </w:p>
    <w:p>
      <w:pPr>
        <w:spacing w:after="0" w:line="105" w:lineRule="exact"/>
        <w:rPr>
          <w:rFonts w:ascii="Arial" w:cs="Arial" w:eastAsia="Arial" w:hAnsi="Arial"/>
          <w:sz w:val="17"/>
          <w:szCs w:val="17"/>
          <w:color w:val="auto"/>
        </w:rPr>
      </w:pPr>
    </w:p>
    <w:p>
      <w:pPr>
        <w:ind w:left="920" w:right="180" w:hanging="291"/>
        <w:spacing w:after="0" w:line="260"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20"/>
          <w:szCs w:val="20"/>
          <w:color w:val="auto"/>
        </w:rPr>
        <w:t>our ability to comply with the financial covenants in our debt agreements if a material economic downturn as a result of the COVID-19 pandemic results in substantially increased indebtedness and/or lower EBITDA for us; and</w:t>
      </w:r>
    </w:p>
    <w:p>
      <w:pPr>
        <w:spacing w:after="0" w:line="55" w:lineRule="exact"/>
        <w:rPr>
          <w:rFonts w:ascii="Arial" w:cs="Arial" w:eastAsia="Arial" w:hAnsi="Arial"/>
          <w:sz w:val="18"/>
          <w:szCs w:val="18"/>
          <w:color w:val="auto"/>
        </w:rPr>
      </w:pPr>
    </w:p>
    <w:p>
      <w:pPr>
        <w:ind w:left="920" w:hanging="291"/>
        <w:spacing w:after="0" w:line="260"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20"/>
          <w:szCs w:val="20"/>
          <w:color w:val="auto"/>
        </w:rPr>
        <w:t>the exasperation of negative impacts as a result of the occurrence of a global or national recession, depression or other sustained adverse market event as a result of the COVID-19 pandemic.</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35" w:lineRule="exact"/>
        <w:rPr>
          <w:sz w:val="20"/>
          <w:szCs w:val="20"/>
          <w:color w:val="auto"/>
        </w:rPr>
      </w:pPr>
    </w:p>
    <w:p>
      <w:pPr>
        <w:ind w:firstLine="749"/>
        <w:spacing w:after="0" w:line="254" w:lineRule="auto"/>
        <w:rPr>
          <w:sz w:val="20"/>
          <w:szCs w:val="20"/>
          <w:color w:val="auto"/>
        </w:rPr>
      </w:pPr>
      <w:r>
        <w:rPr>
          <w:rFonts w:ascii="Arial" w:cs="Arial" w:eastAsia="Arial" w:hAnsi="Arial"/>
          <w:sz w:val="19"/>
          <w:szCs w:val="19"/>
          <w:color w:val="auto"/>
        </w:rPr>
        <w:t>This Current Report on Form 8-K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"expect," "anticipate," "continue," "plan," "project," "could," "will," "would," "possible," "may," "likely," "can," "potential," or the negative thereof or similar expressions. Forward-looking statements involve risks and uncertainties that could cause actual events and results to differ materially from those projected or implied. Particular risks and uncertainties that may affect TTC’s operating results or financial position include: COVID-19 related factors, risks and challenges, including among others, those described in this report; worldwide economic conditions, including slow or negative growth rates in global and domestic economies and weakened consumer confidence; disruption at its manufacturing or distribution facilities; the effect of abnormal weather patterns, including unfavorable weather conditions; risks associated with prior acquisitions; the costs and effects of enactment of, changes in and compliance with laws, regulations and standards; and other risks and uncertainties described in TTC’s Annual Report on Form 10-K for the fiscal year ended October 31, 2019, Quarterly Report on Form 10-Q for the quarterly period ended January 31, 2020, this Current Report on Form 8-K, and other filings with the Securities and Exchange Commission. TTC makes no commitment to revise or update any forward-looking statements in order to reflect events or circumstances occurring or existing after the date of this report.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9—Financial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240" w:type="dxa"/>
            <w:vAlign w:val="bottom"/>
          </w:tcPr>
          <w:p>
            <w:pPr>
              <w:spacing w:after="0"/>
              <w:rPr>
                <w:sz w:val="20"/>
                <w:szCs w:val="20"/>
                <w:color w:val="auto"/>
              </w:rPr>
            </w:pPr>
            <w:r>
              <w:rPr>
                <w:rFonts w:ascii="Arial" w:cs="Arial" w:eastAsia="Arial" w:hAnsi="Arial"/>
                <w:sz w:val="20"/>
                <w:szCs w:val="20"/>
                <w:b w:val="1"/>
                <w:bCs w:val="1"/>
                <w:color w:val="auto"/>
              </w:rPr>
              <w:t>Item 9.01</w:t>
            </w:r>
          </w:p>
        </w:tc>
        <w:tc>
          <w:tcPr>
            <w:tcW w:w="10000" w:type="dxa"/>
            <w:vAlign w:val="bottom"/>
            <w:gridSpan w:val="5"/>
          </w:tcPr>
          <w:p>
            <w:pPr>
              <w:ind w:left="260"/>
              <w:spacing w:after="0"/>
              <w:rPr>
                <w:sz w:val="20"/>
                <w:szCs w:val="20"/>
                <w:color w:val="auto"/>
              </w:rPr>
            </w:pPr>
            <w:r>
              <w:rPr>
                <w:rFonts w:ascii="Arial" w:cs="Arial" w:eastAsia="Arial" w:hAnsi="Arial"/>
                <w:sz w:val="20"/>
                <w:szCs w:val="20"/>
                <w:b w:val="1"/>
                <w:bCs w:val="1"/>
                <w:color w:val="auto"/>
              </w:rPr>
              <w:t>Financial Statements and Exhibits.</w:t>
            </w:r>
          </w:p>
        </w:tc>
      </w:tr>
      <w:tr>
        <w:trPr>
          <w:trHeight w:val="459"/>
        </w:trPr>
        <w:tc>
          <w:tcPr>
            <w:tcW w:w="1240" w:type="dxa"/>
            <w:vAlign w:val="bottom"/>
          </w:tcPr>
          <w:p>
            <w:pPr>
              <w:spacing w:after="0"/>
              <w:rPr>
                <w:sz w:val="20"/>
                <w:szCs w:val="20"/>
                <w:color w:val="auto"/>
              </w:rPr>
            </w:pPr>
            <w:r>
              <w:rPr>
                <w:rFonts w:ascii="Arial" w:cs="Arial" w:eastAsia="Arial" w:hAnsi="Arial"/>
                <w:sz w:val="20"/>
                <w:szCs w:val="20"/>
                <w:color w:val="auto"/>
              </w:rPr>
              <w:t>(d) Exhibits</w:t>
            </w:r>
          </w:p>
        </w:tc>
        <w:tc>
          <w:tcPr>
            <w:tcW w:w="10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55"/>
        </w:trPr>
        <w:tc>
          <w:tcPr>
            <w:tcW w:w="124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Exhibit No.</w:t>
            </w:r>
          </w:p>
        </w:tc>
        <w:tc>
          <w:tcPr>
            <w:tcW w:w="10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gridSpan w:val="3"/>
          </w:tcPr>
          <w:p>
            <w:pPr>
              <w:ind w:left="960"/>
              <w:spacing w:after="0"/>
              <w:rPr>
                <w:sz w:val="20"/>
                <w:szCs w:val="20"/>
                <w:color w:val="auto"/>
              </w:rPr>
            </w:pPr>
            <w:r>
              <w:rPr>
                <w:rFonts w:ascii="Arial" w:cs="Arial" w:eastAsia="Arial" w:hAnsi="Arial"/>
                <w:sz w:val="20"/>
                <w:szCs w:val="20"/>
                <w:b w:val="1"/>
                <w:bCs w:val="1"/>
                <w:color w:val="auto"/>
              </w:rPr>
              <w:t>Description</w:t>
            </w:r>
          </w:p>
        </w:tc>
      </w:tr>
      <w:tr>
        <w:trPr>
          <w:trHeight w:val="263"/>
        </w:trPr>
        <w:tc>
          <w:tcPr>
            <w:tcW w:w="1240" w:type="dxa"/>
            <w:vAlign w:val="bottom"/>
          </w:tcPr>
          <w:p>
            <w:pPr>
              <w:spacing w:after="0"/>
              <w:rPr>
                <w:sz w:val="20"/>
                <w:szCs w:val="20"/>
                <w:color w:val="auto"/>
              </w:rPr>
            </w:pPr>
            <w:r>
              <w:rPr>
                <w:rFonts w:ascii="Arial" w:cs="Arial" w:eastAsia="Arial" w:hAnsi="Arial"/>
                <w:sz w:val="20"/>
                <w:szCs w:val="20"/>
                <w:color w:val="auto"/>
              </w:rPr>
              <w:t>10.1</w:t>
            </w:r>
          </w:p>
        </w:tc>
        <w:tc>
          <w:tcPr>
            <w:tcW w:w="1040" w:type="dxa"/>
            <w:vAlign w:val="bottom"/>
          </w:tcPr>
          <w:p>
            <w:pPr>
              <w:spacing w:after="0"/>
              <w:rPr>
                <w:sz w:val="22"/>
                <w:szCs w:val="22"/>
                <w:color w:val="auto"/>
              </w:rPr>
            </w:pPr>
          </w:p>
        </w:tc>
        <w:tc>
          <w:tcPr>
            <w:tcW w:w="8960" w:type="dxa"/>
            <w:vAlign w:val="bottom"/>
            <w:gridSpan w:val="4"/>
          </w:tcPr>
          <w:p>
            <w:pPr>
              <w:spacing w:after="0"/>
              <w:rPr>
                <w:rFonts w:ascii="Arial" w:cs="Arial" w:eastAsia="Arial" w:hAnsi="Arial"/>
                <w:sz w:val="20"/>
                <w:szCs w:val="20"/>
                <w:color w:val="0000EE"/>
                <w:w w:val="94"/>
              </w:rPr>
            </w:pPr>
            <w:hyperlink w:anchor="page6">
              <w:r>
                <w:rPr>
                  <w:rFonts w:ascii="Arial" w:cs="Arial" w:eastAsia="Arial" w:hAnsi="Arial"/>
                  <w:sz w:val="20"/>
                  <w:szCs w:val="20"/>
                  <w:color w:val="0000EE"/>
                  <w:w w:val="94"/>
                </w:rPr>
                <w:t>Term Loan Credit Agreement dated as of March 30, 2020, by and among The Toro Company, as Borrower,</w:t>
              </w:r>
            </w:hyperlink>
          </w:p>
        </w:tc>
      </w:tr>
      <w:tr>
        <w:trPr>
          <w:trHeight w:val="20"/>
        </w:trPr>
        <w:tc>
          <w:tcPr>
            <w:tcW w:w="1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8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0"/>
        </w:trPr>
        <w:tc>
          <w:tcPr>
            <w:tcW w:w="1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960" w:type="dxa"/>
            <w:vAlign w:val="bottom"/>
            <w:tcBorders>
              <w:bottom w:val="single" w:sz="8" w:color="0000EE"/>
            </w:tcBorders>
            <w:gridSpan w:val="4"/>
          </w:tcPr>
          <w:p>
            <w:pPr>
              <w:spacing w:after="0" w:line="209" w:lineRule="exact"/>
              <w:rPr>
                <w:rFonts w:ascii="Arial" w:cs="Arial" w:eastAsia="Arial" w:hAnsi="Arial"/>
                <w:sz w:val="20"/>
                <w:szCs w:val="20"/>
                <w:color w:val="0000EE"/>
                <w:w w:val="90"/>
              </w:rPr>
            </w:pPr>
            <w:hyperlink w:anchor="page6">
              <w:r>
                <w:rPr>
                  <w:rFonts w:ascii="Arial" w:cs="Arial" w:eastAsia="Arial" w:hAnsi="Arial"/>
                  <w:sz w:val="20"/>
                  <w:szCs w:val="20"/>
                  <w:color w:val="0000EE"/>
                  <w:w w:val="90"/>
                </w:rPr>
                <w:t>lenders as parties thereto, Bank of America, N.A., as Administrative Agent, and U.S. Bank National Association,</w:t>
              </w:r>
            </w:hyperlink>
          </w:p>
        </w:tc>
      </w:tr>
      <w:tr>
        <w:trPr>
          <w:trHeight w:val="210"/>
        </w:trPr>
        <w:tc>
          <w:tcPr>
            <w:tcW w:w="1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960" w:type="dxa"/>
            <w:vAlign w:val="bottom"/>
            <w:gridSpan w:val="4"/>
          </w:tcPr>
          <w:p>
            <w:pPr>
              <w:spacing w:after="0" w:line="209" w:lineRule="exact"/>
              <w:rPr>
                <w:rFonts w:ascii="Arial" w:cs="Arial" w:eastAsia="Arial" w:hAnsi="Arial"/>
                <w:sz w:val="20"/>
                <w:szCs w:val="20"/>
                <w:color w:val="0000EE"/>
              </w:rPr>
            </w:pPr>
            <w:hyperlink w:anchor="page6">
              <w:r>
                <w:rPr>
                  <w:rFonts w:ascii="Arial" w:cs="Arial" w:eastAsia="Arial" w:hAnsi="Arial"/>
                  <w:sz w:val="20"/>
                  <w:szCs w:val="20"/>
                  <w:color w:val="0000EE"/>
                </w:rPr>
                <w:t>as Syndication Agent (filed herewith).</w:t>
              </w:r>
            </w:hyperlink>
          </w:p>
        </w:tc>
      </w:tr>
      <w:tr>
        <w:trPr>
          <w:trHeight w:val="20"/>
        </w:trPr>
        <w:tc>
          <w:tcPr>
            <w:tcW w:w="1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r>
      <w:tr>
        <w:trPr>
          <w:trHeight w:val="439"/>
        </w:trPr>
        <w:tc>
          <w:tcPr>
            <w:tcW w:w="1240" w:type="dxa"/>
            <w:vAlign w:val="bottom"/>
          </w:tcPr>
          <w:p>
            <w:pPr>
              <w:spacing w:after="0"/>
              <w:rPr>
                <w:sz w:val="20"/>
                <w:szCs w:val="20"/>
                <w:color w:val="auto"/>
              </w:rPr>
            </w:pPr>
            <w:r>
              <w:rPr>
                <w:rFonts w:ascii="Arial" w:cs="Arial" w:eastAsia="Arial" w:hAnsi="Arial"/>
                <w:sz w:val="20"/>
                <w:szCs w:val="20"/>
                <w:color w:val="auto"/>
              </w:rPr>
              <w:t>99.1</w:t>
            </w:r>
          </w:p>
        </w:tc>
        <w:tc>
          <w:tcPr>
            <w:tcW w:w="1040" w:type="dxa"/>
            <w:vAlign w:val="bottom"/>
          </w:tcPr>
          <w:p>
            <w:pPr>
              <w:spacing w:after="0"/>
              <w:rPr>
                <w:sz w:val="24"/>
                <w:szCs w:val="24"/>
                <w:color w:val="auto"/>
              </w:rPr>
            </w:pPr>
          </w:p>
        </w:tc>
        <w:tc>
          <w:tcPr>
            <w:tcW w:w="8960" w:type="dxa"/>
            <w:vAlign w:val="bottom"/>
            <w:gridSpan w:val="4"/>
          </w:tcPr>
          <w:p>
            <w:pPr>
              <w:spacing w:after="0"/>
              <w:rPr>
                <w:rFonts w:ascii="Arial" w:cs="Arial" w:eastAsia="Arial" w:hAnsi="Arial"/>
                <w:sz w:val="20"/>
                <w:szCs w:val="20"/>
                <w:color w:val="0000EE"/>
              </w:rPr>
            </w:pPr>
            <w:hyperlink w:anchor="page94">
              <w:r>
                <w:rPr>
                  <w:rFonts w:ascii="Arial" w:cs="Arial" w:eastAsia="Arial" w:hAnsi="Arial"/>
                  <w:sz w:val="20"/>
                  <w:szCs w:val="20"/>
                  <w:color w:val="0000EE"/>
                </w:rPr>
                <w:t>Press Release dated March 30, 2020 (furnished herewith).</w:t>
              </w:r>
            </w:hyperlink>
          </w:p>
        </w:tc>
      </w:tr>
      <w:tr>
        <w:trPr>
          <w:trHeight w:val="20"/>
        </w:trPr>
        <w:tc>
          <w:tcPr>
            <w:tcW w:w="1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580" w:type="dxa"/>
            <w:vAlign w:val="bottom"/>
            <w:gridSpan w:val="2"/>
            <w:shd w:val="clear" w:color="auto" w:fill="0000EE"/>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r>
      <w:tr>
        <w:trPr>
          <w:trHeight w:val="484"/>
        </w:trPr>
        <w:tc>
          <w:tcPr>
            <w:tcW w:w="1240" w:type="dxa"/>
            <w:vAlign w:val="bottom"/>
          </w:tcPr>
          <w:p>
            <w:pPr>
              <w:spacing w:after="0"/>
              <w:rPr>
                <w:sz w:val="20"/>
                <w:szCs w:val="20"/>
                <w:color w:val="auto"/>
              </w:rPr>
            </w:pPr>
            <w:r>
              <w:rPr>
                <w:rFonts w:ascii="Arial" w:cs="Arial" w:eastAsia="Arial" w:hAnsi="Arial"/>
                <w:sz w:val="20"/>
                <w:szCs w:val="20"/>
                <w:color w:val="auto"/>
              </w:rPr>
              <w:t>104</w:t>
            </w:r>
          </w:p>
        </w:tc>
        <w:tc>
          <w:tcPr>
            <w:tcW w:w="1040" w:type="dxa"/>
            <w:vAlign w:val="bottom"/>
          </w:tcPr>
          <w:p>
            <w:pPr>
              <w:spacing w:after="0"/>
              <w:rPr>
                <w:sz w:val="24"/>
                <w:szCs w:val="24"/>
                <w:color w:val="auto"/>
              </w:rPr>
            </w:pPr>
          </w:p>
        </w:tc>
        <w:tc>
          <w:tcPr>
            <w:tcW w:w="8960" w:type="dxa"/>
            <w:vAlign w:val="bottom"/>
            <w:gridSpan w:val="4"/>
          </w:tcPr>
          <w:p>
            <w:pPr>
              <w:spacing w:after="0"/>
              <w:rPr>
                <w:sz w:val="20"/>
                <w:szCs w:val="20"/>
                <w:color w:val="auto"/>
              </w:rPr>
            </w:pPr>
            <w:r>
              <w:rPr>
                <w:rFonts w:ascii="Arial" w:cs="Arial" w:eastAsia="Arial" w:hAnsi="Arial"/>
                <w:sz w:val="20"/>
                <w:szCs w:val="20"/>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20" w:type="dxa"/>
            <w:vAlign w:val="bottom"/>
          </w:tcPr>
          <w:p>
            <w:pPr>
              <w:spacing w:after="0"/>
              <w:rPr>
                <w:sz w:val="19"/>
                <w:szCs w:val="19"/>
                <w:color w:val="auto"/>
              </w:rPr>
            </w:pPr>
          </w:p>
        </w:tc>
        <w:tc>
          <w:tcPr>
            <w:tcW w:w="7720" w:type="dxa"/>
            <w:vAlign w:val="bottom"/>
            <w:gridSpan w:val="2"/>
          </w:tcPr>
          <w:p>
            <w:pPr>
              <w:ind w:left="2180"/>
              <w:spacing w:after="0"/>
              <w:rPr>
                <w:sz w:val="20"/>
                <w:szCs w:val="20"/>
                <w:color w:val="auto"/>
              </w:rPr>
            </w:pPr>
            <w:r>
              <w:rPr>
                <w:rFonts w:ascii="Arial" w:cs="Arial" w:eastAsia="Arial" w:hAnsi="Arial"/>
                <w:sz w:val="18"/>
                <w:szCs w:val="18"/>
                <w:b w:val="1"/>
                <w:bCs w:val="1"/>
                <w:color w:val="auto"/>
              </w:rPr>
              <w:t>THE TORO COMPANY</w:t>
            </w:r>
          </w:p>
        </w:tc>
      </w:tr>
      <w:tr>
        <w:trPr>
          <w:trHeight w:val="234"/>
        </w:trPr>
        <w:tc>
          <w:tcPr>
            <w:tcW w:w="3520" w:type="dxa"/>
            <w:vAlign w:val="bottom"/>
          </w:tcPr>
          <w:p>
            <w:pPr>
              <w:spacing w:after="0"/>
              <w:rPr>
                <w:sz w:val="20"/>
                <w:szCs w:val="20"/>
                <w:color w:val="auto"/>
              </w:rPr>
            </w:pPr>
          </w:p>
        </w:tc>
        <w:tc>
          <w:tcPr>
            <w:tcW w:w="7720" w:type="dxa"/>
            <w:vAlign w:val="bottom"/>
            <w:gridSpan w:val="2"/>
          </w:tcPr>
          <w:p>
            <w:pPr>
              <w:ind w:left="2180"/>
              <w:spacing w:after="0"/>
              <w:rPr>
                <w:sz w:val="20"/>
                <w:szCs w:val="20"/>
                <w:color w:val="auto"/>
              </w:rPr>
            </w:pPr>
            <w:r>
              <w:rPr>
                <w:rFonts w:ascii="Arial" w:cs="Arial" w:eastAsia="Arial" w:hAnsi="Arial"/>
                <w:sz w:val="18"/>
                <w:szCs w:val="18"/>
                <w:b w:val="1"/>
                <w:bCs w:val="1"/>
                <w:color w:val="auto"/>
              </w:rPr>
              <w:t>(Registrant)</w:t>
            </w:r>
          </w:p>
        </w:tc>
      </w:tr>
      <w:tr>
        <w:trPr>
          <w:trHeight w:val="688"/>
        </w:trPr>
        <w:tc>
          <w:tcPr>
            <w:tcW w:w="3520" w:type="dxa"/>
            <w:vAlign w:val="bottom"/>
          </w:tcPr>
          <w:p>
            <w:pPr>
              <w:spacing w:after="0"/>
              <w:rPr>
                <w:sz w:val="20"/>
                <w:szCs w:val="20"/>
                <w:color w:val="auto"/>
              </w:rPr>
            </w:pPr>
            <w:r>
              <w:rPr>
                <w:rFonts w:ascii="Arial" w:cs="Arial" w:eastAsia="Arial" w:hAnsi="Arial"/>
                <w:sz w:val="18"/>
                <w:szCs w:val="18"/>
                <w:color w:val="auto"/>
              </w:rPr>
              <w:t>Date: April 1, 2020</w:t>
            </w:r>
          </w:p>
        </w:tc>
        <w:tc>
          <w:tcPr>
            <w:tcW w:w="7720" w:type="dxa"/>
            <w:vAlign w:val="bottom"/>
            <w:gridSpan w:val="2"/>
          </w:tcPr>
          <w:p>
            <w:pPr>
              <w:ind w:left="2180"/>
              <w:spacing w:after="0"/>
              <w:rPr>
                <w:sz w:val="20"/>
                <w:szCs w:val="20"/>
                <w:color w:val="auto"/>
              </w:rPr>
            </w:pPr>
            <w:r>
              <w:rPr>
                <w:rFonts w:ascii="Arial" w:cs="Arial" w:eastAsia="Arial" w:hAnsi="Arial"/>
                <w:sz w:val="18"/>
                <w:szCs w:val="18"/>
                <w:color w:val="auto"/>
              </w:rPr>
              <w:t>By:  /s/ Amy E. Dahl</w:t>
            </w:r>
          </w:p>
        </w:tc>
      </w:tr>
      <w:tr>
        <w:trPr>
          <w:trHeight w:val="222"/>
        </w:trPr>
        <w:tc>
          <w:tcPr>
            <w:tcW w:w="35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Amy E. Dahl</w:t>
            </w:r>
          </w:p>
        </w:tc>
      </w:tr>
      <w:tr>
        <w:trPr>
          <w:trHeight w:val="216"/>
        </w:trPr>
        <w:tc>
          <w:tcPr>
            <w:tcW w:w="35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9"/>
              </w:rPr>
              <w:t>Vice President, Human Resources, Distributor Development and</w:t>
            </w:r>
          </w:p>
        </w:tc>
      </w:tr>
      <w:tr>
        <w:trPr>
          <w:trHeight w:val="230"/>
        </w:trPr>
        <w:tc>
          <w:tcPr>
            <w:tcW w:w="35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General Counsel</w:t>
            </w:r>
          </w:p>
        </w:tc>
      </w:tr>
      <w:tr>
        <w:trPr>
          <w:trHeight w:val="648"/>
        </w:trPr>
        <w:tc>
          <w:tcPr>
            <w:tcW w:w="3520" w:type="dxa"/>
            <w:vAlign w:val="bottom"/>
          </w:tcPr>
          <w:p>
            <w:pPr>
              <w:spacing w:after="0"/>
              <w:rPr>
                <w:sz w:val="24"/>
                <w:szCs w:val="24"/>
                <w:color w:val="auto"/>
              </w:rPr>
            </w:pPr>
          </w:p>
        </w:tc>
        <w:tc>
          <w:tcPr>
            <w:tcW w:w="2580" w:type="dxa"/>
            <w:vAlign w:val="bottom"/>
          </w:tcPr>
          <w:p>
            <w:pPr>
              <w:jc w:val="right"/>
              <w:ind w:right="350"/>
              <w:spacing w:after="0"/>
              <w:rPr>
                <w:sz w:val="20"/>
                <w:szCs w:val="20"/>
                <w:color w:val="auto"/>
              </w:rPr>
            </w:pPr>
            <w:r>
              <w:rPr>
                <w:rFonts w:ascii="Arial" w:cs="Arial" w:eastAsia="Arial" w:hAnsi="Arial"/>
                <w:sz w:val="18"/>
                <w:szCs w:val="18"/>
                <w:color w:val="auto"/>
              </w:rPr>
              <w:t>4</w:t>
            </w:r>
          </w:p>
        </w:tc>
        <w:tc>
          <w:tcPr>
            <w:tcW w:w="514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10.1</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TERM LOAN CREDIT AGREEMENT</w:t>
      </w:r>
    </w:p>
    <w:p>
      <w:pPr>
        <w:spacing w:after="0" w:line="222"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Dated as of March 30, 2020</w:t>
      </w:r>
    </w:p>
    <w:p>
      <w:pPr>
        <w:spacing w:after="0" w:line="216"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among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2088515</wp:posOffset>
            </wp:positionH>
            <wp:positionV relativeFrom="paragraph">
              <wp:posOffset>147320</wp:posOffset>
            </wp:positionV>
            <wp:extent cx="1543050" cy="10115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43050"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THE TORO COMPANY,</w:t>
      </w:r>
    </w:p>
    <w:p>
      <w:pPr>
        <w:spacing w:after="0" w:line="22"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as Borrower,</w:t>
      </w:r>
    </w:p>
    <w:p>
      <w:pPr>
        <w:spacing w:after="0" w:line="194" w:lineRule="exact"/>
        <w:rPr>
          <w:sz w:val="20"/>
          <w:szCs w:val="20"/>
          <w:color w:val="auto"/>
        </w:rPr>
      </w:pPr>
    </w:p>
    <w:p>
      <w:pPr>
        <w:ind w:left="3260"/>
        <w:spacing w:after="0"/>
        <w:rPr>
          <w:sz w:val="20"/>
          <w:szCs w:val="20"/>
          <w:color w:val="auto"/>
        </w:rPr>
      </w:pPr>
      <w:r>
        <w:rPr>
          <w:rFonts w:ascii="Arial" w:cs="Arial" w:eastAsia="Arial" w:hAnsi="Arial"/>
          <w:sz w:val="20"/>
          <w:szCs w:val="20"/>
          <w:b w:val="1"/>
          <w:bCs w:val="1"/>
          <w:color w:val="auto"/>
        </w:rPr>
        <w:t>BANK OF AMERICA, N.A.,</w:t>
      </w:r>
    </w:p>
    <w:p>
      <w:pPr>
        <w:spacing w:after="0" w:line="22"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The Other Lenders Party Hereto</w:t>
      </w:r>
    </w:p>
    <w:p>
      <w:pPr>
        <w:spacing w:after="0" w:line="210"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U.S. BANK NATIONAL ASSOCIATION,</w:t>
      </w:r>
    </w:p>
    <w:p>
      <w:pPr>
        <w:spacing w:after="0" w:line="233" w:lineRule="exact"/>
        <w:rPr>
          <w:sz w:val="20"/>
          <w:szCs w:val="20"/>
          <w:color w:val="auto"/>
        </w:rPr>
      </w:pPr>
    </w:p>
    <w:p>
      <w:pPr>
        <w:ind w:left="3660"/>
        <w:spacing w:after="0"/>
        <w:rPr>
          <w:sz w:val="20"/>
          <w:szCs w:val="20"/>
          <w:color w:val="auto"/>
        </w:rPr>
      </w:pPr>
      <w:r>
        <w:rPr>
          <w:rFonts w:ascii="Arial" w:cs="Arial" w:eastAsia="Arial" w:hAnsi="Arial"/>
          <w:sz w:val="20"/>
          <w:szCs w:val="20"/>
          <w:color w:val="auto"/>
        </w:rPr>
        <w:t>as Syndication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BofA SECURITIES, INC.,</w:t>
      </w:r>
    </w:p>
    <w:p>
      <w:pPr>
        <w:spacing w:after="0" w:line="235"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as Lead Arranger and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644525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6"/>
        </w:trPr>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80" w:type="dxa"/>
            <w:vAlign w:val="bottom"/>
          </w:tcPr>
          <w:p>
            <w:pPr>
              <w:ind w:left="3060"/>
              <w:spacing w:after="0"/>
              <w:rPr>
                <w:sz w:val="20"/>
                <w:szCs w:val="20"/>
                <w:color w:val="auto"/>
              </w:rPr>
            </w:pPr>
            <w:r>
              <w:rPr>
                <w:rFonts w:ascii="Arial" w:cs="Arial" w:eastAsia="Arial" w:hAnsi="Arial"/>
                <w:sz w:val="20"/>
                <w:szCs w:val="20"/>
                <w:b w:val="1"/>
                <w:bCs w:val="1"/>
                <w:color w:val="auto"/>
              </w:rPr>
              <w:t>TABLE OF CONTENTS</w:t>
            </w: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401"/>
        </w:trPr>
        <w:tc>
          <w:tcPr>
            <w:tcW w:w="580" w:type="dxa"/>
            <w:vAlign w:val="bottom"/>
          </w:tcPr>
          <w:p>
            <w:pPr>
              <w:spacing w:after="0"/>
              <w:rPr>
                <w:sz w:val="24"/>
                <w:szCs w:val="24"/>
                <w:color w:val="auto"/>
              </w:rPr>
            </w:pPr>
          </w:p>
        </w:tc>
        <w:tc>
          <w:tcPr>
            <w:tcW w:w="9920" w:type="dxa"/>
            <w:vAlign w:val="bottom"/>
            <w:gridSpan w:val="3"/>
          </w:tcPr>
          <w:p>
            <w:pPr>
              <w:ind w:left="240"/>
              <w:spacing w:after="0"/>
              <w:rPr>
                <w:sz w:val="20"/>
                <w:szCs w:val="20"/>
                <w:color w:val="auto"/>
              </w:rPr>
            </w:pPr>
            <w:r>
              <w:rPr>
                <w:rFonts w:ascii="Arial" w:cs="Arial" w:eastAsia="Arial" w:hAnsi="Arial"/>
                <w:sz w:val="20"/>
                <w:szCs w:val="20"/>
                <w:color w:val="auto"/>
              </w:rPr>
              <w:t>Section</w:t>
            </w:r>
          </w:p>
        </w:tc>
        <w:tc>
          <w:tcPr>
            <w:tcW w:w="660" w:type="dxa"/>
            <w:vAlign w:val="bottom"/>
            <w:gridSpan w:val="2"/>
          </w:tcPr>
          <w:p>
            <w:pPr>
              <w:jc w:val="right"/>
              <w:ind w:right="280"/>
              <w:spacing w:after="0"/>
              <w:rPr>
                <w:sz w:val="20"/>
                <w:szCs w:val="20"/>
                <w:color w:val="auto"/>
              </w:rPr>
            </w:pPr>
            <w:r>
              <w:rPr>
                <w:rFonts w:ascii="Arial" w:cs="Arial" w:eastAsia="Arial" w:hAnsi="Arial"/>
                <w:sz w:val="20"/>
                <w:szCs w:val="20"/>
                <w:color w:val="auto"/>
                <w:w w:val="76"/>
              </w:rPr>
              <w:t>Page</w:t>
            </w:r>
          </w:p>
        </w:tc>
      </w:tr>
      <w:tr>
        <w:trPr>
          <w:trHeight w:val="368"/>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9080" w:type="dxa"/>
            <w:vAlign w:val="bottom"/>
          </w:tcPr>
          <w:p>
            <w:pPr>
              <w:jc w:val="center"/>
              <w:ind w:right="521"/>
              <w:spacing w:after="0"/>
              <w:rPr>
                <w:sz w:val="20"/>
                <w:szCs w:val="20"/>
                <w:color w:val="auto"/>
              </w:rPr>
            </w:pPr>
            <w:r>
              <w:rPr>
                <w:rFonts w:ascii="Arial" w:cs="Arial" w:eastAsia="Arial" w:hAnsi="Arial"/>
                <w:sz w:val="20"/>
                <w:szCs w:val="20"/>
                <w:color w:val="auto"/>
                <w:w w:val="96"/>
              </w:rPr>
              <w:t>ARTICLE I.</w:t>
            </w:r>
          </w:p>
        </w:tc>
        <w:tc>
          <w:tcPr>
            <w:tcW w:w="3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r>
      <w:tr>
        <w:trPr>
          <w:trHeight w:val="250"/>
        </w:trPr>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80" w:type="dxa"/>
            <w:vAlign w:val="bottom"/>
          </w:tcPr>
          <w:p>
            <w:pPr>
              <w:jc w:val="center"/>
              <w:ind w:right="521"/>
              <w:spacing w:after="0"/>
              <w:rPr>
                <w:sz w:val="20"/>
                <w:szCs w:val="20"/>
                <w:color w:val="auto"/>
              </w:rPr>
            </w:pPr>
            <w:r>
              <w:rPr>
                <w:rFonts w:ascii="Arial" w:cs="Arial" w:eastAsia="Arial" w:hAnsi="Arial"/>
                <w:sz w:val="20"/>
                <w:szCs w:val="20"/>
                <w:color w:val="auto"/>
                <w:w w:val="96"/>
              </w:rPr>
              <w:t>DEFINITIONS AND ACCOUNTING TERMS</w:t>
            </w: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317"/>
        </w:trPr>
        <w:tc>
          <w:tcPr>
            <w:tcW w:w="580" w:type="dxa"/>
            <w:vAlign w:val="bottom"/>
          </w:tcPr>
          <w:p>
            <w:pPr>
              <w:spacing w:after="0"/>
              <w:rPr>
                <w:sz w:val="20"/>
                <w:szCs w:val="20"/>
                <w:color w:val="auto"/>
              </w:rPr>
            </w:pPr>
            <w:r>
              <w:rPr>
                <w:rFonts w:ascii="Arial" w:cs="Arial" w:eastAsia="Arial" w:hAnsi="Arial"/>
                <w:sz w:val="20"/>
                <w:szCs w:val="20"/>
                <w:color w:val="auto"/>
              </w:rPr>
              <w:t>1.01</w:t>
            </w:r>
          </w:p>
        </w:tc>
        <w:tc>
          <w:tcPr>
            <w:tcW w:w="9920" w:type="dxa"/>
            <w:vAlign w:val="bottom"/>
            <w:gridSpan w:val="3"/>
          </w:tcPr>
          <w:p>
            <w:pPr>
              <w:ind w:left="240"/>
              <w:spacing w:after="0"/>
              <w:rPr>
                <w:sz w:val="20"/>
                <w:szCs w:val="20"/>
                <w:color w:val="auto"/>
              </w:rPr>
            </w:pPr>
            <w:r>
              <w:rPr>
                <w:rFonts w:ascii="Arial" w:cs="Arial" w:eastAsia="Arial" w:hAnsi="Arial"/>
                <w:sz w:val="20"/>
                <w:szCs w:val="20"/>
                <w:color w:val="auto"/>
              </w:rPr>
              <w:t>Defined Terms</w:t>
            </w:r>
          </w:p>
        </w:tc>
        <w:tc>
          <w:tcPr>
            <w:tcW w:w="660" w:type="dxa"/>
            <w:vAlign w:val="bottom"/>
            <w:gridSpan w:val="2"/>
          </w:tcPr>
          <w:p>
            <w:pPr>
              <w:jc w:val="right"/>
              <w:spacing w:after="0"/>
              <w:rPr>
                <w:sz w:val="20"/>
                <w:szCs w:val="20"/>
                <w:color w:val="auto"/>
              </w:rPr>
            </w:pPr>
            <w:r>
              <w:rPr>
                <w:rFonts w:ascii="Arial" w:cs="Arial" w:eastAsia="Arial" w:hAnsi="Arial"/>
                <w:sz w:val="20"/>
                <w:szCs w:val="20"/>
                <w:color w:val="auto"/>
              </w:rPr>
              <w:t>1</w:t>
            </w:r>
          </w:p>
        </w:tc>
      </w:tr>
      <w:tr>
        <w:trPr>
          <w:trHeight w:val="229"/>
        </w:trPr>
        <w:tc>
          <w:tcPr>
            <w:tcW w:w="580" w:type="dxa"/>
            <w:vAlign w:val="bottom"/>
          </w:tcPr>
          <w:p>
            <w:pPr>
              <w:spacing w:after="0"/>
              <w:rPr>
                <w:sz w:val="20"/>
                <w:szCs w:val="20"/>
                <w:color w:val="auto"/>
              </w:rPr>
            </w:pPr>
            <w:r>
              <w:rPr>
                <w:rFonts w:ascii="Arial" w:cs="Arial" w:eastAsia="Arial" w:hAnsi="Arial"/>
                <w:sz w:val="20"/>
                <w:szCs w:val="20"/>
                <w:color w:val="auto"/>
              </w:rPr>
              <w:t>1.02</w:t>
            </w:r>
          </w:p>
        </w:tc>
        <w:tc>
          <w:tcPr>
            <w:tcW w:w="9920" w:type="dxa"/>
            <w:vAlign w:val="bottom"/>
            <w:gridSpan w:val="3"/>
          </w:tcPr>
          <w:p>
            <w:pPr>
              <w:ind w:left="240"/>
              <w:spacing w:after="0"/>
              <w:rPr>
                <w:sz w:val="20"/>
                <w:szCs w:val="20"/>
                <w:color w:val="auto"/>
              </w:rPr>
            </w:pPr>
            <w:r>
              <w:rPr>
                <w:rFonts w:ascii="Arial" w:cs="Arial" w:eastAsia="Arial" w:hAnsi="Arial"/>
                <w:sz w:val="20"/>
                <w:szCs w:val="20"/>
                <w:color w:val="auto"/>
              </w:rPr>
              <w:t>Other Interpretive Provisions</w:t>
            </w:r>
          </w:p>
        </w:tc>
        <w:tc>
          <w:tcPr>
            <w:tcW w:w="660" w:type="dxa"/>
            <w:vAlign w:val="bottom"/>
            <w:gridSpan w:val="2"/>
          </w:tcPr>
          <w:p>
            <w:pPr>
              <w:jc w:val="right"/>
              <w:spacing w:after="0"/>
              <w:rPr>
                <w:sz w:val="20"/>
                <w:szCs w:val="20"/>
                <w:color w:val="auto"/>
              </w:rPr>
            </w:pPr>
            <w:r>
              <w:rPr>
                <w:rFonts w:ascii="Arial" w:cs="Arial" w:eastAsia="Arial" w:hAnsi="Arial"/>
                <w:sz w:val="20"/>
                <w:szCs w:val="20"/>
                <w:color w:val="auto"/>
              </w:rPr>
              <w:t>21</w:t>
            </w:r>
          </w:p>
        </w:tc>
      </w:tr>
      <w:tr>
        <w:trPr>
          <w:trHeight w:val="230"/>
        </w:trPr>
        <w:tc>
          <w:tcPr>
            <w:tcW w:w="580" w:type="dxa"/>
            <w:vAlign w:val="bottom"/>
          </w:tcPr>
          <w:p>
            <w:pPr>
              <w:spacing w:after="0"/>
              <w:rPr>
                <w:sz w:val="20"/>
                <w:szCs w:val="20"/>
                <w:color w:val="auto"/>
              </w:rPr>
            </w:pPr>
            <w:r>
              <w:rPr>
                <w:rFonts w:ascii="Arial" w:cs="Arial" w:eastAsia="Arial" w:hAnsi="Arial"/>
                <w:sz w:val="20"/>
                <w:szCs w:val="20"/>
                <w:color w:val="auto"/>
              </w:rPr>
              <w:t>1.03</w:t>
            </w:r>
          </w:p>
        </w:tc>
        <w:tc>
          <w:tcPr>
            <w:tcW w:w="9920" w:type="dxa"/>
            <w:vAlign w:val="bottom"/>
            <w:gridSpan w:val="3"/>
          </w:tcPr>
          <w:p>
            <w:pPr>
              <w:ind w:left="240"/>
              <w:spacing w:after="0"/>
              <w:rPr>
                <w:sz w:val="20"/>
                <w:szCs w:val="20"/>
                <w:color w:val="auto"/>
              </w:rPr>
            </w:pPr>
            <w:r>
              <w:rPr>
                <w:rFonts w:ascii="Arial" w:cs="Arial" w:eastAsia="Arial" w:hAnsi="Arial"/>
                <w:sz w:val="20"/>
                <w:szCs w:val="20"/>
                <w:color w:val="auto"/>
              </w:rPr>
              <w:t>Accounting Terms</w:t>
            </w:r>
          </w:p>
        </w:tc>
        <w:tc>
          <w:tcPr>
            <w:tcW w:w="660" w:type="dxa"/>
            <w:vAlign w:val="bottom"/>
            <w:gridSpan w:val="2"/>
          </w:tcPr>
          <w:p>
            <w:pPr>
              <w:jc w:val="right"/>
              <w:spacing w:after="0"/>
              <w:rPr>
                <w:sz w:val="20"/>
                <w:szCs w:val="20"/>
                <w:color w:val="auto"/>
              </w:rPr>
            </w:pPr>
            <w:r>
              <w:rPr>
                <w:rFonts w:ascii="Arial" w:cs="Arial" w:eastAsia="Arial" w:hAnsi="Arial"/>
                <w:sz w:val="20"/>
                <w:szCs w:val="20"/>
                <w:color w:val="auto"/>
              </w:rPr>
              <w:t>22</w:t>
            </w:r>
          </w:p>
        </w:tc>
      </w:tr>
      <w:tr>
        <w:trPr>
          <w:trHeight w:val="229"/>
        </w:trPr>
        <w:tc>
          <w:tcPr>
            <w:tcW w:w="580" w:type="dxa"/>
            <w:vAlign w:val="bottom"/>
          </w:tcPr>
          <w:p>
            <w:pPr>
              <w:spacing w:after="0"/>
              <w:rPr>
                <w:sz w:val="20"/>
                <w:szCs w:val="20"/>
                <w:color w:val="auto"/>
              </w:rPr>
            </w:pPr>
            <w:r>
              <w:rPr>
                <w:rFonts w:ascii="Arial" w:cs="Arial" w:eastAsia="Arial" w:hAnsi="Arial"/>
                <w:sz w:val="20"/>
                <w:szCs w:val="20"/>
                <w:color w:val="auto"/>
              </w:rPr>
              <w:t>1.04</w:t>
            </w:r>
          </w:p>
        </w:tc>
        <w:tc>
          <w:tcPr>
            <w:tcW w:w="9920" w:type="dxa"/>
            <w:vAlign w:val="bottom"/>
            <w:gridSpan w:val="3"/>
          </w:tcPr>
          <w:p>
            <w:pPr>
              <w:ind w:left="240"/>
              <w:spacing w:after="0"/>
              <w:rPr>
                <w:sz w:val="20"/>
                <w:szCs w:val="20"/>
                <w:color w:val="auto"/>
              </w:rPr>
            </w:pPr>
            <w:r>
              <w:rPr>
                <w:rFonts w:ascii="Arial" w:cs="Arial" w:eastAsia="Arial" w:hAnsi="Arial"/>
                <w:sz w:val="20"/>
                <w:szCs w:val="20"/>
                <w:color w:val="auto"/>
              </w:rPr>
              <w:t>Times of Day</w:t>
            </w:r>
          </w:p>
        </w:tc>
        <w:tc>
          <w:tcPr>
            <w:tcW w:w="660" w:type="dxa"/>
            <w:vAlign w:val="bottom"/>
            <w:gridSpan w:val="2"/>
          </w:tcPr>
          <w:p>
            <w:pPr>
              <w:jc w:val="right"/>
              <w:spacing w:after="0"/>
              <w:rPr>
                <w:sz w:val="20"/>
                <w:szCs w:val="20"/>
                <w:color w:val="auto"/>
              </w:rPr>
            </w:pPr>
            <w:r>
              <w:rPr>
                <w:rFonts w:ascii="Arial" w:cs="Arial" w:eastAsia="Arial" w:hAnsi="Arial"/>
                <w:sz w:val="20"/>
                <w:szCs w:val="20"/>
                <w:color w:val="auto"/>
              </w:rPr>
              <w:t>24</w:t>
            </w:r>
          </w:p>
        </w:tc>
      </w:tr>
      <w:tr>
        <w:trPr>
          <w:trHeight w:val="230"/>
        </w:trPr>
        <w:tc>
          <w:tcPr>
            <w:tcW w:w="580" w:type="dxa"/>
            <w:vAlign w:val="bottom"/>
          </w:tcPr>
          <w:p>
            <w:pPr>
              <w:spacing w:after="0"/>
              <w:rPr>
                <w:sz w:val="20"/>
                <w:szCs w:val="20"/>
                <w:color w:val="auto"/>
              </w:rPr>
            </w:pPr>
            <w:r>
              <w:rPr>
                <w:rFonts w:ascii="Arial" w:cs="Arial" w:eastAsia="Arial" w:hAnsi="Arial"/>
                <w:sz w:val="20"/>
                <w:szCs w:val="20"/>
                <w:color w:val="auto"/>
              </w:rPr>
              <w:t>1.05</w:t>
            </w:r>
          </w:p>
        </w:tc>
        <w:tc>
          <w:tcPr>
            <w:tcW w:w="9920" w:type="dxa"/>
            <w:vAlign w:val="bottom"/>
            <w:gridSpan w:val="3"/>
          </w:tcPr>
          <w:p>
            <w:pPr>
              <w:ind w:left="240"/>
              <w:spacing w:after="0"/>
              <w:rPr>
                <w:sz w:val="20"/>
                <w:szCs w:val="20"/>
                <w:color w:val="auto"/>
              </w:rPr>
            </w:pPr>
            <w:r>
              <w:rPr>
                <w:rFonts w:ascii="Arial" w:cs="Arial" w:eastAsia="Arial" w:hAnsi="Arial"/>
                <w:sz w:val="20"/>
                <w:szCs w:val="20"/>
                <w:color w:val="auto"/>
              </w:rPr>
              <w:t>Rounding</w:t>
            </w:r>
          </w:p>
        </w:tc>
        <w:tc>
          <w:tcPr>
            <w:tcW w:w="660" w:type="dxa"/>
            <w:vAlign w:val="bottom"/>
            <w:gridSpan w:val="2"/>
          </w:tcPr>
          <w:p>
            <w:pPr>
              <w:jc w:val="right"/>
              <w:spacing w:after="0"/>
              <w:rPr>
                <w:sz w:val="20"/>
                <w:szCs w:val="20"/>
                <w:color w:val="auto"/>
              </w:rPr>
            </w:pPr>
            <w:r>
              <w:rPr>
                <w:rFonts w:ascii="Arial" w:cs="Arial" w:eastAsia="Arial" w:hAnsi="Arial"/>
                <w:sz w:val="20"/>
                <w:szCs w:val="20"/>
                <w:color w:val="auto"/>
              </w:rPr>
              <w:t>24</w:t>
            </w:r>
          </w:p>
        </w:tc>
      </w:tr>
      <w:tr>
        <w:trPr>
          <w:trHeight w:val="250"/>
        </w:trPr>
        <w:tc>
          <w:tcPr>
            <w:tcW w:w="580" w:type="dxa"/>
            <w:vAlign w:val="bottom"/>
          </w:tcPr>
          <w:p>
            <w:pPr>
              <w:spacing w:after="0"/>
              <w:rPr>
                <w:sz w:val="20"/>
                <w:szCs w:val="20"/>
                <w:color w:val="auto"/>
              </w:rPr>
            </w:pPr>
            <w:r>
              <w:rPr>
                <w:rFonts w:ascii="Arial" w:cs="Arial" w:eastAsia="Arial" w:hAnsi="Arial"/>
                <w:sz w:val="20"/>
                <w:szCs w:val="20"/>
                <w:color w:val="auto"/>
              </w:rPr>
              <w:t>1.06</w:t>
            </w:r>
          </w:p>
        </w:tc>
        <w:tc>
          <w:tcPr>
            <w:tcW w:w="9920" w:type="dxa"/>
            <w:vAlign w:val="bottom"/>
            <w:gridSpan w:val="3"/>
          </w:tcPr>
          <w:p>
            <w:pPr>
              <w:ind w:left="240"/>
              <w:spacing w:after="0"/>
              <w:rPr>
                <w:sz w:val="20"/>
                <w:szCs w:val="20"/>
                <w:color w:val="auto"/>
              </w:rPr>
            </w:pPr>
            <w:r>
              <w:rPr>
                <w:rFonts w:ascii="Arial" w:cs="Arial" w:eastAsia="Arial" w:hAnsi="Arial"/>
                <w:sz w:val="20"/>
                <w:szCs w:val="20"/>
                <w:color w:val="auto"/>
              </w:rPr>
              <w:t>Interest Rates</w:t>
            </w:r>
          </w:p>
        </w:tc>
        <w:tc>
          <w:tcPr>
            <w:tcW w:w="660" w:type="dxa"/>
            <w:vAlign w:val="bottom"/>
            <w:gridSpan w:val="2"/>
          </w:tcPr>
          <w:p>
            <w:pPr>
              <w:jc w:val="right"/>
              <w:spacing w:after="0"/>
              <w:rPr>
                <w:sz w:val="20"/>
                <w:szCs w:val="20"/>
                <w:color w:val="auto"/>
              </w:rPr>
            </w:pPr>
            <w:r>
              <w:rPr>
                <w:rFonts w:ascii="Arial" w:cs="Arial" w:eastAsia="Arial" w:hAnsi="Arial"/>
                <w:sz w:val="20"/>
                <w:szCs w:val="20"/>
                <w:color w:val="auto"/>
              </w:rPr>
              <w:t>24</w:t>
            </w:r>
          </w:p>
        </w:tc>
      </w:tr>
      <w:tr>
        <w:trPr>
          <w:trHeight w:val="425"/>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80" w:type="dxa"/>
            <w:vAlign w:val="bottom"/>
          </w:tcPr>
          <w:p>
            <w:pPr>
              <w:jc w:val="center"/>
              <w:ind w:right="521"/>
              <w:spacing w:after="0"/>
              <w:rPr>
                <w:sz w:val="20"/>
                <w:szCs w:val="20"/>
                <w:color w:val="auto"/>
              </w:rPr>
            </w:pPr>
            <w:r>
              <w:rPr>
                <w:rFonts w:ascii="Arial" w:cs="Arial" w:eastAsia="Arial" w:hAnsi="Arial"/>
                <w:sz w:val="20"/>
                <w:szCs w:val="20"/>
                <w:color w:val="auto"/>
                <w:w w:val="99"/>
              </w:rPr>
              <w:t>ARTICLE II.</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50"/>
        </w:trPr>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80" w:type="dxa"/>
            <w:vAlign w:val="bottom"/>
          </w:tcPr>
          <w:p>
            <w:pPr>
              <w:jc w:val="center"/>
              <w:ind w:right="521"/>
              <w:spacing w:after="0"/>
              <w:rPr>
                <w:sz w:val="20"/>
                <w:szCs w:val="20"/>
                <w:color w:val="auto"/>
              </w:rPr>
            </w:pPr>
            <w:r>
              <w:rPr>
                <w:rFonts w:ascii="Arial" w:cs="Arial" w:eastAsia="Arial" w:hAnsi="Arial"/>
                <w:sz w:val="20"/>
                <w:szCs w:val="20"/>
                <w:color w:val="auto"/>
                <w:w w:val="97"/>
              </w:rPr>
              <w:t>THE COMMITMENTS AND THE TERM LOAN</w:t>
            </w: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317"/>
        </w:trPr>
        <w:tc>
          <w:tcPr>
            <w:tcW w:w="580" w:type="dxa"/>
            <w:vAlign w:val="bottom"/>
          </w:tcPr>
          <w:p>
            <w:pPr>
              <w:spacing w:after="0"/>
              <w:rPr>
                <w:sz w:val="20"/>
                <w:szCs w:val="20"/>
                <w:color w:val="auto"/>
              </w:rPr>
            </w:pPr>
            <w:r>
              <w:rPr>
                <w:rFonts w:ascii="Arial" w:cs="Arial" w:eastAsia="Arial" w:hAnsi="Arial"/>
                <w:sz w:val="20"/>
                <w:szCs w:val="20"/>
                <w:color w:val="auto"/>
              </w:rPr>
              <w:t>2.01</w:t>
            </w:r>
          </w:p>
        </w:tc>
        <w:tc>
          <w:tcPr>
            <w:tcW w:w="9920" w:type="dxa"/>
            <w:vAlign w:val="bottom"/>
            <w:gridSpan w:val="3"/>
          </w:tcPr>
          <w:p>
            <w:pPr>
              <w:ind w:left="240"/>
              <w:spacing w:after="0"/>
              <w:rPr>
                <w:sz w:val="20"/>
                <w:szCs w:val="20"/>
                <w:color w:val="auto"/>
              </w:rPr>
            </w:pPr>
            <w:r>
              <w:rPr>
                <w:rFonts w:ascii="Arial" w:cs="Arial" w:eastAsia="Arial" w:hAnsi="Arial"/>
                <w:sz w:val="20"/>
                <w:szCs w:val="20"/>
                <w:color w:val="auto"/>
              </w:rPr>
              <w:t>Term Loans</w:t>
            </w:r>
          </w:p>
        </w:tc>
        <w:tc>
          <w:tcPr>
            <w:tcW w:w="660" w:type="dxa"/>
            <w:vAlign w:val="bottom"/>
            <w:gridSpan w:val="2"/>
          </w:tcPr>
          <w:p>
            <w:pPr>
              <w:jc w:val="right"/>
              <w:spacing w:after="0"/>
              <w:rPr>
                <w:sz w:val="20"/>
                <w:szCs w:val="20"/>
                <w:color w:val="auto"/>
              </w:rPr>
            </w:pPr>
            <w:r>
              <w:rPr>
                <w:rFonts w:ascii="Arial" w:cs="Arial" w:eastAsia="Arial" w:hAnsi="Arial"/>
                <w:sz w:val="20"/>
                <w:szCs w:val="20"/>
                <w:color w:val="auto"/>
              </w:rPr>
              <w:t>24</w:t>
            </w:r>
          </w:p>
        </w:tc>
      </w:tr>
      <w:tr>
        <w:trPr>
          <w:trHeight w:val="229"/>
        </w:trPr>
        <w:tc>
          <w:tcPr>
            <w:tcW w:w="580" w:type="dxa"/>
            <w:vAlign w:val="bottom"/>
          </w:tcPr>
          <w:p>
            <w:pPr>
              <w:spacing w:after="0"/>
              <w:rPr>
                <w:sz w:val="20"/>
                <w:szCs w:val="20"/>
                <w:color w:val="auto"/>
              </w:rPr>
            </w:pPr>
            <w:r>
              <w:rPr>
                <w:rFonts w:ascii="Arial" w:cs="Arial" w:eastAsia="Arial" w:hAnsi="Arial"/>
                <w:sz w:val="20"/>
                <w:szCs w:val="20"/>
                <w:color w:val="auto"/>
              </w:rPr>
              <w:t>2.02</w:t>
            </w:r>
          </w:p>
        </w:tc>
        <w:tc>
          <w:tcPr>
            <w:tcW w:w="9920" w:type="dxa"/>
            <w:vAlign w:val="bottom"/>
            <w:gridSpan w:val="3"/>
          </w:tcPr>
          <w:p>
            <w:pPr>
              <w:ind w:left="240"/>
              <w:spacing w:after="0"/>
              <w:rPr>
                <w:sz w:val="20"/>
                <w:szCs w:val="20"/>
                <w:color w:val="auto"/>
              </w:rPr>
            </w:pPr>
            <w:r>
              <w:rPr>
                <w:rFonts w:ascii="Arial" w:cs="Arial" w:eastAsia="Arial" w:hAnsi="Arial"/>
                <w:sz w:val="20"/>
                <w:szCs w:val="20"/>
                <w:color w:val="auto"/>
              </w:rPr>
              <w:t>Borrowings, Conversions and Continuations of Term Loan</w:t>
            </w:r>
          </w:p>
        </w:tc>
        <w:tc>
          <w:tcPr>
            <w:tcW w:w="660" w:type="dxa"/>
            <w:vAlign w:val="bottom"/>
            <w:gridSpan w:val="2"/>
          </w:tcPr>
          <w:p>
            <w:pPr>
              <w:jc w:val="right"/>
              <w:spacing w:after="0"/>
              <w:rPr>
                <w:sz w:val="20"/>
                <w:szCs w:val="20"/>
                <w:color w:val="auto"/>
              </w:rPr>
            </w:pPr>
            <w:r>
              <w:rPr>
                <w:rFonts w:ascii="Arial" w:cs="Arial" w:eastAsia="Arial" w:hAnsi="Arial"/>
                <w:sz w:val="20"/>
                <w:szCs w:val="20"/>
                <w:color w:val="auto"/>
              </w:rPr>
              <w:t>24</w:t>
            </w:r>
          </w:p>
        </w:tc>
      </w:tr>
      <w:tr>
        <w:trPr>
          <w:trHeight w:val="230"/>
        </w:trPr>
        <w:tc>
          <w:tcPr>
            <w:tcW w:w="580" w:type="dxa"/>
            <w:vAlign w:val="bottom"/>
          </w:tcPr>
          <w:p>
            <w:pPr>
              <w:spacing w:after="0"/>
              <w:rPr>
                <w:sz w:val="20"/>
                <w:szCs w:val="20"/>
                <w:color w:val="auto"/>
              </w:rPr>
            </w:pPr>
            <w:r>
              <w:rPr>
                <w:rFonts w:ascii="Arial" w:cs="Arial" w:eastAsia="Arial" w:hAnsi="Arial"/>
                <w:sz w:val="20"/>
                <w:szCs w:val="20"/>
                <w:color w:val="auto"/>
              </w:rPr>
              <w:t>2.03</w:t>
            </w:r>
          </w:p>
        </w:tc>
        <w:tc>
          <w:tcPr>
            <w:tcW w:w="9920" w:type="dxa"/>
            <w:vAlign w:val="bottom"/>
            <w:gridSpan w:val="3"/>
          </w:tcPr>
          <w:p>
            <w:pPr>
              <w:ind w:left="240"/>
              <w:spacing w:after="0"/>
              <w:rPr>
                <w:sz w:val="20"/>
                <w:szCs w:val="20"/>
                <w:color w:val="auto"/>
              </w:rPr>
            </w:pPr>
            <w:r>
              <w:rPr>
                <w:rFonts w:ascii="Arial" w:cs="Arial" w:eastAsia="Arial" w:hAnsi="Arial"/>
                <w:sz w:val="20"/>
                <w:szCs w:val="20"/>
                <w:color w:val="auto"/>
              </w:rPr>
              <w:t>Prepayments</w:t>
            </w:r>
          </w:p>
        </w:tc>
        <w:tc>
          <w:tcPr>
            <w:tcW w:w="660" w:type="dxa"/>
            <w:vAlign w:val="bottom"/>
            <w:gridSpan w:val="2"/>
          </w:tcPr>
          <w:p>
            <w:pPr>
              <w:jc w:val="right"/>
              <w:spacing w:after="0"/>
              <w:rPr>
                <w:sz w:val="20"/>
                <w:szCs w:val="20"/>
                <w:color w:val="auto"/>
              </w:rPr>
            </w:pPr>
            <w:r>
              <w:rPr>
                <w:rFonts w:ascii="Arial" w:cs="Arial" w:eastAsia="Arial" w:hAnsi="Arial"/>
                <w:sz w:val="20"/>
                <w:szCs w:val="20"/>
                <w:color w:val="auto"/>
              </w:rPr>
              <w:t>25</w:t>
            </w:r>
          </w:p>
        </w:tc>
      </w:tr>
      <w:tr>
        <w:trPr>
          <w:trHeight w:val="229"/>
        </w:trPr>
        <w:tc>
          <w:tcPr>
            <w:tcW w:w="580" w:type="dxa"/>
            <w:vAlign w:val="bottom"/>
          </w:tcPr>
          <w:p>
            <w:pPr>
              <w:spacing w:after="0"/>
              <w:rPr>
                <w:sz w:val="20"/>
                <w:szCs w:val="20"/>
                <w:color w:val="auto"/>
              </w:rPr>
            </w:pPr>
            <w:r>
              <w:rPr>
                <w:rFonts w:ascii="Arial" w:cs="Arial" w:eastAsia="Arial" w:hAnsi="Arial"/>
                <w:sz w:val="20"/>
                <w:szCs w:val="20"/>
                <w:color w:val="auto"/>
              </w:rPr>
              <w:t>2.04</w:t>
            </w:r>
          </w:p>
        </w:tc>
        <w:tc>
          <w:tcPr>
            <w:tcW w:w="9920" w:type="dxa"/>
            <w:vAlign w:val="bottom"/>
            <w:gridSpan w:val="3"/>
          </w:tcPr>
          <w:p>
            <w:pPr>
              <w:ind w:left="240"/>
              <w:spacing w:after="0"/>
              <w:rPr>
                <w:sz w:val="20"/>
                <w:szCs w:val="20"/>
                <w:color w:val="auto"/>
              </w:rPr>
            </w:pPr>
            <w:r>
              <w:rPr>
                <w:rFonts w:ascii="Arial" w:cs="Arial" w:eastAsia="Arial" w:hAnsi="Arial"/>
                <w:sz w:val="20"/>
                <w:szCs w:val="20"/>
                <w:color w:val="auto"/>
              </w:rPr>
              <w:t>Reduction of Commitments</w:t>
            </w:r>
          </w:p>
        </w:tc>
        <w:tc>
          <w:tcPr>
            <w:tcW w:w="660" w:type="dxa"/>
            <w:vAlign w:val="bottom"/>
            <w:gridSpan w:val="2"/>
          </w:tcPr>
          <w:p>
            <w:pPr>
              <w:jc w:val="right"/>
              <w:spacing w:after="0"/>
              <w:rPr>
                <w:sz w:val="20"/>
                <w:szCs w:val="20"/>
                <w:color w:val="auto"/>
              </w:rPr>
            </w:pPr>
            <w:r>
              <w:rPr>
                <w:rFonts w:ascii="Arial" w:cs="Arial" w:eastAsia="Arial" w:hAnsi="Arial"/>
                <w:sz w:val="20"/>
                <w:szCs w:val="20"/>
                <w:color w:val="auto"/>
              </w:rPr>
              <w:t>26</w:t>
            </w:r>
          </w:p>
        </w:tc>
      </w:tr>
      <w:tr>
        <w:trPr>
          <w:trHeight w:val="229"/>
        </w:trPr>
        <w:tc>
          <w:tcPr>
            <w:tcW w:w="580" w:type="dxa"/>
            <w:vAlign w:val="bottom"/>
          </w:tcPr>
          <w:p>
            <w:pPr>
              <w:spacing w:after="0"/>
              <w:rPr>
                <w:sz w:val="20"/>
                <w:szCs w:val="20"/>
                <w:color w:val="auto"/>
              </w:rPr>
            </w:pPr>
            <w:r>
              <w:rPr>
                <w:rFonts w:ascii="Arial" w:cs="Arial" w:eastAsia="Arial" w:hAnsi="Arial"/>
                <w:sz w:val="20"/>
                <w:szCs w:val="20"/>
                <w:color w:val="auto"/>
              </w:rPr>
              <w:t>2.05</w:t>
            </w:r>
          </w:p>
        </w:tc>
        <w:tc>
          <w:tcPr>
            <w:tcW w:w="9920" w:type="dxa"/>
            <w:vAlign w:val="bottom"/>
            <w:gridSpan w:val="3"/>
          </w:tcPr>
          <w:p>
            <w:pPr>
              <w:ind w:left="240"/>
              <w:spacing w:after="0"/>
              <w:rPr>
                <w:sz w:val="20"/>
                <w:szCs w:val="20"/>
                <w:color w:val="auto"/>
              </w:rPr>
            </w:pPr>
            <w:r>
              <w:rPr>
                <w:rFonts w:ascii="Arial" w:cs="Arial" w:eastAsia="Arial" w:hAnsi="Arial"/>
                <w:sz w:val="20"/>
                <w:szCs w:val="20"/>
                <w:color w:val="auto"/>
              </w:rPr>
              <w:t>Repayment of Loans</w:t>
            </w:r>
          </w:p>
        </w:tc>
        <w:tc>
          <w:tcPr>
            <w:tcW w:w="660" w:type="dxa"/>
            <w:vAlign w:val="bottom"/>
            <w:gridSpan w:val="2"/>
          </w:tcPr>
          <w:p>
            <w:pPr>
              <w:jc w:val="right"/>
              <w:spacing w:after="0"/>
              <w:rPr>
                <w:sz w:val="20"/>
                <w:szCs w:val="20"/>
                <w:color w:val="auto"/>
              </w:rPr>
            </w:pPr>
            <w:r>
              <w:rPr>
                <w:rFonts w:ascii="Arial" w:cs="Arial" w:eastAsia="Arial" w:hAnsi="Arial"/>
                <w:sz w:val="20"/>
                <w:szCs w:val="20"/>
                <w:color w:val="auto"/>
              </w:rPr>
              <w:t>26</w:t>
            </w:r>
          </w:p>
        </w:tc>
      </w:tr>
      <w:tr>
        <w:trPr>
          <w:trHeight w:val="230"/>
        </w:trPr>
        <w:tc>
          <w:tcPr>
            <w:tcW w:w="580" w:type="dxa"/>
            <w:vAlign w:val="bottom"/>
          </w:tcPr>
          <w:p>
            <w:pPr>
              <w:spacing w:after="0"/>
              <w:rPr>
                <w:sz w:val="20"/>
                <w:szCs w:val="20"/>
                <w:color w:val="auto"/>
              </w:rPr>
            </w:pPr>
            <w:r>
              <w:rPr>
                <w:rFonts w:ascii="Arial" w:cs="Arial" w:eastAsia="Arial" w:hAnsi="Arial"/>
                <w:sz w:val="20"/>
                <w:szCs w:val="20"/>
                <w:color w:val="auto"/>
              </w:rPr>
              <w:t>2.06</w:t>
            </w:r>
          </w:p>
        </w:tc>
        <w:tc>
          <w:tcPr>
            <w:tcW w:w="9920" w:type="dxa"/>
            <w:vAlign w:val="bottom"/>
            <w:gridSpan w:val="3"/>
          </w:tcPr>
          <w:p>
            <w:pPr>
              <w:ind w:left="240"/>
              <w:spacing w:after="0"/>
              <w:rPr>
                <w:sz w:val="20"/>
                <w:szCs w:val="20"/>
                <w:color w:val="auto"/>
              </w:rPr>
            </w:pPr>
            <w:r>
              <w:rPr>
                <w:rFonts w:ascii="Arial" w:cs="Arial" w:eastAsia="Arial" w:hAnsi="Arial"/>
                <w:sz w:val="20"/>
                <w:szCs w:val="20"/>
                <w:color w:val="auto"/>
              </w:rPr>
              <w:t>Interest</w:t>
            </w:r>
          </w:p>
        </w:tc>
        <w:tc>
          <w:tcPr>
            <w:tcW w:w="660" w:type="dxa"/>
            <w:vAlign w:val="bottom"/>
            <w:gridSpan w:val="2"/>
          </w:tcPr>
          <w:p>
            <w:pPr>
              <w:jc w:val="right"/>
              <w:spacing w:after="0"/>
              <w:rPr>
                <w:sz w:val="20"/>
                <w:szCs w:val="20"/>
                <w:color w:val="auto"/>
              </w:rPr>
            </w:pPr>
            <w:r>
              <w:rPr>
                <w:rFonts w:ascii="Arial" w:cs="Arial" w:eastAsia="Arial" w:hAnsi="Arial"/>
                <w:sz w:val="20"/>
                <w:szCs w:val="20"/>
                <w:color w:val="auto"/>
              </w:rPr>
              <w:t>26</w:t>
            </w:r>
          </w:p>
        </w:tc>
      </w:tr>
      <w:tr>
        <w:trPr>
          <w:trHeight w:val="229"/>
        </w:trPr>
        <w:tc>
          <w:tcPr>
            <w:tcW w:w="580" w:type="dxa"/>
            <w:vAlign w:val="bottom"/>
          </w:tcPr>
          <w:p>
            <w:pPr>
              <w:spacing w:after="0"/>
              <w:rPr>
                <w:sz w:val="20"/>
                <w:szCs w:val="20"/>
                <w:color w:val="auto"/>
              </w:rPr>
            </w:pPr>
            <w:r>
              <w:rPr>
                <w:rFonts w:ascii="Arial" w:cs="Arial" w:eastAsia="Arial" w:hAnsi="Arial"/>
                <w:sz w:val="20"/>
                <w:szCs w:val="20"/>
                <w:color w:val="auto"/>
              </w:rPr>
              <w:t>2.07</w:t>
            </w:r>
          </w:p>
        </w:tc>
        <w:tc>
          <w:tcPr>
            <w:tcW w:w="9920" w:type="dxa"/>
            <w:vAlign w:val="bottom"/>
            <w:gridSpan w:val="3"/>
          </w:tcPr>
          <w:p>
            <w:pPr>
              <w:ind w:left="240"/>
              <w:spacing w:after="0"/>
              <w:rPr>
                <w:sz w:val="20"/>
                <w:szCs w:val="20"/>
                <w:color w:val="auto"/>
              </w:rPr>
            </w:pPr>
            <w:r>
              <w:rPr>
                <w:rFonts w:ascii="Arial" w:cs="Arial" w:eastAsia="Arial" w:hAnsi="Arial"/>
                <w:sz w:val="20"/>
                <w:szCs w:val="20"/>
                <w:color w:val="auto"/>
              </w:rPr>
              <w:t>Fees</w:t>
            </w:r>
          </w:p>
        </w:tc>
        <w:tc>
          <w:tcPr>
            <w:tcW w:w="660" w:type="dxa"/>
            <w:vAlign w:val="bottom"/>
            <w:gridSpan w:val="2"/>
          </w:tcPr>
          <w:p>
            <w:pPr>
              <w:jc w:val="right"/>
              <w:spacing w:after="0"/>
              <w:rPr>
                <w:sz w:val="20"/>
                <w:szCs w:val="20"/>
                <w:color w:val="auto"/>
              </w:rPr>
            </w:pPr>
            <w:r>
              <w:rPr>
                <w:rFonts w:ascii="Arial" w:cs="Arial" w:eastAsia="Arial" w:hAnsi="Arial"/>
                <w:sz w:val="20"/>
                <w:szCs w:val="20"/>
                <w:color w:val="auto"/>
              </w:rPr>
              <w:t>27</w:t>
            </w:r>
          </w:p>
        </w:tc>
      </w:tr>
      <w:tr>
        <w:trPr>
          <w:trHeight w:val="229"/>
        </w:trPr>
        <w:tc>
          <w:tcPr>
            <w:tcW w:w="580" w:type="dxa"/>
            <w:vAlign w:val="bottom"/>
          </w:tcPr>
          <w:p>
            <w:pPr>
              <w:spacing w:after="0"/>
              <w:rPr>
                <w:sz w:val="20"/>
                <w:szCs w:val="20"/>
                <w:color w:val="auto"/>
              </w:rPr>
            </w:pPr>
            <w:r>
              <w:rPr>
                <w:rFonts w:ascii="Arial" w:cs="Arial" w:eastAsia="Arial" w:hAnsi="Arial"/>
                <w:sz w:val="20"/>
                <w:szCs w:val="20"/>
                <w:color w:val="auto"/>
              </w:rPr>
              <w:t>2.08</w:t>
            </w:r>
          </w:p>
        </w:tc>
        <w:tc>
          <w:tcPr>
            <w:tcW w:w="9920" w:type="dxa"/>
            <w:vAlign w:val="bottom"/>
            <w:gridSpan w:val="3"/>
          </w:tcPr>
          <w:p>
            <w:pPr>
              <w:ind w:left="240"/>
              <w:spacing w:after="0"/>
              <w:rPr>
                <w:sz w:val="20"/>
                <w:szCs w:val="20"/>
                <w:color w:val="auto"/>
              </w:rPr>
            </w:pPr>
            <w:r>
              <w:rPr>
                <w:rFonts w:ascii="Arial" w:cs="Arial" w:eastAsia="Arial" w:hAnsi="Arial"/>
                <w:sz w:val="20"/>
                <w:szCs w:val="20"/>
                <w:color w:val="auto"/>
              </w:rPr>
              <w:t>Computation of Interest and Fees; Retroactive Adjustments of Applicable Rate</w:t>
            </w:r>
          </w:p>
        </w:tc>
        <w:tc>
          <w:tcPr>
            <w:tcW w:w="660" w:type="dxa"/>
            <w:vAlign w:val="bottom"/>
            <w:gridSpan w:val="2"/>
          </w:tcPr>
          <w:p>
            <w:pPr>
              <w:jc w:val="right"/>
              <w:spacing w:after="0"/>
              <w:rPr>
                <w:sz w:val="20"/>
                <w:szCs w:val="20"/>
                <w:color w:val="auto"/>
              </w:rPr>
            </w:pPr>
            <w:r>
              <w:rPr>
                <w:rFonts w:ascii="Arial" w:cs="Arial" w:eastAsia="Arial" w:hAnsi="Arial"/>
                <w:sz w:val="20"/>
                <w:szCs w:val="20"/>
                <w:color w:val="auto"/>
              </w:rPr>
              <w:t>27</w:t>
            </w:r>
          </w:p>
        </w:tc>
      </w:tr>
      <w:tr>
        <w:trPr>
          <w:trHeight w:val="230"/>
        </w:trPr>
        <w:tc>
          <w:tcPr>
            <w:tcW w:w="580" w:type="dxa"/>
            <w:vAlign w:val="bottom"/>
          </w:tcPr>
          <w:p>
            <w:pPr>
              <w:spacing w:after="0"/>
              <w:rPr>
                <w:sz w:val="20"/>
                <w:szCs w:val="20"/>
                <w:color w:val="auto"/>
              </w:rPr>
            </w:pPr>
            <w:r>
              <w:rPr>
                <w:rFonts w:ascii="Arial" w:cs="Arial" w:eastAsia="Arial" w:hAnsi="Arial"/>
                <w:sz w:val="20"/>
                <w:szCs w:val="20"/>
                <w:color w:val="auto"/>
              </w:rPr>
              <w:t>2.09</w:t>
            </w:r>
          </w:p>
        </w:tc>
        <w:tc>
          <w:tcPr>
            <w:tcW w:w="9920" w:type="dxa"/>
            <w:vAlign w:val="bottom"/>
            <w:gridSpan w:val="3"/>
          </w:tcPr>
          <w:p>
            <w:pPr>
              <w:ind w:left="240"/>
              <w:spacing w:after="0"/>
              <w:rPr>
                <w:sz w:val="20"/>
                <w:szCs w:val="20"/>
                <w:color w:val="auto"/>
              </w:rPr>
            </w:pPr>
            <w:r>
              <w:rPr>
                <w:rFonts w:ascii="Arial" w:cs="Arial" w:eastAsia="Arial" w:hAnsi="Arial"/>
                <w:sz w:val="20"/>
                <w:szCs w:val="20"/>
                <w:color w:val="auto"/>
              </w:rPr>
              <w:t>Evidence of Debt</w:t>
            </w:r>
          </w:p>
        </w:tc>
        <w:tc>
          <w:tcPr>
            <w:tcW w:w="660" w:type="dxa"/>
            <w:vAlign w:val="bottom"/>
            <w:gridSpan w:val="2"/>
          </w:tcPr>
          <w:p>
            <w:pPr>
              <w:jc w:val="right"/>
              <w:spacing w:after="0"/>
              <w:rPr>
                <w:sz w:val="20"/>
                <w:szCs w:val="20"/>
                <w:color w:val="auto"/>
              </w:rPr>
            </w:pPr>
            <w:r>
              <w:rPr>
                <w:rFonts w:ascii="Arial" w:cs="Arial" w:eastAsia="Arial" w:hAnsi="Arial"/>
                <w:sz w:val="20"/>
                <w:szCs w:val="20"/>
                <w:color w:val="auto"/>
              </w:rPr>
              <w:t>27</w:t>
            </w:r>
          </w:p>
        </w:tc>
      </w:tr>
      <w:tr>
        <w:trPr>
          <w:trHeight w:val="229"/>
        </w:trPr>
        <w:tc>
          <w:tcPr>
            <w:tcW w:w="580" w:type="dxa"/>
            <w:vAlign w:val="bottom"/>
          </w:tcPr>
          <w:p>
            <w:pPr>
              <w:spacing w:after="0"/>
              <w:rPr>
                <w:sz w:val="20"/>
                <w:szCs w:val="20"/>
                <w:color w:val="auto"/>
              </w:rPr>
            </w:pPr>
            <w:r>
              <w:rPr>
                <w:rFonts w:ascii="Arial" w:cs="Arial" w:eastAsia="Arial" w:hAnsi="Arial"/>
                <w:sz w:val="20"/>
                <w:szCs w:val="20"/>
                <w:color w:val="auto"/>
              </w:rPr>
              <w:t>2.10</w:t>
            </w:r>
          </w:p>
        </w:tc>
        <w:tc>
          <w:tcPr>
            <w:tcW w:w="9920" w:type="dxa"/>
            <w:vAlign w:val="bottom"/>
            <w:gridSpan w:val="3"/>
          </w:tcPr>
          <w:p>
            <w:pPr>
              <w:ind w:left="240"/>
              <w:spacing w:after="0"/>
              <w:rPr>
                <w:sz w:val="20"/>
                <w:szCs w:val="20"/>
                <w:color w:val="auto"/>
              </w:rPr>
            </w:pPr>
            <w:r>
              <w:rPr>
                <w:rFonts w:ascii="Arial" w:cs="Arial" w:eastAsia="Arial" w:hAnsi="Arial"/>
                <w:sz w:val="20"/>
                <w:szCs w:val="20"/>
                <w:color w:val="auto"/>
              </w:rPr>
              <w:t>Payments Generally; Administrative Agent’s Clawback</w:t>
            </w:r>
          </w:p>
        </w:tc>
        <w:tc>
          <w:tcPr>
            <w:tcW w:w="660" w:type="dxa"/>
            <w:vAlign w:val="bottom"/>
            <w:gridSpan w:val="2"/>
          </w:tcPr>
          <w:p>
            <w:pPr>
              <w:jc w:val="right"/>
              <w:spacing w:after="0"/>
              <w:rPr>
                <w:sz w:val="20"/>
                <w:szCs w:val="20"/>
                <w:color w:val="auto"/>
              </w:rPr>
            </w:pPr>
            <w:r>
              <w:rPr>
                <w:rFonts w:ascii="Arial" w:cs="Arial" w:eastAsia="Arial" w:hAnsi="Arial"/>
                <w:sz w:val="20"/>
                <w:szCs w:val="20"/>
                <w:color w:val="auto"/>
              </w:rPr>
              <w:t>28</w:t>
            </w:r>
          </w:p>
        </w:tc>
      </w:tr>
      <w:tr>
        <w:trPr>
          <w:trHeight w:val="230"/>
        </w:trPr>
        <w:tc>
          <w:tcPr>
            <w:tcW w:w="580" w:type="dxa"/>
            <w:vAlign w:val="bottom"/>
          </w:tcPr>
          <w:p>
            <w:pPr>
              <w:spacing w:after="0"/>
              <w:rPr>
                <w:sz w:val="20"/>
                <w:szCs w:val="20"/>
                <w:color w:val="auto"/>
              </w:rPr>
            </w:pPr>
            <w:r>
              <w:rPr>
                <w:rFonts w:ascii="Arial" w:cs="Arial" w:eastAsia="Arial" w:hAnsi="Arial"/>
                <w:sz w:val="20"/>
                <w:szCs w:val="20"/>
                <w:color w:val="auto"/>
              </w:rPr>
              <w:t>2.11</w:t>
            </w:r>
          </w:p>
        </w:tc>
        <w:tc>
          <w:tcPr>
            <w:tcW w:w="9920" w:type="dxa"/>
            <w:vAlign w:val="bottom"/>
            <w:gridSpan w:val="3"/>
          </w:tcPr>
          <w:p>
            <w:pPr>
              <w:ind w:left="240"/>
              <w:spacing w:after="0"/>
              <w:rPr>
                <w:sz w:val="20"/>
                <w:szCs w:val="20"/>
                <w:color w:val="auto"/>
              </w:rPr>
            </w:pPr>
            <w:r>
              <w:rPr>
                <w:rFonts w:ascii="Arial" w:cs="Arial" w:eastAsia="Arial" w:hAnsi="Arial"/>
                <w:sz w:val="20"/>
                <w:szCs w:val="20"/>
                <w:color w:val="auto"/>
              </w:rPr>
              <w:t>Sharing of Payments by Lenders</w:t>
            </w:r>
          </w:p>
        </w:tc>
        <w:tc>
          <w:tcPr>
            <w:tcW w:w="660" w:type="dxa"/>
            <w:vAlign w:val="bottom"/>
            <w:gridSpan w:val="2"/>
          </w:tcPr>
          <w:p>
            <w:pPr>
              <w:jc w:val="right"/>
              <w:spacing w:after="0"/>
              <w:rPr>
                <w:sz w:val="20"/>
                <w:szCs w:val="20"/>
                <w:color w:val="auto"/>
              </w:rPr>
            </w:pPr>
            <w:r>
              <w:rPr>
                <w:rFonts w:ascii="Arial" w:cs="Arial" w:eastAsia="Arial" w:hAnsi="Arial"/>
                <w:sz w:val="20"/>
                <w:szCs w:val="20"/>
                <w:color w:val="auto"/>
              </w:rPr>
              <w:t>29</w:t>
            </w:r>
          </w:p>
        </w:tc>
      </w:tr>
      <w:tr>
        <w:trPr>
          <w:trHeight w:val="250"/>
        </w:trPr>
        <w:tc>
          <w:tcPr>
            <w:tcW w:w="580" w:type="dxa"/>
            <w:vAlign w:val="bottom"/>
          </w:tcPr>
          <w:p>
            <w:pPr>
              <w:spacing w:after="0"/>
              <w:rPr>
                <w:sz w:val="20"/>
                <w:szCs w:val="20"/>
                <w:color w:val="auto"/>
              </w:rPr>
            </w:pPr>
            <w:r>
              <w:rPr>
                <w:rFonts w:ascii="Arial" w:cs="Arial" w:eastAsia="Arial" w:hAnsi="Arial"/>
                <w:sz w:val="20"/>
                <w:szCs w:val="20"/>
                <w:color w:val="auto"/>
              </w:rPr>
              <w:t>2.12</w:t>
            </w:r>
          </w:p>
        </w:tc>
        <w:tc>
          <w:tcPr>
            <w:tcW w:w="9920" w:type="dxa"/>
            <w:vAlign w:val="bottom"/>
            <w:gridSpan w:val="3"/>
          </w:tcPr>
          <w:p>
            <w:pPr>
              <w:ind w:left="240"/>
              <w:spacing w:after="0"/>
              <w:rPr>
                <w:sz w:val="20"/>
                <w:szCs w:val="20"/>
                <w:color w:val="auto"/>
              </w:rPr>
            </w:pPr>
            <w:r>
              <w:rPr>
                <w:rFonts w:ascii="Arial" w:cs="Arial" w:eastAsia="Arial" w:hAnsi="Arial"/>
                <w:sz w:val="20"/>
                <w:szCs w:val="20"/>
                <w:color w:val="auto"/>
              </w:rPr>
              <w:t>Defaulting Lenders</w:t>
            </w:r>
          </w:p>
        </w:tc>
        <w:tc>
          <w:tcPr>
            <w:tcW w:w="660" w:type="dxa"/>
            <w:vAlign w:val="bottom"/>
            <w:gridSpan w:val="2"/>
          </w:tcPr>
          <w:p>
            <w:pPr>
              <w:jc w:val="right"/>
              <w:spacing w:after="0"/>
              <w:rPr>
                <w:sz w:val="20"/>
                <w:szCs w:val="20"/>
                <w:color w:val="auto"/>
              </w:rPr>
            </w:pPr>
            <w:r>
              <w:rPr>
                <w:rFonts w:ascii="Arial" w:cs="Arial" w:eastAsia="Arial" w:hAnsi="Arial"/>
                <w:sz w:val="20"/>
                <w:szCs w:val="20"/>
                <w:color w:val="auto"/>
              </w:rPr>
              <w:t>30</w:t>
            </w:r>
          </w:p>
        </w:tc>
      </w:tr>
      <w:tr>
        <w:trPr>
          <w:trHeight w:val="425"/>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80" w:type="dxa"/>
            <w:vAlign w:val="bottom"/>
          </w:tcPr>
          <w:p>
            <w:pPr>
              <w:jc w:val="center"/>
              <w:ind w:right="501"/>
              <w:spacing w:after="0"/>
              <w:rPr>
                <w:sz w:val="20"/>
                <w:szCs w:val="20"/>
                <w:color w:val="auto"/>
              </w:rPr>
            </w:pPr>
            <w:r>
              <w:rPr>
                <w:rFonts w:ascii="Arial" w:cs="Arial" w:eastAsia="Arial" w:hAnsi="Arial"/>
                <w:sz w:val="20"/>
                <w:szCs w:val="20"/>
                <w:color w:val="auto"/>
                <w:w w:val="99"/>
              </w:rPr>
              <w:t>ARTICLE III.</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50"/>
        </w:trPr>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80" w:type="dxa"/>
            <w:vAlign w:val="bottom"/>
          </w:tcPr>
          <w:p>
            <w:pPr>
              <w:jc w:val="center"/>
              <w:ind w:right="521"/>
              <w:spacing w:after="0"/>
              <w:rPr>
                <w:sz w:val="20"/>
                <w:szCs w:val="20"/>
                <w:color w:val="auto"/>
              </w:rPr>
            </w:pPr>
            <w:r>
              <w:rPr>
                <w:rFonts w:ascii="Arial" w:cs="Arial" w:eastAsia="Arial" w:hAnsi="Arial"/>
                <w:sz w:val="20"/>
                <w:szCs w:val="20"/>
                <w:color w:val="auto"/>
                <w:w w:val="98"/>
              </w:rPr>
              <w:t>TAXES, YIELD PROTECTION AND ILLEGALITY</w:t>
            </w: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317"/>
        </w:trPr>
        <w:tc>
          <w:tcPr>
            <w:tcW w:w="580" w:type="dxa"/>
            <w:vAlign w:val="bottom"/>
          </w:tcPr>
          <w:p>
            <w:pPr>
              <w:spacing w:after="0"/>
              <w:rPr>
                <w:sz w:val="20"/>
                <w:szCs w:val="20"/>
                <w:color w:val="auto"/>
              </w:rPr>
            </w:pPr>
            <w:r>
              <w:rPr>
                <w:rFonts w:ascii="Arial" w:cs="Arial" w:eastAsia="Arial" w:hAnsi="Arial"/>
                <w:sz w:val="20"/>
                <w:szCs w:val="20"/>
                <w:color w:val="auto"/>
              </w:rPr>
              <w:t>3.01</w:t>
            </w:r>
          </w:p>
        </w:tc>
        <w:tc>
          <w:tcPr>
            <w:tcW w:w="9920" w:type="dxa"/>
            <w:vAlign w:val="bottom"/>
            <w:gridSpan w:val="3"/>
          </w:tcPr>
          <w:p>
            <w:pPr>
              <w:ind w:left="240"/>
              <w:spacing w:after="0"/>
              <w:rPr>
                <w:sz w:val="20"/>
                <w:szCs w:val="20"/>
                <w:color w:val="auto"/>
              </w:rPr>
            </w:pPr>
            <w:r>
              <w:rPr>
                <w:rFonts w:ascii="Arial" w:cs="Arial" w:eastAsia="Arial" w:hAnsi="Arial"/>
                <w:sz w:val="20"/>
                <w:szCs w:val="20"/>
                <w:color w:val="auto"/>
              </w:rPr>
              <w:t>Taxes</w:t>
            </w:r>
          </w:p>
        </w:tc>
        <w:tc>
          <w:tcPr>
            <w:tcW w:w="660" w:type="dxa"/>
            <w:vAlign w:val="bottom"/>
            <w:gridSpan w:val="2"/>
          </w:tcPr>
          <w:p>
            <w:pPr>
              <w:jc w:val="right"/>
              <w:spacing w:after="0"/>
              <w:rPr>
                <w:sz w:val="20"/>
                <w:szCs w:val="20"/>
                <w:color w:val="auto"/>
              </w:rPr>
            </w:pPr>
            <w:r>
              <w:rPr>
                <w:rFonts w:ascii="Arial" w:cs="Arial" w:eastAsia="Arial" w:hAnsi="Arial"/>
                <w:sz w:val="20"/>
                <w:szCs w:val="20"/>
                <w:color w:val="auto"/>
              </w:rPr>
              <w:t>31</w:t>
            </w:r>
          </w:p>
        </w:tc>
      </w:tr>
      <w:tr>
        <w:trPr>
          <w:trHeight w:val="229"/>
        </w:trPr>
        <w:tc>
          <w:tcPr>
            <w:tcW w:w="580" w:type="dxa"/>
            <w:vAlign w:val="bottom"/>
          </w:tcPr>
          <w:p>
            <w:pPr>
              <w:spacing w:after="0"/>
              <w:rPr>
                <w:sz w:val="20"/>
                <w:szCs w:val="20"/>
                <w:color w:val="auto"/>
              </w:rPr>
            </w:pPr>
            <w:r>
              <w:rPr>
                <w:rFonts w:ascii="Arial" w:cs="Arial" w:eastAsia="Arial" w:hAnsi="Arial"/>
                <w:sz w:val="20"/>
                <w:szCs w:val="20"/>
                <w:color w:val="auto"/>
              </w:rPr>
              <w:t>3.02</w:t>
            </w:r>
          </w:p>
        </w:tc>
        <w:tc>
          <w:tcPr>
            <w:tcW w:w="9920" w:type="dxa"/>
            <w:vAlign w:val="bottom"/>
            <w:gridSpan w:val="3"/>
          </w:tcPr>
          <w:p>
            <w:pPr>
              <w:ind w:left="240"/>
              <w:spacing w:after="0"/>
              <w:rPr>
                <w:sz w:val="20"/>
                <w:szCs w:val="20"/>
                <w:color w:val="auto"/>
              </w:rPr>
            </w:pPr>
            <w:r>
              <w:rPr>
                <w:rFonts w:ascii="Arial" w:cs="Arial" w:eastAsia="Arial" w:hAnsi="Arial"/>
                <w:sz w:val="20"/>
                <w:szCs w:val="20"/>
                <w:color w:val="auto"/>
              </w:rPr>
              <w:t>Illegality</w:t>
            </w:r>
          </w:p>
        </w:tc>
        <w:tc>
          <w:tcPr>
            <w:tcW w:w="660" w:type="dxa"/>
            <w:vAlign w:val="bottom"/>
            <w:gridSpan w:val="2"/>
          </w:tcPr>
          <w:p>
            <w:pPr>
              <w:jc w:val="right"/>
              <w:spacing w:after="0"/>
              <w:rPr>
                <w:sz w:val="20"/>
                <w:szCs w:val="20"/>
                <w:color w:val="auto"/>
              </w:rPr>
            </w:pPr>
            <w:r>
              <w:rPr>
                <w:rFonts w:ascii="Arial" w:cs="Arial" w:eastAsia="Arial" w:hAnsi="Arial"/>
                <w:sz w:val="20"/>
                <w:szCs w:val="20"/>
                <w:color w:val="auto"/>
              </w:rPr>
              <w:t>35</w:t>
            </w:r>
          </w:p>
        </w:tc>
      </w:tr>
      <w:tr>
        <w:trPr>
          <w:trHeight w:val="230"/>
        </w:trPr>
        <w:tc>
          <w:tcPr>
            <w:tcW w:w="580" w:type="dxa"/>
            <w:vAlign w:val="bottom"/>
          </w:tcPr>
          <w:p>
            <w:pPr>
              <w:spacing w:after="0"/>
              <w:rPr>
                <w:sz w:val="20"/>
                <w:szCs w:val="20"/>
                <w:color w:val="auto"/>
              </w:rPr>
            </w:pPr>
            <w:r>
              <w:rPr>
                <w:rFonts w:ascii="Arial" w:cs="Arial" w:eastAsia="Arial" w:hAnsi="Arial"/>
                <w:sz w:val="20"/>
                <w:szCs w:val="20"/>
                <w:color w:val="auto"/>
              </w:rPr>
              <w:t>3.03</w:t>
            </w:r>
          </w:p>
        </w:tc>
        <w:tc>
          <w:tcPr>
            <w:tcW w:w="9920" w:type="dxa"/>
            <w:vAlign w:val="bottom"/>
            <w:gridSpan w:val="3"/>
          </w:tcPr>
          <w:p>
            <w:pPr>
              <w:ind w:left="240"/>
              <w:spacing w:after="0"/>
              <w:rPr>
                <w:sz w:val="20"/>
                <w:szCs w:val="20"/>
                <w:color w:val="auto"/>
              </w:rPr>
            </w:pPr>
            <w:r>
              <w:rPr>
                <w:rFonts w:ascii="Arial" w:cs="Arial" w:eastAsia="Arial" w:hAnsi="Arial"/>
                <w:sz w:val="20"/>
                <w:szCs w:val="20"/>
                <w:color w:val="auto"/>
              </w:rPr>
              <w:t>Inability to Determine Rates</w:t>
            </w:r>
          </w:p>
        </w:tc>
        <w:tc>
          <w:tcPr>
            <w:tcW w:w="660" w:type="dxa"/>
            <w:vAlign w:val="bottom"/>
            <w:gridSpan w:val="2"/>
          </w:tcPr>
          <w:p>
            <w:pPr>
              <w:jc w:val="right"/>
              <w:spacing w:after="0"/>
              <w:rPr>
                <w:sz w:val="20"/>
                <w:szCs w:val="20"/>
                <w:color w:val="auto"/>
              </w:rPr>
            </w:pPr>
            <w:r>
              <w:rPr>
                <w:rFonts w:ascii="Arial" w:cs="Arial" w:eastAsia="Arial" w:hAnsi="Arial"/>
                <w:sz w:val="20"/>
                <w:szCs w:val="20"/>
                <w:color w:val="auto"/>
              </w:rPr>
              <w:t>35</w:t>
            </w:r>
          </w:p>
        </w:tc>
      </w:tr>
      <w:tr>
        <w:trPr>
          <w:trHeight w:val="230"/>
        </w:trPr>
        <w:tc>
          <w:tcPr>
            <w:tcW w:w="580" w:type="dxa"/>
            <w:vAlign w:val="bottom"/>
          </w:tcPr>
          <w:p>
            <w:pPr>
              <w:spacing w:after="0"/>
              <w:rPr>
                <w:sz w:val="20"/>
                <w:szCs w:val="20"/>
                <w:color w:val="auto"/>
              </w:rPr>
            </w:pPr>
            <w:r>
              <w:rPr>
                <w:rFonts w:ascii="Arial" w:cs="Arial" w:eastAsia="Arial" w:hAnsi="Arial"/>
                <w:sz w:val="20"/>
                <w:szCs w:val="20"/>
                <w:color w:val="auto"/>
              </w:rPr>
              <w:t>3.04</w:t>
            </w:r>
          </w:p>
        </w:tc>
        <w:tc>
          <w:tcPr>
            <w:tcW w:w="9920" w:type="dxa"/>
            <w:vAlign w:val="bottom"/>
            <w:gridSpan w:val="3"/>
          </w:tcPr>
          <w:p>
            <w:pPr>
              <w:ind w:left="240"/>
              <w:spacing w:after="0"/>
              <w:rPr>
                <w:sz w:val="20"/>
                <w:szCs w:val="20"/>
                <w:color w:val="auto"/>
              </w:rPr>
            </w:pPr>
            <w:r>
              <w:rPr>
                <w:rFonts w:ascii="Arial" w:cs="Arial" w:eastAsia="Arial" w:hAnsi="Arial"/>
                <w:sz w:val="20"/>
                <w:szCs w:val="20"/>
                <w:color w:val="auto"/>
              </w:rPr>
              <w:t>Increased Costs; Reserves on Eurodollar Rate Loans</w:t>
            </w:r>
          </w:p>
        </w:tc>
        <w:tc>
          <w:tcPr>
            <w:tcW w:w="660" w:type="dxa"/>
            <w:vAlign w:val="bottom"/>
            <w:gridSpan w:val="2"/>
          </w:tcPr>
          <w:p>
            <w:pPr>
              <w:jc w:val="right"/>
              <w:spacing w:after="0"/>
              <w:rPr>
                <w:sz w:val="20"/>
                <w:szCs w:val="20"/>
                <w:color w:val="auto"/>
              </w:rPr>
            </w:pPr>
            <w:r>
              <w:rPr>
                <w:rFonts w:ascii="Arial" w:cs="Arial" w:eastAsia="Arial" w:hAnsi="Arial"/>
                <w:sz w:val="20"/>
                <w:szCs w:val="20"/>
                <w:color w:val="auto"/>
              </w:rPr>
              <w:t>38</w:t>
            </w:r>
          </w:p>
        </w:tc>
      </w:tr>
      <w:tr>
        <w:trPr>
          <w:trHeight w:val="230"/>
        </w:trPr>
        <w:tc>
          <w:tcPr>
            <w:tcW w:w="580" w:type="dxa"/>
            <w:vAlign w:val="bottom"/>
          </w:tcPr>
          <w:p>
            <w:pPr>
              <w:spacing w:after="0"/>
              <w:rPr>
                <w:sz w:val="20"/>
                <w:szCs w:val="20"/>
                <w:color w:val="auto"/>
              </w:rPr>
            </w:pPr>
            <w:r>
              <w:rPr>
                <w:rFonts w:ascii="Arial" w:cs="Arial" w:eastAsia="Arial" w:hAnsi="Arial"/>
                <w:sz w:val="20"/>
                <w:szCs w:val="20"/>
                <w:color w:val="auto"/>
              </w:rPr>
              <w:t>3.05</w:t>
            </w:r>
          </w:p>
        </w:tc>
        <w:tc>
          <w:tcPr>
            <w:tcW w:w="9920" w:type="dxa"/>
            <w:vAlign w:val="bottom"/>
            <w:gridSpan w:val="3"/>
          </w:tcPr>
          <w:p>
            <w:pPr>
              <w:ind w:left="240"/>
              <w:spacing w:after="0"/>
              <w:rPr>
                <w:sz w:val="20"/>
                <w:szCs w:val="20"/>
                <w:color w:val="auto"/>
              </w:rPr>
            </w:pPr>
            <w:r>
              <w:rPr>
                <w:rFonts w:ascii="Arial" w:cs="Arial" w:eastAsia="Arial" w:hAnsi="Arial"/>
                <w:sz w:val="20"/>
                <w:szCs w:val="20"/>
                <w:color w:val="auto"/>
              </w:rPr>
              <w:t>Compensation for Losses</w:t>
            </w:r>
          </w:p>
        </w:tc>
        <w:tc>
          <w:tcPr>
            <w:tcW w:w="660" w:type="dxa"/>
            <w:vAlign w:val="bottom"/>
            <w:gridSpan w:val="2"/>
          </w:tcPr>
          <w:p>
            <w:pPr>
              <w:jc w:val="right"/>
              <w:spacing w:after="0"/>
              <w:rPr>
                <w:sz w:val="20"/>
                <w:szCs w:val="20"/>
                <w:color w:val="auto"/>
              </w:rPr>
            </w:pPr>
            <w:r>
              <w:rPr>
                <w:rFonts w:ascii="Arial" w:cs="Arial" w:eastAsia="Arial" w:hAnsi="Arial"/>
                <w:sz w:val="20"/>
                <w:szCs w:val="20"/>
                <w:color w:val="auto"/>
              </w:rPr>
              <w:t>39</w:t>
            </w:r>
          </w:p>
        </w:tc>
      </w:tr>
      <w:tr>
        <w:trPr>
          <w:trHeight w:val="230"/>
        </w:trPr>
        <w:tc>
          <w:tcPr>
            <w:tcW w:w="580" w:type="dxa"/>
            <w:vAlign w:val="bottom"/>
          </w:tcPr>
          <w:p>
            <w:pPr>
              <w:spacing w:after="0"/>
              <w:rPr>
                <w:sz w:val="20"/>
                <w:szCs w:val="20"/>
                <w:color w:val="auto"/>
              </w:rPr>
            </w:pPr>
            <w:r>
              <w:rPr>
                <w:rFonts w:ascii="Arial" w:cs="Arial" w:eastAsia="Arial" w:hAnsi="Arial"/>
                <w:sz w:val="20"/>
                <w:szCs w:val="20"/>
                <w:color w:val="auto"/>
              </w:rPr>
              <w:t>3.06</w:t>
            </w:r>
          </w:p>
        </w:tc>
        <w:tc>
          <w:tcPr>
            <w:tcW w:w="9920" w:type="dxa"/>
            <w:vAlign w:val="bottom"/>
            <w:gridSpan w:val="3"/>
          </w:tcPr>
          <w:p>
            <w:pPr>
              <w:ind w:left="240"/>
              <w:spacing w:after="0"/>
              <w:rPr>
                <w:sz w:val="20"/>
                <w:szCs w:val="20"/>
                <w:color w:val="auto"/>
              </w:rPr>
            </w:pPr>
            <w:r>
              <w:rPr>
                <w:rFonts w:ascii="Arial" w:cs="Arial" w:eastAsia="Arial" w:hAnsi="Arial"/>
                <w:sz w:val="20"/>
                <w:szCs w:val="20"/>
                <w:color w:val="auto"/>
              </w:rPr>
              <w:t>Mitigation Obligations; Replacement of Lenders</w:t>
            </w:r>
          </w:p>
        </w:tc>
        <w:tc>
          <w:tcPr>
            <w:tcW w:w="660" w:type="dxa"/>
            <w:vAlign w:val="bottom"/>
            <w:gridSpan w:val="2"/>
          </w:tcPr>
          <w:p>
            <w:pPr>
              <w:jc w:val="right"/>
              <w:spacing w:after="0"/>
              <w:rPr>
                <w:sz w:val="20"/>
                <w:szCs w:val="20"/>
                <w:color w:val="auto"/>
              </w:rPr>
            </w:pPr>
            <w:r>
              <w:rPr>
                <w:rFonts w:ascii="Arial" w:cs="Arial" w:eastAsia="Arial" w:hAnsi="Arial"/>
                <w:sz w:val="20"/>
                <w:szCs w:val="20"/>
                <w:color w:val="auto"/>
              </w:rPr>
              <w:t>40</w:t>
            </w:r>
          </w:p>
        </w:tc>
      </w:tr>
      <w:tr>
        <w:trPr>
          <w:trHeight w:val="250"/>
        </w:trPr>
        <w:tc>
          <w:tcPr>
            <w:tcW w:w="580" w:type="dxa"/>
            <w:vAlign w:val="bottom"/>
          </w:tcPr>
          <w:p>
            <w:pPr>
              <w:spacing w:after="0"/>
              <w:rPr>
                <w:sz w:val="20"/>
                <w:szCs w:val="20"/>
                <w:color w:val="auto"/>
              </w:rPr>
            </w:pPr>
            <w:r>
              <w:rPr>
                <w:rFonts w:ascii="Arial" w:cs="Arial" w:eastAsia="Arial" w:hAnsi="Arial"/>
                <w:sz w:val="20"/>
                <w:szCs w:val="20"/>
                <w:color w:val="auto"/>
              </w:rPr>
              <w:t>3.07</w:t>
            </w:r>
          </w:p>
        </w:tc>
        <w:tc>
          <w:tcPr>
            <w:tcW w:w="9920" w:type="dxa"/>
            <w:vAlign w:val="bottom"/>
            <w:gridSpan w:val="3"/>
          </w:tcPr>
          <w:p>
            <w:pPr>
              <w:ind w:left="240"/>
              <w:spacing w:after="0"/>
              <w:rPr>
                <w:sz w:val="20"/>
                <w:szCs w:val="20"/>
                <w:color w:val="auto"/>
              </w:rPr>
            </w:pPr>
            <w:r>
              <w:rPr>
                <w:rFonts w:ascii="Arial" w:cs="Arial" w:eastAsia="Arial" w:hAnsi="Arial"/>
                <w:sz w:val="20"/>
                <w:szCs w:val="20"/>
                <w:color w:val="auto"/>
              </w:rPr>
              <w:t>Survival</w:t>
            </w:r>
          </w:p>
        </w:tc>
        <w:tc>
          <w:tcPr>
            <w:tcW w:w="660" w:type="dxa"/>
            <w:vAlign w:val="bottom"/>
            <w:gridSpan w:val="2"/>
          </w:tcPr>
          <w:p>
            <w:pPr>
              <w:jc w:val="right"/>
              <w:spacing w:after="0"/>
              <w:rPr>
                <w:sz w:val="20"/>
                <w:szCs w:val="20"/>
                <w:color w:val="auto"/>
              </w:rPr>
            </w:pPr>
            <w:r>
              <w:rPr>
                <w:rFonts w:ascii="Arial" w:cs="Arial" w:eastAsia="Arial" w:hAnsi="Arial"/>
                <w:sz w:val="20"/>
                <w:szCs w:val="20"/>
                <w:color w:val="auto"/>
              </w:rPr>
              <w:t>40</w:t>
            </w:r>
          </w:p>
        </w:tc>
      </w:tr>
      <w:tr>
        <w:trPr>
          <w:trHeight w:val="425"/>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80" w:type="dxa"/>
            <w:vAlign w:val="bottom"/>
          </w:tcPr>
          <w:p>
            <w:pPr>
              <w:jc w:val="center"/>
              <w:ind w:right="521"/>
              <w:spacing w:after="0"/>
              <w:rPr>
                <w:sz w:val="20"/>
                <w:szCs w:val="20"/>
                <w:color w:val="auto"/>
              </w:rPr>
            </w:pPr>
            <w:r>
              <w:rPr>
                <w:rFonts w:ascii="Arial" w:cs="Arial" w:eastAsia="Arial" w:hAnsi="Arial"/>
                <w:sz w:val="20"/>
                <w:szCs w:val="20"/>
                <w:color w:val="auto"/>
                <w:w w:val="96"/>
              </w:rPr>
              <w:t>ARTICLE IV.</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50"/>
        </w:trPr>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80" w:type="dxa"/>
            <w:vAlign w:val="bottom"/>
          </w:tcPr>
          <w:p>
            <w:pPr>
              <w:jc w:val="center"/>
              <w:ind w:right="501"/>
              <w:spacing w:after="0"/>
              <w:rPr>
                <w:sz w:val="20"/>
                <w:szCs w:val="20"/>
                <w:color w:val="auto"/>
              </w:rPr>
            </w:pPr>
            <w:r>
              <w:rPr>
                <w:rFonts w:ascii="Arial" w:cs="Arial" w:eastAsia="Arial" w:hAnsi="Arial"/>
                <w:sz w:val="20"/>
                <w:szCs w:val="20"/>
                <w:color w:val="auto"/>
                <w:w w:val="94"/>
              </w:rPr>
              <w:t>CONDITIONS PRECEDENT</w:t>
            </w: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317"/>
        </w:trPr>
        <w:tc>
          <w:tcPr>
            <w:tcW w:w="580" w:type="dxa"/>
            <w:vAlign w:val="bottom"/>
          </w:tcPr>
          <w:p>
            <w:pPr>
              <w:spacing w:after="0"/>
              <w:rPr>
                <w:sz w:val="20"/>
                <w:szCs w:val="20"/>
                <w:color w:val="auto"/>
              </w:rPr>
            </w:pPr>
            <w:r>
              <w:rPr>
                <w:rFonts w:ascii="Arial" w:cs="Arial" w:eastAsia="Arial" w:hAnsi="Arial"/>
                <w:sz w:val="20"/>
                <w:szCs w:val="20"/>
                <w:color w:val="auto"/>
              </w:rPr>
              <w:t>4.01</w:t>
            </w:r>
          </w:p>
        </w:tc>
        <w:tc>
          <w:tcPr>
            <w:tcW w:w="9920" w:type="dxa"/>
            <w:vAlign w:val="bottom"/>
            <w:gridSpan w:val="3"/>
          </w:tcPr>
          <w:p>
            <w:pPr>
              <w:ind w:left="240"/>
              <w:spacing w:after="0"/>
              <w:rPr>
                <w:sz w:val="20"/>
                <w:szCs w:val="20"/>
                <w:color w:val="auto"/>
              </w:rPr>
            </w:pPr>
            <w:r>
              <w:rPr>
                <w:rFonts w:ascii="Arial" w:cs="Arial" w:eastAsia="Arial" w:hAnsi="Arial"/>
                <w:sz w:val="20"/>
                <w:szCs w:val="20"/>
                <w:color w:val="auto"/>
              </w:rPr>
              <w:t>Conditions to Effectiveness</w:t>
            </w:r>
          </w:p>
        </w:tc>
        <w:tc>
          <w:tcPr>
            <w:tcW w:w="660" w:type="dxa"/>
            <w:vAlign w:val="bottom"/>
            <w:gridSpan w:val="2"/>
          </w:tcPr>
          <w:p>
            <w:pPr>
              <w:jc w:val="right"/>
              <w:spacing w:after="0"/>
              <w:rPr>
                <w:sz w:val="20"/>
                <w:szCs w:val="20"/>
                <w:color w:val="auto"/>
              </w:rPr>
            </w:pPr>
            <w:r>
              <w:rPr>
                <w:rFonts w:ascii="Arial" w:cs="Arial" w:eastAsia="Arial" w:hAnsi="Arial"/>
                <w:sz w:val="20"/>
                <w:szCs w:val="20"/>
                <w:color w:val="auto"/>
              </w:rPr>
              <w:t>40</w:t>
            </w:r>
          </w:p>
        </w:tc>
      </w:tr>
      <w:tr>
        <w:trPr>
          <w:trHeight w:val="250"/>
        </w:trPr>
        <w:tc>
          <w:tcPr>
            <w:tcW w:w="580" w:type="dxa"/>
            <w:vAlign w:val="bottom"/>
          </w:tcPr>
          <w:p>
            <w:pPr>
              <w:spacing w:after="0"/>
              <w:rPr>
                <w:sz w:val="20"/>
                <w:szCs w:val="20"/>
                <w:color w:val="auto"/>
              </w:rPr>
            </w:pPr>
            <w:r>
              <w:rPr>
                <w:rFonts w:ascii="Arial" w:cs="Arial" w:eastAsia="Arial" w:hAnsi="Arial"/>
                <w:sz w:val="20"/>
                <w:szCs w:val="20"/>
                <w:color w:val="auto"/>
              </w:rPr>
              <w:t>4.02</w:t>
            </w:r>
          </w:p>
        </w:tc>
        <w:tc>
          <w:tcPr>
            <w:tcW w:w="9920" w:type="dxa"/>
            <w:vAlign w:val="bottom"/>
            <w:gridSpan w:val="3"/>
          </w:tcPr>
          <w:p>
            <w:pPr>
              <w:ind w:left="240"/>
              <w:spacing w:after="0"/>
              <w:rPr>
                <w:sz w:val="20"/>
                <w:szCs w:val="20"/>
                <w:color w:val="auto"/>
              </w:rPr>
            </w:pPr>
            <w:r>
              <w:rPr>
                <w:rFonts w:ascii="Arial" w:cs="Arial" w:eastAsia="Arial" w:hAnsi="Arial"/>
                <w:sz w:val="20"/>
                <w:szCs w:val="20"/>
                <w:color w:val="auto"/>
              </w:rPr>
              <w:t>Conditions to Funding Date</w:t>
            </w:r>
          </w:p>
        </w:tc>
        <w:tc>
          <w:tcPr>
            <w:tcW w:w="660" w:type="dxa"/>
            <w:vAlign w:val="bottom"/>
            <w:gridSpan w:val="2"/>
          </w:tcPr>
          <w:p>
            <w:pPr>
              <w:jc w:val="right"/>
              <w:spacing w:after="0"/>
              <w:rPr>
                <w:sz w:val="20"/>
                <w:szCs w:val="20"/>
                <w:color w:val="auto"/>
              </w:rPr>
            </w:pPr>
            <w:r>
              <w:rPr>
                <w:rFonts w:ascii="Arial" w:cs="Arial" w:eastAsia="Arial" w:hAnsi="Arial"/>
                <w:sz w:val="20"/>
                <w:szCs w:val="20"/>
                <w:color w:val="auto"/>
              </w:rPr>
              <w:t>42</w:t>
            </w:r>
          </w:p>
        </w:tc>
      </w:tr>
      <w:tr>
        <w:trPr>
          <w:trHeight w:val="425"/>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80" w:type="dxa"/>
            <w:vAlign w:val="bottom"/>
          </w:tcPr>
          <w:p>
            <w:pPr>
              <w:jc w:val="center"/>
              <w:ind w:right="501"/>
              <w:spacing w:after="0"/>
              <w:rPr>
                <w:sz w:val="20"/>
                <w:szCs w:val="20"/>
                <w:color w:val="auto"/>
              </w:rPr>
            </w:pPr>
            <w:r>
              <w:rPr>
                <w:rFonts w:ascii="Arial" w:cs="Arial" w:eastAsia="Arial" w:hAnsi="Arial"/>
                <w:sz w:val="20"/>
                <w:szCs w:val="20"/>
                <w:color w:val="auto"/>
                <w:w w:val="95"/>
              </w:rPr>
              <w:t>ARTICLE V.</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50"/>
        </w:trPr>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80" w:type="dxa"/>
            <w:vAlign w:val="bottom"/>
          </w:tcPr>
          <w:p>
            <w:pPr>
              <w:jc w:val="center"/>
              <w:ind w:right="501"/>
              <w:spacing w:after="0"/>
              <w:rPr>
                <w:sz w:val="20"/>
                <w:szCs w:val="20"/>
                <w:color w:val="auto"/>
              </w:rPr>
            </w:pPr>
            <w:r>
              <w:rPr>
                <w:rFonts w:ascii="Arial" w:cs="Arial" w:eastAsia="Arial" w:hAnsi="Arial"/>
                <w:sz w:val="20"/>
                <w:szCs w:val="20"/>
                <w:color w:val="auto"/>
                <w:w w:val="93"/>
              </w:rPr>
              <w:t>REPRESENTATIONS AND WARRANTIES</w:t>
            </w: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317"/>
        </w:trPr>
        <w:tc>
          <w:tcPr>
            <w:tcW w:w="580" w:type="dxa"/>
            <w:vAlign w:val="bottom"/>
          </w:tcPr>
          <w:p>
            <w:pPr>
              <w:spacing w:after="0"/>
              <w:rPr>
                <w:sz w:val="20"/>
                <w:szCs w:val="20"/>
                <w:color w:val="auto"/>
              </w:rPr>
            </w:pPr>
            <w:r>
              <w:rPr>
                <w:rFonts w:ascii="Arial" w:cs="Arial" w:eastAsia="Arial" w:hAnsi="Arial"/>
                <w:sz w:val="20"/>
                <w:szCs w:val="20"/>
                <w:color w:val="auto"/>
              </w:rPr>
              <w:t>5.01</w:t>
            </w:r>
          </w:p>
        </w:tc>
        <w:tc>
          <w:tcPr>
            <w:tcW w:w="9920" w:type="dxa"/>
            <w:vAlign w:val="bottom"/>
            <w:gridSpan w:val="3"/>
          </w:tcPr>
          <w:p>
            <w:pPr>
              <w:ind w:left="240"/>
              <w:spacing w:after="0"/>
              <w:rPr>
                <w:sz w:val="20"/>
                <w:szCs w:val="20"/>
                <w:color w:val="auto"/>
              </w:rPr>
            </w:pPr>
            <w:r>
              <w:rPr>
                <w:rFonts w:ascii="Arial" w:cs="Arial" w:eastAsia="Arial" w:hAnsi="Arial"/>
                <w:sz w:val="20"/>
                <w:szCs w:val="20"/>
                <w:color w:val="auto"/>
              </w:rPr>
              <w:t>Existence, Qualification and Power</w:t>
            </w:r>
          </w:p>
        </w:tc>
        <w:tc>
          <w:tcPr>
            <w:tcW w:w="660" w:type="dxa"/>
            <w:vAlign w:val="bottom"/>
            <w:gridSpan w:val="2"/>
          </w:tcPr>
          <w:p>
            <w:pPr>
              <w:jc w:val="right"/>
              <w:spacing w:after="0"/>
              <w:rPr>
                <w:sz w:val="20"/>
                <w:szCs w:val="20"/>
                <w:color w:val="auto"/>
              </w:rPr>
            </w:pPr>
            <w:r>
              <w:rPr>
                <w:rFonts w:ascii="Arial" w:cs="Arial" w:eastAsia="Arial" w:hAnsi="Arial"/>
                <w:sz w:val="20"/>
                <w:szCs w:val="20"/>
                <w:color w:val="auto"/>
              </w:rPr>
              <w:t>42</w:t>
            </w:r>
          </w:p>
        </w:tc>
      </w:tr>
      <w:tr>
        <w:trPr>
          <w:trHeight w:val="229"/>
        </w:trPr>
        <w:tc>
          <w:tcPr>
            <w:tcW w:w="580" w:type="dxa"/>
            <w:vAlign w:val="bottom"/>
          </w:tcPr>
          <w:p>
            <w:pPr>
              <w:spacing w:after="0"/>
              <w:rPr>
                <w:sz w:val="20"/>
                <w:szCs w:val="20"/>
                <w:color w:val="auto"/>
              </w:rPr>
            </w:pPr>
            <w:r>
              <w:rPr>
                <w:rFonts w:ascii="Arial" w:cs="Arial" w:eastAsia="Arial" w:hAnsi="Arial"/>
                <w:sz w:val="20"/>
                <w:szCs w:val="20"/>
                <w:color w:val="auto"/>
              </w:rPr>
              <w:t>5.02</w:t>
            </w:r>
          </w:p>
        </w:tc>
        <w:tc>
          <w:tcPr>
            <w:tcW w:w="9920" w:type="dxa"/>
            <w:vAlign w:val="bottom"/>
            <w:gridSpan w:val="3"/>
          </w:tcPr>
          <w:p>
            <w:pPr>
              <w:ind w:left="240"/>
              <w:spacing w:after="0"/>
              <w:rPr>
                <w:sz w:val="20"/>
                <w:szCs w:val="20"/>
                <w:color w:val="auto"/>
              </w:rPr>
            </w:pPr>
            <w:r>
              <w:rPr>
                <w:rFonts w:ascii="Arial" w:cs="Arial" w:eastAsia="Arial" w:hAnsi="Arial"/>
                <w:sz w:val="20"/>
                <w:szCs w:val="20"/>
                <w:color w:val="auto"/>
              </w:rPr>
              <w:t>Authorization; No Contravention</w:t>
            </w:r>
          </w:p>
        </w:tc>
        <w:tc>
          <w:tcPr>
            <w:tcW w:w="660" w:type="dxa"/>
            <w:vAlign w:val="bottom"/>
            <w:gridSpan w:val="2"/>
          </w:tcPr>
          <w:p>
            <w:pPr>
              <w:jc w:val="right"/>
              <w:spacing w:after="0"/>
              <w:rPr>
                <w:sz w:val="20"/>
                <w:szCs w:val="20"/>
                <w:color w:val="auto"/>
              </w:rPr>
            </w:pPr>
            <w:r>
              <w:rPr>
                <w:rFonts w:ascii="Arial" w:cs="Arial" w:eastAsia="Arial" w:hAnsi="Arial"/>
                <w:sz w:val="20"/>
                <w:szCs w:val="20"/>
                <w:color w:val="auto"/>
              </w:rPr>
              <w:t>43</w:t>
            </w:r>
          </w:p>
        </w:tc>
      </w:tr>
      <w:tr>
        <w:trPr>
          <w:trHeight w:val="229"/>
        </w:trPr>
        <w:tc>
          <w:tcPr>
            <w:tcW w:w="580" w:type="dxa"/>
            <w:vAlign w:val="bottom"/>
          </w:tcPr>
          <w:p>
            <w:pPr>
              <w:spacing w:after="0"/>
              <w:rPr>
                <w:sz w:val="20"/>
                <w:szCs w:val="20"/>
                <w:color w:val="auto"/>
              </w:rPr>
            </w:pPr>
            <w:r>
              <w:rPr>
                <w:rFonts w:ascii="Arial" w:cs="Arial" w:eastAsia="Arial" w:hAnsi="Arial"/>
                <w:sz w:val="20"/>
                <w:szCs w:val="20"/>
                <w:color w:val="auto"/>
              </w:rPr>
              <w:t>5.03</w:t>
            </w:r>
          </w:p>
        </w:tc>
        <w:tc>
          <w:tcPr>
            <w:tcW w:w="9920" w:type="dxa"/>
            <w:vAlign w:val="bottom"/>
            <w:gridSpan w:val="3"/>
          </w:tcPr>
          <w:p>
            <w:pPr>
              <w:ind w:left="240"/>
              <w:spacing w:after="0"/>
              <w:rPr>
                <w:sz w:val="20"/>
                <w:szCs w:val="20"/>
                <w:color w:val="auto"/>
              </w:rPr>
            </w:pPr>
            <w:r>
              <w:rPr>
                <w:rFonts w:ascii="Arial" w:cs="Arial" w:eastAsia="Arial" w:hAnsi="Arial"/>
                <w:sz w:val="20"/>
                <w:szCs w:val="20"/>
                <w:color w:val="auto"/>
              </w:rPr>
              <w:t>Governmental Authorization; Other Consents</w:t>
            </w:r>
          </w:p>
        </w:tc>
        <w:tc>
          <w:tcPr>
            <w:tcW w:w="660" w:type="dxa"/>
            <w:vAlign w:val="bottom"/>
            <w:gridSpan w:val="2"/>
          </w:tcPr>
          <w:p>
            <w:pPr>
              <w:jc w:val="right"/>
              <w:spacing w:after="0"/>
              <w:rPr>
                <w:sz w:val="20"/>
                <w:szCs w:val="20"/>
                <w:color w:val="auto"/>
              </w:rPr>
            </w:pPr>
            <w:r>
              <w:rPr>
                <w:rFonts w:ascii="Arial" w:cs="Arial" w:eastAsia="Arial" w:hAnsi="Arial"/>
                <w:sz w:val="20"/>
                <w:szCs w:val="20"/>
                <w:color w:val="auto"/>
              </w:rPr>
              <w:t>43</w:t>
            </w:r>
          </w:p>
        </w:tc>
      </w:tr>
      <w:tr>
        <w:trPr>
          <w:trHeight w:val="250"/>
        </w:trPr>
        <w:tc>
          <w:tcPr>
            <w:tcW w:w="580" w:type="dxa"/>
            <w:vAlign w:val="bottom"/>
          </w:tcPr>
          <w:p>
            <w:pPr>
              <w:spacing w:after="0"/>
              <w:rPr>
                <w:sz w:val="20"/>
                <w:szCs w:val="20"/>
                <w:color w:val="auto"/>
              </w:rPr>
            </w:pPr>
            <w:r>
              <w:rPr>
                <w:rFonts w:ascii="Arial" w:cs="Arial" w:eastAsia="Arial" w:hAnsi="Arial"/>
                <w:sz w:val="20"/>
                <w:szCs w:val="20"/>
                <w:color w:val="auto"/>
              </w:rPr>
              <w:t>5.04</w:t>
            </w:r>
          </w:p>
        </w:tc>
        <w:tc>
          <w:tcPr>
            <w:tcW w:w="9920" w:type="dxa"/>
            <w:vAlign w:val="bottom"/>
            <w:gridSpan w:val="3"/>
          </w:tcPr>
          <w:p>
            <w:pPr>
              <w:ind w:left="240"/>
              <w:spacing w:after="0"/>
              <w:rPr>
                <w:sz w:val="20"/>
                <w:szCs w:val="20"/>
                <w:color w:val="auto"/>
              </w:rPr>
            </w:pPr>
            <w:r>
              <w:rPr>
                <w:rFonts w:ascii="Arial" w:cs="Arial" w:eastAsia="Arial" w:hAnsi="Arial"/>
                <w:sz w:val="20"/>
                <w:szCs w:val="20"/>
                <w:color w:val="auto"/>
              </w:rPr>
              <w:t>Binding Effect</w:t>
            </w:r>
          </w:p>
        </w:tc>
        <w:tc>
          <w:tcPr>
            <w:tcW w:w="660" w:type="dxa"/>
            <w:vAlign w:val="bottom"/>
            <w:gridSpan w:val="2"/>
          </w:tcPr>
          <w:p>
            <w:pPr>
              <w:jc w:val="right"/>
              <w:spacing w:after="0"/>
              <w:rPr>
                <w:sz w:val="20"/>
                <w:szCs w:val="20"/>
                <w:color w:val="auto"/>
              </w:rPr>
            </w:pPr>
            <w:r>
              <w:rPr>
                <w:rFonts w:ascii="Arial" w:cs="Arial" w:eastAsia="Arial" w:hAnsi="Arial"/>
                <w:sz w:val="20"/>
                <w:szCs w:val="20"/>
                <w:color w:val="auto"/>
              </w:rPr>
              <w:t>43</w:t>
            </w:r>
          </w:p>
        </w:tc>
      </w:tr>
    </w:tbl>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170180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80" w:top="400"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20"/>
                <w:szCs w:val="20"/>
                <w:color w:val="auto"/>
              </w:rPr>
              <w:t>5.05</w:t>
            </w:r>
          </w:p>
        </w:tc>
        <w:tc>
          <w:tcPr>
            <w:tcW w:w="8600" w:type="dxa"/>
            <w:vAlign w:val="bottom"/>
          </w:tcPr>
          <w:p>
            <w:pPr>
              <w:ind w:left="240"/>
              <w:spacing w:after="0"/>
              <w:rPr>
                <w:sz w:val="20"/>
                <w:szCs w:val="20"/>
                <w:color w:val="auto"/>
              </w:rPr>
            </w:pPr>
            <w:r>
              <w:rPr>
                <w:rFonts w:ascii="Arial" w:cs="Arial" w:eastAsia="Arial" w:hAnsi="Arial"/>
                <w:sz w:val="20"/>
                <w:szCs w:val="20"/>
                <w:color w:val="auto"/>
              </w:rPr>
              <w:t>Financial Statements; No Material Adverse Effect</w:t>
            </w:r>
          </w:p>
        </w:tc>
        <w:tc>
          <w:tcPr>
            <w:tcW w:w="198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29"/>
        </w:trPr>
        <w:tc>
          <w:tcPr>
            <w:tcW w:w="580" w:type="dxa"/>
            <w:vAlign w:val="bottom"/>
          </w:tcPr>
          <w:p>
            <w:pPr>
              <w:spacing w:after="0"/>
              <w:rPr>
                <w:sz w:val="20"/>
                <w:szCs w:val="20"/>
                <w:color w:val="auto"/>
              </w:rPr>
            </w:pPr>
            <w:r>
              <w:rPr>
                <w:rFonts w:ascii="Arial" w:cs="Arial" w:eastAsia="Arial" w:hAnsi="Arial"/>
                <w:sz w:val="20"/>
                <w:szCs w:val="20"/>
                <w:color w:val="auto"/>
              </w:rPr>
              <w:t>5.06</w:t>
            </w:r>
          </w:p>
        </w:tc>
        <w:tc>
          <w:tcPr>
            <w:tcW w:w="8600" w:type="dxa"/>
            <w:vAlign w:val="bottom"/>
          </w:tcPr>
          <w:p>
            <w:pPr>
              <w:ind w:left="240"/>
              <w:spacing w:after="0"/>
              <w:rPr>
                <w:sz w:val="20"/>
                <w:szCs w:val="20"/>
                <w:color w:val="auto"/>
              </w:rPr>
            </w:pPr>
            <w:r>
              <w:rPr>
                <w:rFonts w:ascii="Arial" w:cs="Arial" w:eastAsia="Arial" w:hAnsi="Arial"/>
                <w:sz w:val="20"/>
                <w:szCs w:val="20"/>
                <w:color w:val="auto"/>
              </w:rPr>
              <w:t>Litigation</w:t>
            </w:r>
          </w:p>
        </w:tc>
        <w:tc>
          <w:tcPr>
            <w:tcW w:w="198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30"/>
        </w:trPr>
        <w:tc>
          <w:tcPr>
            <w:tcW w:w="580" w:type="dxa"/>
            <w:vAlign w:val="bottom"/>
          </w:tcPr>
          <w:p>
            <w:pPr>
              <w:spacing w:after="0"/>
              <w:rPr>
                <w:sz w:val="20"/>
                <w:szCs w:val="20"/>
                <w:color w:val="auto"/>
              </w:rPr>
            </w:pPr>
            <w:r>
              <w:rPr>
                <w:rFonts w:ascii="Arial" w:cs="Arial" w:eastAsia="Arial" w:hAnsi="Arial"/>
                <w:sz w:val="20"/>
                <w:szCs w:val="20"/>
                <w:color w:val="auto"/>
              </w:rPr>
              <w:t>5.07</w:t>
            </w:r>
          </w:p>
        </w:tc>
        <w:tc>
          <w:tcPr>
            <w:tcW w:w="8600" w:type="dxa"/>
            <w:vAlign w:val="bottom"/>
          </w:tcPr>
          <w:p>
            <w:pPr>
              <w:ind w:left="240"/>
              <w:spacing w:after="0"/>
              <w:rPr>
                <w:sz w:val="20"/>
                <w:szCs w:val="20"/>
                <w:color w:val="auto"/>
              </w:rPr>
            </w:pPr>
            <w:r>
              <w:rPr>
                <w:rFonts w:ascii="Arial" w:cs="Arial" w:eastAsia="Arial" w:hAnsi="Arial"/>
                <w:sz w:val="20"/>
                <w:szCs w:val="20"/>
                <w:color w:val="auto"/>
              </w:rPr>
              <w:t>No Default</w:t>
            </w:r>
          </w:p>
        </w:tc>
        <w:tc>
          <w:tcPr>
            <w:tcW w:w="198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29"/>
        </w:trPr>
        <w:tc>
          <w:tcPr>
            <w:tcW w:w="580" w:type="dxa"/>
            <w:vAlign w:val="bottom"/>
          </w:tcPr>
          <w:p>
            <w:pPr>
              <w:spacing w:after="0"/>
              <w:rPr>
                <w:sz w:val="20"/>
                <w:szCs w:val="20"/>
                <w:color w:val="auto"/>
              </w:rPr>
            </w:pPr>
            <w:r>
              <w:rPr>
                <w:rFonts w:ascii="Arial" w:cs="Arial" w:eastAsia="Arial" w:hAnsi="Arial"/>
                <w:sz w:val="20"/>
                <w:szCs w:val="20"/>
                <w:color w:val="auto"/>
              </w:rPr>
              <w:t>5.08</w:t>
            </w:r>
          </w:p>
        </w:tc>
        <w:tc>
          <w:tcPr>
            <w:tcW w:w="8600" w:type="dxa"/>
            <w:vAlign w:val="bottom"/>
          </w:tcPr>
          <w:p>
            <w:pPr>
              <w:ind w:left="240"/>
              <w:spacing w:after="0"/>
              <w:rPr>
                <w:sz w:val="20"/>
                <w:szCs w:val="20"/>
                <w:color w:val="auto"/>
              </w:rPr>
            </w:pPr>
            <w:r>
              <w:rPr>
                <w:rFonts w:ascii="Arial" w:cs="Arial" w:eastAsia="Arial" w:hAnsi="Arial"/>
                <w:sz w:val="20"/>
                <w:szCs w:val="20"/>
                <w:color w:val="auto"/>
              </w:rPr>
              <w:t>Ownership of Property; Liens</w:t>
            </w:r>
          </w:p>
        </w:tc>
        <w:tc>
          <w:tcPr>
            <w:tcW w:w="198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29"/>
        </w:trPr>
        <w:tc>
          <w:tcPr>
            <w:tcW w:w="580" w:type="dxa"/>
            <w:vAlign w:val="bottom"/>
          </w:tcPr>
          <w:p>
            <w:pPr>
              <w:spacing w:after="0"/>
              <w:rPr>
                <w:sz w:val="20"/>
                <w:szCs w:val="20"/>
                <w:color w:val="auto"/>
              </w:rPr>
            </w:pPr>
            <w:r>
              <w:rPr>
                <w:rFonts w:ascii="Arial" w:cs="Arial" w:eastAsia="Arial" w:hAnsi="Arial"/>
                <w:sz w:val="20"/>
                <w:szCs w:val="20"/>
                <w:color w:val="auto"/>
              </w:rPr>
              <w:t>5.09</w:t>
            </w:r>
          </w:p>
        </w:tc>
        <w:tc>
          <w:tcPr>
            <w:tcW w:w="8600" w:type="dxa"/>
            <w:vAlign w:val="bottom"/>
          </w:tcPr>
          <w:p>
            <w:pPr>
              <w:ind w:left="240"/>
              <w:spacing w:after="0"/>
              <w:rPr>
                <w:sz w:val="20"/>
                <w:szCs w:val="20"/>
                <w:color w:val="auto"/>
              </w:rPr>
            </w:pPr>
            <w:r>
              <w:rPr>
                <w:rFonts w:ascii="Arial" w:cs="Arial" w:eastAsia="Arial" w:hAnsi="Arial"/>
                <w:sz w:val="20"/>
                <w:szCs w:val="20"/>
                <w:color w:val="auto"/>
              </w:rPr>
              <w:t>Environmental Compliance</w:t>
            </w:r>
          </w:p>
        </w:tc>
        <w:tc>
          <w:tcPr>
            <w:tcW w:w="198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30"/>
        </w:trPr>
        <w:tc>
          <w:tcPr>
            <w:tcW w:w="580" w:type="dxa"/>
            <w:vAlign w:val="bottom"/>
          </w:tcPr>
          <w:p>
            <w:pPr>
              <w:spacing w:after="0"/>
              <w:rPr>
                <w:sz w:val="20"/>
                <w:szCs w:val="20"/>
                <w:color w:val="auto"/>
              </w:rPr>
            </w:pPr>
            <w:r>
              <w:rPr>
                <w:rFonts w:ascii="Arial" w:cs="Arial" w:eastAsia="Arial" w:hAnsi="Arial"/>
                <w:sz w:val="20"/>
                <w:szCs w:val="20"/>
                <w:color w:val="auto"/>
              </w:rPr>
              <w:t>5.10</w:t>
            </w:r>
          </w:p>
        </w:tc>
        <w:tc>
          <w:tcPr>
            <w:tcW w:w="8600" w:type="dxa"/>
            <w:vAlign w:val="bottom"/>
          </w:tcPr>
          <w:p>
            <w:pPr>
              <w:ind w:left="240"/>
              <w:spacing w:after="0"/>
              <w:rPr>
                <w:sz w:val="20"/>
                <w:szCs w:val="20"/>
                <w:color w:val="auto"/>
              </w:rPr>
            </w:pPr>
            <w:r>
              <w:rPr>
                <w:rFonts w:ascii="Arial" w:cs="Arial" w:eastAsia="Arial" w:hAnsi="Arial"/>
                <w:sz w:val="20"/>
                <w:szCs w:val="20"/>
                <w:color w:val="auto"/>
              </w:rPr>
              <w:t>Insurance</w:t>
            </w:r>
          </w:p>
        </w:tc>
        <w:tc>
          <w:tcPr>
            <w:tcW w:w="198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29"/>
        </w:trPr>
        <w:tc>
          <w:tcPr>
            <w:tcW w:w="580" w:type="dxa"/>
            <w:vAlign w:val="bottom"/>
          </w:tcPr>
          <w:p>
            <w:pPr>
              <w:spacing w:after="0"/>
              <w:rPr>
                <w:sz w:val="20"/>
                <w:szCs w:val="20"/>
                <w:color w:val="auto"/>
              </w:rPr>
            </w:pPr>
            <w:r>
              <w:rPr>
                <w:rFonts w:ascii="Arial" w:cs="Arial" w:eastAsia="Arial" w:hAnsi="Arial"/>
                <w:sz w:val="20"/>
                <w:szCs w:val="20"/>
                <w:color w:val="auto"/>
              </w:rPr>
              <w:t>5.11</w:t>
            </w:r>
          </w:p>
        </w:tc>
        <w:tc>
          <w:tcPr>
            <w:tcW w:w="8600" w:type="dxa"/>
            <w:vAlign w:val="bottom"/>
          </w:tcPr>
          <w:p>
            <w:pPr>
              <w:ind w:left="240"/>
              <w:spacing w:after="0"/>
              <w:rPr>
                <w:sz w:val="20"/>
                <w:szCs w:val="20"/>
                <w:color w:val="auto"/>
              </w:rPr>
            </w:pPr>
            <w:r>
              <w:rPr>
                <w:rFonts w:ascii="Arial" w:cs="Arial" w:eastAsia="Arial" w:hAnsi="Arial"/>
                <w:sz w:val="20"/>
                <w:szCs w:val="20"/>
                <w:color w:val="auto"/>
              </w:rPr>
              <w:t>Taxes</w:t>
            </w:r>
          </w:p>
        </w:tc>
        <w:tc>
          <w:tcPr>
            <w:tcW w:w="198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29"/>
        </w:trPr>
        <w:tc>
          <w:tcPr>
            <w:tcW w:w="580" w:type="dxa"/>
            <w:vAlign w:val="bottom"/>
          </w:tcPr>
          <w:p>
            <w:pPr>
              <w:spacing w:after="0"/>
              <w:rPr>
                <w:sz w:val="20"/>
                <w:szCs w:val="20"/>
                <w:color w:val="auto"/>
              </w:rPr>
            </w:pPr>
            <w:r>
              <w:rPr>
                <w:rFonts w:ascii="Arial" w:cs="Arial" w:eastAsia="Arial" w:hAnsi="Arial"/>
                <w:sz w:val="20"/>
                <w:szCs w:val="20"/>
                <w:color w:val="auto"/>
              </w:rPr>
              <w:t>5.12</w:t>
            </w:r>
          </w:p>
        </w:tc>
        <w:tc>
          <w:tcPr>
            <w:tcW w:w="8600" w:type="dxa"/>
            <w:vAlign w:val="bottom"/>
          </w:tcPr>
          <w:p>
            <w:pPr>
              <w:ind w:left="240"/>
              <w:spacing w:after="0"/>
              <w:rPr>
                <w:sz w:val="20"/>
                <w:szCs w:val="20"/>
                <w:color w:val="auto"/>
              </w:rPr>
            </w:pPr>
            <w:r>
              <w:rPr>
                <w:rFonts w:ascii="Arial" w:cs="Arial" w:eastAsia="Arial" w:hAnsi="Arial"/>
                <w:sz w:val="20"/>
                <w:szCs w:val="20"/>
                <w:color w:val="auto"/>
              </w:rPr>
              <w:t>ERISA Compliance</w:t>
            </w:r>
          </w:p>
        </w:tc>
        <w:tc>
          <w:tcPr>
            <w:tcW w:w="198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30"/>
        </w:trPr>
        <w:tc>
          <w:tcPr>
            <w:tcW w:w="580" w:type="dxa"/>
            <w:vAlign w:val="bottom"/>
          </w:tcPr>
          <w:p>
            <w:pPr>
              <w:spacing w:after="0"/>
              <w:rPr>
                <w:sz w:val="20"/>
                <w:szCs w:val="20"/>
                <w:color w:val="auto"/>
              </w:rPr>
            </w:pPr>
            <w:r>
              <w:rPr>
                <w:rFonts w:ascii="Arial" w:cs="Arial" w:eastAsia="Arial" w:hAnsi="Arial"/>
                <w:sz w:val="20"/>
                <w:szCs w:val="20"/>
                <w:color w:val="auto"/>
              </w:rPr>
              <w:t>5.13</w:t>
            </w:r>
          </w:p>
        </w:tc>
        <w:tc>
          <w:tcPr>
            <w:tcW w:w="8600" w:type="dxa"/>
            <w:vAlign w:val="bottom"/>
          </w:tcPr>
          <w:p>
            <w:pPr>
              <w:ind w:left="240"/>
              <w:spacing w:after="0"/>
              <w:rPr>
                <w:sz w:val="20"/>
                <w:szCs w:val="20"/>
                <w:color w:val="auto"/>
              </w:rPr>
            </w:pPr>
            <w:r>
              <w:rPr>
                <w:rFonts w:ascii="Arial" w:cs="Arial" w:eastAsia="Arial" w:hAnsi="Arial"/>
                <w:sz w:val="20"/>
                <w:szCs w:val="20"/>
                <w:color w:val="auto"/>
              </w:rPr>
              <w:t>Subsidiaries; Equity Interests</w:t>
            </w:r>
          </w:p>
        </w:tc>
        <w:tc>
          <w:tcPr>
            <w:tcW w:w="198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29"/>
        </w:trPr>
        <w:tc>
          <w:tcPr>
            <w:tcW w:w="580" w:type="dxa"/>
            <w:vAlign w:val="bottom"/>
          </w:tcPr>
          <w:p>
            <w:pPr>
              <w:spacing w:after="0"/>
              <w:rPr>
                <w:sz w:val="20"/>
                <w:szCs w:val="20"/>
                <w:color w:val="auto"/>
              </w:rPr>
            </w:pPr>
            <w:r>
              <w:rPr>
                <w:rFonts w:ascii="Arial" w:cs="Arial" w:eastAsia="Arial" w:hAnsi="Arial"/>
                <w:sz w:val="20"/>
                <w:szCs w:val="20"/>
                <w:color w:val="auto"/>
              </w:rPr>
              <w:t>5.14</w:t>
            </w:r>
          </w:p>
        </w:tc>
        <w:tc>
          <w:tcPr>
            <w:tcW w:w="8600" w:type="dxa"/>
            <w:vAlign w:val="bottom"/>
          </w:tcPr>
          <w:p>
            <w:pPr>
              <w:ind w:left="240"/>
              <w:spacing w:after="0"/>
              <w:rPr>
                <w:sz w:val="20"/>
                <w:szCs w:val="20"/>
                <w:color w:val="auto"/>
              </w:rPr>
            </w:pPr>
            <w:r>
              <w:rPr>
                <w:rFonts w:ascii="Arial" w:cs="Arial" w:eastAsia="Arial" w:hAnsi="Arial"/>
                <w:sz w:val="20"/>
                <w:szCs w:val="20"/>
                <w:color w:val="auto"/>
              </w:rPr>
              <w:t>Margin Regulations; Investment Company Act</w:t>
            </w:r>
          </w:p>
        </w:tc>
        <w:tc>
          <w:tcPr>
            <w:tcW w:w="198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30"/>
        </w:trPr>
        <w:tc>
          <w:tcPr>
            <w:tcW w:w="580" w:type="dxa"/>
            <w:vAlign w:val="bottom"/>
          </w:tcPr>
          <w:p>
            <w:pPr>
              <w:spacing w:after="0"/>
              <w:rPr>
                <w:sz w:val="20"/>
                <w:szCs w:val="20"/>
                <w:color w:val="auto"/>
              </w:rPr>
            </w:pPr>
            <w:r>
              <w:rPr>
                <w:rFonts w:ascii="Arial" w:cs="Arial" w:eastAsia="Arial" w:hAnsi="Arial"/>
                <w:sz w:val="20"/>
                <w:szCs w:val="20"/>
                <w:color w:val="auto"/>
              </w:rPr>
              <w:t>5.15</w:t>
            </w:r>
          </w:p>
        </w:tc>
        <w:tc>
          <w:tcPr>
            <w:tcW w:w="8600" w:type="dxa"/>
            <w:vAlign w:val="bottom"/>
          </w:tcPr>
          <w:p>
            <w:pPr>
              <w:ind w:left="240"/>
              <w:spacing w:after="0"/>
              <w:rPr>
                <w:sz w:val="20"/>
                <w:szCs w:val="20"/>
                <w:color w:val="auto"/>
              </w:rPr>
            </w:pPr>
            <w:r>
              <w:rPr>
                <w:rFonts w:ascii="Arial" w:cs="Arial" w:eastAsia="Arial" w:hAnsi="Arial"/>
                <w:sz w:val="20"/>
                <w:szCs w:val="20"/>
                <w:color w:val="auto"/>
              </w:rPr>
              <w:t>Copyrights, Patents, Trademarks and Licenses, Etc</w:t>
            </w:r>
          </w:p>
        </w:tc>
        <w:tc>
          <w:tcPr>
            <w:tcW w:w="198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29"/>
        </w:trPr>
        <w:tc>
          <w:tcPr>
            <w:tcW w:w="580" w:type="dxa"/>
            <w:vAlign w:val="bottom"/>
          </w:tcPr>
          <w:p>
            <w:pPr>
              <w:spacing w:after="0"/>
              <w:rPr>
                <w:sz w:val="20"/>
                <w:szCs w:val="20"/>
                <w:color w:val="auto"/>
              </w:rPr>
            </w:pPr>
            <w:r>
              <w:rPr>
                <w:rFonts w:ascii="Arial" w:cs="Arial" w:eastAsia="Arial" w:hAnsi="Arial"/>
                <w:sz w:val="20"/>
                <w:szCs w:val="20"/>
                <w:color w:val="auto"/>
              </w:rPr>
              <w:t>5.16</w:t>
            </w:r>
          </w:p>
        </w:tc>
        <w:tc>
          <w:tcPr>
            <w:tcW w:w="8600" w:type="dxa"/>
            <w:vAlign w:val="bottom"/>
          </w:tcPr>
          <w:p>
            <w:pPr>
              <w:ind w:left="240"/>
              <w:spacing w:after="0"/>
              <w:rPr>
                <w:sz w:val="20"/>
                <w:szCs w:val="20"/>
                <w:color w:val="auto"/>
              </w:rPr>
            </w:pPr>
            <w:r>
              <w:rPr>
                <w:rFonts w:ascii="Arial" w:cs="Arial" w:eastAsia="Arial" w:hAnsi="Arial"/>
                <w:sz w:val="20"/>
                <w:szCs w:val="20"/>
                <w:color w:val="auto"/>
              </w:rPr>
              <w:t>Disclosure</w:t>
            </w:r>
          </w:p>
        </w:tc>
        <w:tc>
          <w:tcPr>
            <w:tcW w:w="198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29"/>
        </w:trPr>
        <w:tc>
          <w:tcPr>
            <w:tcW w:w="580" w:type="dxa"/>
            <w:vAlign w:val="bottom"/>
          </w:tcPr>
          <w:p>
            <w:pPr>
              <w:spacing w:after="0"/>
              <w:rPr>
                <w:sz w:val="20"/>
                <w:szCs w:val="20"/>
                <w:color w:val="auto"/>
              </w:rPr>
            </w:pPr>
            <w:r>
              <w:rPr>
                <w:rFonts w:ascii="Arial" w:cs="Arial" w:eastAsia="Arial" w:hAnsi="Arial"/>
                <w:sz w:val="20"/>
                <w:szCs w:val="20"/>
                <w:color w:val="auto"/>
              </w:rPr>
              <w:t>5.17</w:t>
            </w:r>
          </w:p>
        </w:tc>
        <w:tc>
          <w:tcPr>
            <w:tcW w:w="8600" w:type="dxa"/>
            <w:vAlign w:val="bottom"/>
          </w:tcPr>
          <w:p>
            <w:pPr>
              <w:ind w:left="240"/>
              <w:spacing w:after="0"/>
              <w:rPr>
                <w:sz w:val="20"/>
                <w:szCs w:val="20"/>
                <w:color w:val="auto"/>
              </w:rPr>
            </w:pPr>
            <w:r>
              <w:rPr>
                <w:rFonts w:ascii="Arial" w:cs="Arial" w:eastAsia="Arial" w:hAnsi="Arial"/>
                <w:sz w:val="20"/>
                <w:szCs w:val="20"/>
                <w:color w:val="auto"/>
              </w:rPr>
              <w:t>Compliance with Laws</w:t>
            </w:r>
          </w:p>
        </w:tc>
        <w:tc>
          <w:tcPr>
            <w:tcW w:w="198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30"/>
        </w:trPr>
        <w:tc>
          <w:tcPr>
            <w:tcW w:w="580" w:type="dxa"/>
            <w:vAlign w:val="bottom"/>
          </w:tcPr>
          <w:p>
            <w:pPr>
              <w:spacing w:after="0"/>
              <w:rPr>
                <w:sz w:val="20"/>
                <w:szCs w:val="20"/>
                <w:color w:val="auto"/>
              </w:rPr>
            </w:pPr>
            <w:r>
              <w:rPr>
                <w:rFonts w:ascii="Arial" w:cs="Arial" w:eastAsia="Arial" w:hAnsi="Arial"/>
                <w:sz w:val="20"/>
                <w:szCs w:val="20"/>
                <w:color w:val="auto"/>
              </w:rPr>
              <w:t>5.18</w:t>
            </w:r>
          </w:p>
        </w:tc>
        <w:tc>
          <w:tcPr>
            <w:tcW w:w="8600" w:type="dxa"/>
            <w:vAlign w:val="bottom"/>
          </w:tcPr>
          <w:p>
            <w:pPr>
              <w:ind w:left="240"/>
              <w:spacing w:after="0"/>
              <w:rPr>
                <w:sz w:val="20"/>
                <w:szCs w:val="20"/>
                <w:color w:val="auto"/>
              </w:rPr>
            </w:pPr>
            <w:r>
              <w:rPr>
                <w:rFonts w:ascii="Arial" w:cs="Arial" w:eastAsia="Arial" w:hAnsi="Arial"/>
                <w:sz w:val="20"/>
                <w:szCs w:val="20"/>
                <w:color w:val="auto"/>
              </w:rPr>
              <w:t>Taxpayer Identification Number; Other Identifying Information</w:t>
            </w:r>
          </w:p>
        </w:tc>
        <w:tc>
          <w:tcPr>
            <w:tcW w:w="198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29"/>
        </w:trPr>
        <w:tc>
          <w:tcPr>
            <w:tcW w:w="580" w:type="dxa"/>
            <w:vAlign w:val="bottom"/>
          </w:tcPr>
          <w:p>
            <w:pPr>
              <w:spacing w:after="0"/>
              <w:rPr>
                <w:sz w:val="20"/>
                <w:szCs w:val="20"/>
                <w:color w:val="auto"/>
              </w:rPr>
            </w:pPr>
            <w:r>
              <w:rPr>
                <w:rFonts w:ascii="Arial" w:cs="Arial" w:eastAsia="Arial" w:hAnsi="Arial"/>
                <w:sz w:val="20"/>
                <w:szCs w:val="20"/>
                <w:color w:val="auto"/>
              </w:rPr>
              <w:t>5.19</w:t>
            </w:r>
          </w:p>
        </w:tc>
        <w:tc>
          <w:tcPr>
            <w:tcW w:w="8600" w:type="dxa"/>
            <w:vAlign w:val="bottom"/>
          </w:tcPr>
          <w:p>
            <w:pPr>
              <w:ind w:left="240"/>
              <w:spacing w:after="0"/>
              <w:rPr>
                <w:sz w:val="20"/>
                <w:szCs w:val="20"/>
                <w:color w:val="auto"/>
              </w:rPr>
            </w:pPr>
            <w:r>
              <w:rPr>
                <w:rFonts w:ascii="Arial" w:cs="Arial" w:eastAsia="Arial" w:hAnsi="Arial"/>
                <w:sz w:val="20"/>
                <w:szCs w:val="20"/>
                <w:color w:val="auto"/>
              </w:rPr>
              <w:t>OFAC</w:t>
            </w:r>
          </w:p>
        </w:tc>
        <w:tc>
          <w:tcPr>
            <w:tcW w:w="198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29"/>
        </w:trPr>
        <w:tc>
          <w:tcPr>
            <w:tcW w:w="580" w:type="dxa"/>
            <w:vAlign w:val="bottom"/>
          </w:tcPr>
          <w:p>
            <w:pPr>
              <w:spacing w:after="0"/>
              <w:rPr>
                <w:sz w:val="20"/>
                <w:szCs w:val="20"/>
                <w:color w:val="auto"/>
              </w:rPr>
            </w:pPr>
            <w:r>
              <w:rPr>
                <w:rFonts w:ascii="Arial" w:cs="Arial" w:eastAsia="Arial" w:hAnsi="Arial"/>
                <w:sz w:val="20"/>
                <w:szCs w:val="20"/>
                <w:color w:val="auto"/>
              </w:rPr>
              <w:t>5.20</w:t>
            </w:r>
          </w:p>
        </w:tc>
        <w:tc>
          <w:tcPr>
            <w:tcW w:w="8600" w:type="dxa"/>
            <w:vAlign w:val="bottom"/>
          </w:tcPr>
          <w:p>
            <w:pPr>
              <w:ind w:left="240"/>
              <w:spacing w:after="0"/>
              <w:rPr>
                <w:sz w:val="20"/>
                <w:szCs w:val="20"/>
                <w:color w:val="auto"/>
              </w:rPr>
            </w:pPr>
            <w:r>
              <w:rPr>
                <w:rFonts w:ascii="Arial" w:cs="Arial" w:eastAsia="Arial" w:hAnsi="Arial"/>
                <w:sz w:val="20"/>
                <w:szCs w:val="20"/>
                <w:color w:val="auto"/>
              </w:rPr>
              <w:t>Anti-Corruption Laws</w:t>
            </w:r>
          </w:p>
        </w:tc>
        <w:tc>
          <w:tcPr>
            <w:tcW w:w="198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30"/>
        </w:trPr>
        <w:tc>
          <w:tcPr>
            <w:tcW w:w="580" w:type="dxa"/>
            <w:vAlign w:val="bottom"/>
          </w:tcPr>
          <w:p>
            <w:pPr>
              <w:spacing w:after="0"/>
              <w:rPr>
                <w:sz w:val="20"/>
                <w:szCs w:val="20"/>
                <w:color w:val="auto"/>
              </w:rPr>
            </w:pPr>
            <w:r>
              <w:rPr>
                <w:rFonts w:ascii="Arial" w:cs="Arial" w:eastAsia="Arial" w:hAnsi="Arial"/>
                <w:sz w:val="20"/>
                <w:szCs w:val="20"/>
                <w:color w:val="auto"/>
              </w:rPr>
              <w:t>5.21</w:t>
            </w:r>
          </w:p>
        </w:tc>
        <w:tc>
          <w:tcPr>
            <w:tcW w:w="8600" w:type="dxa"/>
            <w:vAlign w:val="bottom"/>
          </w:tcPr>
          <w:p>
            <w:pPr>
              <w:ind w:left="240"/>
              <w:spacing w:after="0"/>
              <w:rPr>
                <w:sz w:val="20"/>
                <w:szCs w:val="20"/>
                <w:color w:val="auto"/>
              </w:rPr>
            </w:pPr>
            <w:r>
              <w:rPr>
                <w:rFonts w:ascii="Arial" w:cs="Arial" w:eastAsia="Arial" w:hAnsi="Arial"/>
                <w:sz w:val="20"/>
                <w:szCs w:val="20"/>
                <w:color w:val="auto"/>
              </w:rPr>
              <w:t>Beneficial Ownership</w:t>
            </w:r>
          </w:p>
        </w:tc>
        <w:tc>
          <w:tcPr>
            <w:tcW w:w="198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29"/>
        </w:trPr>
        <w:tc>
          <w:tcPr>
            <w:tcW w:w="580" w:type="dxa"/>
            <w:vAlign w:val="bottom"/>
          </w:tcPr>
          <w:p>
            <w:pPr>
              <w:spacing w:after="0"/>
              <w:rPr>
                <w:sz w:val="20"/>
                <w:szCs w:val="20"/>
                <w:color w:val="auto"/>
              </w:rPr>
            </w:pPr>
            <w:r>
              <w:rPr>
                <w:rFonts w:ascii="Arial" w:cs="Arial" w:eastAsia="Arial" w:hAnsi="Arial"/>
                <w:sz w:val="20"/>
                <w:szCs w:val="20"/>
                <w:color w:val="auto"/>
              </w:rPr>
              <w:t>5.22</w:t>
            </w:r>
          </w:p>
        </w:tc>
        <w:tc>
          <w:tcPr>
            <w:tcW w:w="8600" w:type="dxa"/>
            <w:vAlign w:val="bottom"/>
          </w:tcPr>
          <w:p>
            <w:pPr>
              <w:ind w:left="240"/>
              <w:spacing w:after="0"/>
              <w:rPr>
                <w:sz w:val="20"/>
                <w:szCs w:val="20"/>
                <w:color w:val="auto"/>
              </w:rPr>
            </w:pPr>
            <w:r>
              <w:rPr>
                <w:rFonts w:ascii="Arial" w:cs="Arial" w:eastAsia="Arial" w:hAnsi="Arial"/>
                <w:sz w:val="20"/>
                <w:szCs w:val="20"/>
                <w:color w:val="auto"/>
              </w:rPr>
              <w:t>Solvency</w:t>
            </w:r>
          </w:p>
        </w:tc>
        <w:tc>
          <w:tcPr>
            <w:tcW w:w="198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50"/>
        </w:trPr>
        <w:tc>
          <w:tcPr>
            <w:tcW w:w="580" w:type="dxa"/>
            <w:vAlign w:val="bottom"/>
          </w:tcPr>
          <w:p>
            <w:pPr>
              <w:spacing w:after="0"/>
              <w:rPr>
                <w:sz w:val="20"/>
                <w:szCs w:val="20"/>
                <w:color w:val="auto"/>
              </w:rPr>
            </w:pPr>
            <w:r>
              <w:rPr>
                <w:rFonts w:ascii="Arial" w:cs="Arial" w:eastAsia="Arial" w:hAnsi="Arial"/>
                <w:sz w:val="20"/>
                <w:szCs w:val="20"/>
                <w:color w:val="auto"/>
              </w:rPr>
              <w:t>5.23</w:t>
            </w:r>
          </w:p>
        </w:tc>
        <w:tc>
          <w:tcPr>
            <w:tcW w:w="8600" w:type="dxa"/>
            <w:vAlign w:val="bottom"/>
          </w:tcPr>
          <w:p>
            <w:pPr>
              <w:ind w:left="240"/>
              <w:spacing w:after="0"/>
              <w:rPr>
                <w:sz w:val="20"/>
                <w:szCs w:val="20"/>
                <w:color w:val="auto"/>
              </w:rPr>
            </w:pPr>
            <w:r>
              <w:rPr>
                <w:rFonts w:ascii="Arial" w:cs="Arial" w:eastAsia="Arial" w:hAnsi="Arial"/>
                <w:sz w:val="20"/>
                <w:szCs w:val="20"/>
                <w:color w:val="auto"/>
              </w:rPr>
              <w:t>Covered Entity</w:t>
            </w:r>
          </w:p>
        </w:tc>
        <w:tc>
          <w:tcPr>
            <w:tcW w:w="198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425"/>
        </w:trPr>
        <w:tc>
          <w:tcPr>
            <w:tcW w:w="580" w:type="dxa"/>
            <w:vAlign w:val="bottom"/>
          </w:tcPr>
          <w:p>
            <w:pPr>
              <w:spacing w:after="0"/>
              <w:rPr>
                <w:sz w:val="24"/>
                <w:szCs w:val="24"/>
                <w:color w:val="auto"/>
              </w:rPr>
            </w:pPr>
          </w:p>
        </w:tc>
        <w:tc>
          <w:tcPr>
            <w:tcW w:w="8600" w:type="dxa"/>
            <w:vAlign w:val="bottom"/>
          </w:tcPr>
          <w:p>
            <w:pPr>
              <w:jc w:val="center"/>
              <w:ind w:left="1441"/>
              <w:spacing w:after="0"/>
              <w:rPr>
                <w:sz w:val="20"/>
                <w:szCs w:val="20"/>
                <w:color w:val="auto"/>
              </w:rPr>
            </w:pPr>
            <w:r>
              <w:rPr>
                <w:rFonts w:ascii="Arial" w:cs="Arial" w:eastAsia="Arial" w:hAnsi="Arial"/>
                <w:sz w:val="20"/>
                <w:szCs w:val="20"/>
                <w:color w:val="auto"/>
                <w:w w:val="99"/>
              </w:rPr>
              <w:t>ARTICLE VI.</w:t>
            </w:r>
          </w:p>
        </w:tc>
        <w:tc>
          <w:tcPr>
            <w:tcW w:w="1980" w:type="dxa"/>
            <w:vAlign w:val="bottom"/>
          </w:tcPr>
          <w:p>
            <w:pPr>
              <w:spacing w:after="0"/>
              <w:rPr>
                <w:sz w:val="24"/>
                <w:szCs w:val="24"/>
                <w:color w:val="auto"/>
              </w:rPr>
            </w:pPr>
          </w:p>
        </w:tc>
      </w:tr>
      <w:tr>
        <w:trPr>
          <w:trHeight w:val="250"/>
        </w:trPr>
        <w:tc>
          <w:tcPr>
            <w:tcW w:w="580" w:type="dxa"/>
            <w:vAlign w:val="bottom"/>
          </w:tcPr>
          <w:p>
            <w:pPr>
              <w:spacing w:after="0"/>
              <w:rPr>
                <w:sz w:val="21"/>
                <w:szCs w:val="21"/>
                <w:color w:val="auto"/>
              </w:rPr>
            </w:pPr>
          </w:p>
        </w:tc>
        <w:tc>
          <w:tcPr>
            <w:tcW w:w="8600" w:type="dxa"/>
            <w:vAlign w:val="bottom"/>
          </w:tcPr>
          <w:p>
            <w:pPr>
              <w:jc w:val="center"/>
              <w:ind w:left="1441"/>
              <w:spacing w:after="0"/>
              <w:rPr>
                <w:sz w:val="20"/>
                <w:szCs w:val="20"/>
                <w:color w:val="auto"/>
              </w:rPr>
            </w:pPr>
            <w:r>
              <w:rPr>
                <w:rFonts w:ascii="Arial" w:cs="Arial" w:eastAsia="Arial" w:hAnsi="Arial"/>
                <w:sz w:val="20"/>
                <w:szCs w:val="20"/>
                <w:color w:val="auto"/>
                <w:w w:val="96"/>
              </w:rPr>
              <w:t>AFFIRMATIVE COVENANTS</w:t>
            </w:r>
          </w:p>
        </w:tc>
        <w:tc>
          <w:tcPr>
            <w:tcW w:w="1980" w:type="dxa"/>
            <w:vAlign w:val="bottom"/>
          </w:tcPr>
          <w:p>
            <w:pPr>
              <w:spacing w:after="0"/>
              <w:rPr>
                <w:sz w:val="21"/>
                <w:szCs w:val="21"/>
                <w:color w:val="auto"/>
              </w:rPr>
            </w:pPr>
          </w:p>
        </w:tc>
      </w:tr>
      <w:tr>
        <w:trPr>
          <w:trHeight w:val="317"/>
        </w:trPr>
        <w:tc>
          <w:tcPr>
            <w:tcW w:w="580" w:type="dxa"/>
            <w:vAlign w:val="bottom"/>
          </w:tcPr>
          <w:p>
            <w:pPr>
              <w:spacing w:after="0"/>
              <w:rPr>
                <w:sz w:val="20"/>
                <w:szCs w:val="20"/>
                <w:color w:val="auto"/>
              </w:rPr>
            </w:pPr>
            <w:r>
              <w:rPr>
                <w:rFonts w:ascii="Arial" w:cs="Arial" w:eastAsia="Arial" w:hAnsi="Arial"/>
                <w:sz w:val="20"/>
                <w:szCs w:val="20"/>
                <w:color w:val="auto"/>
              </w:rPr>
              <w:t>6.01</w:t>
            </w:r>
          </w:p>
        </w:tc>
        <w:tc>
          <w:tcPr>
            <w:tcW w:w="8600" w:type="dxa"/>
            <w:vAlign w:val="bottom"/>
          </w:tcPr>
          <w:p>
            <w:pPr>
              <w:ind w:left="240"/>
              <w:spacing w:after="0"/>
              <w:rPr>
                <w:sz w:val="20"/>
                <w:szCs w:val="20"/>
                <w:color w:val="auto"/>
              </w:rPr>
            </w:pPr>
            <w:r>
              <w:rPr>
                <w:rFonts w:ascii="Arial" w:cs="Arial" w:eastAsia="Arial" w:hAnsi="Arial"/>
                <w:sz w:val="20"/>
                <w:szCs w:val="20"/>
                <w:color w:val="auto"/>
              </w:rPr>
              <w:t>Financial Statements</w:t>
            </w:r>
          </w:p>
        </w:tc>
        <w:tc>
          <w:tcPr>
            <w:tcW w:w="198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30"/>
        </w:trPr>
        <w:tc>
          <w:tcPr>
            <w:tcW w:w="580" w:type="dxa"/>
            <w:vAlign w:val="bottom"/>
          </w:tcPr>
          <w:p>
            <w:pPr>
              <w:spacing w:after="0"/>
              <w:rPr>
                <w:sz w:val="20"/>
                <w:szCs w:val="20"/>
                <w:color w:val="auto"/>
              </w:rPr>
            </w:pPr>
            <w:r>
              <w:rPr>
                <w:rFonts w:ascii="Arial" w:cs="Arial" w:eastAsia="Arial" w:hAnsi="Arial"/>
                <w:sz w:val="20"/>
                <w:szCs w:val="20"/>
                <w:color w:val="auto"/>
              </w:rPr>
              <w:t>6.02</w:t>
            </w:r>
          </w:p>
        </w:tc>
        <w:tc>
          <w:tcPr>
            <w:tcW w:w="8600" w:type="dxa"/>
            <w:vAlign w:val="bottom"/>
          </w:tcPr>
          <w:p>
            <w:pPr>
              <w:ind w:left="240"/>
              <w:spacing w:after="0"/>
              <w:rPr>
                <w:sz w:val="20"/>
                <w:szCs w:val="20"/>
                <w:color w:val="auto"/>
              </w:rPr>
            </w:pPr>
            <w:r>
              <w:rPr>
                <w:rFonts w:ascii="Arial" w:cs="Arial" w:eastAsia="Arial" w:hAnsi="Arial"/>
                <w:sz w:val="20"/>
                <w:szCs w:val="20"/>
                <w:color w:val="auto"/>
              </w:rPr>
              <w:t>Certificates; Other Information</w:t>
            </w:r>
          </w:p>
        </w:tc>
        <w:tc>
          <w:tcPr>
            <w:tcW w:w="198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29"/>
        </w:trPr>
        <w:tc>
          <w:tcPr>
            <w:tcW w:w="580" w:type="dxa"/>
            <w:vAlign w:val="bottom"/>
          </w:tcPr>
          <w:p>
            <w:pPr>
              <w:spacing w:after="0"/>
              <w:rPr>
                <w:sz w:val="20"/>
                <w:szCs w:val="20"/>
                <w:color w:val="auto"/>
              </w:rPr>
            </w:pPr>
            <w:r>
              <w:rPr>
                <w:rFonts w:ascii="Arial" w:cs="Arial" w:eastAsia="Arial" w:hAnsi="Arial"/>
                <w:sz w:val="20"/>
                <w:szCs w:val="20"/>
                <w:color w:val="auto"/>
              </w:rPr>
              <w:t>6.03</w:t>
            </w:r>
          </w:p>
        </w:tc>
        <w:tc>
          <w:tcPr>
            <w:tcW w:w="8600" w:type="dxa"/>
            <w:vAlign w:val="bottom"/>
          </w:tcPr>
          <w:p>
            <w:pPr>
              <w:ind w:left="240"/>
              <w:spacing w:after="0"/>
              <w:rPr>
                <w:sz w:val="20"/>
                <w:szCs w:val="20"/>
                <w:color w:val="auto"/>
              </w:rPr>
            </w:pPr>
            <w:r>
              <w:rPr>
                <w:rFonts w:ascii="Arial" w:cs="Arial" w:eastAsia="Arial" w:hAnsi="Arial"/>
                <w:sz w:val="20"/>
                <w:szCs w:val="20"/>
                <w:color w:val="auto"/>
              </w:rPr>
              <w:t>Notices</w:t>
            </w:r>
          </w:p>
        </w:tc>
        <w:tc>
          <w:tcPr>
            <w:tcW w:w="198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230"/>
        </w:trPr>
        <w:tc>
          <w:tcPr>
            <w:tcW w:w="580" w:type="dxa"/>
            <w:vAlign w:val="bottom"/>
          </w:tcPr>
          <w:p>
            <w:pPr>
              <w:spacing w:after="0"/>
              <w:rPr>
                <w:sz w:val="20"/>
                <w:szCs w:val="20"/>
                <w:color w:val="auto"/>
              </w:rPr>
            </w:pPr>
            <w:r>
              <w:rPr>
                <w:rFonts w:ascii="Arial" w:cs="Arial" w:eastAsia="Arial" w:hAnsi="Arial"/>
                <w:sz w:val="20"/>
                <w:szCs w:val="20"/>
                <w:color w:val="auto"/>
              </w:rPr>
              <w:t>6.04</w:t>
            </w:r>
          </w:p>
        </w:tc>
        <w:tc>
          <w:tcPr>
            <w:tcW w:w="8600" w:type="dxa"/>
            <w:vAlign w:val="bottom"/>
          </w:tcPr>
          <w:p>
            <w:pPr>
              <w:ind w:left="240"/>
              <w:spacing w:after="0"/>
              <w:rPr>
                <w:sz w:val="20"/>
                <w:szCs w:val="20"/>
                <w:color w:val="auto"/>
              </w:rPr>
            </w:pPr>
            <w:r>
              <w:rPr>
                <w:rFonts w:ascii="Arial" w:cs="Arial" w:eastAsia="Arial" w:hAnsi="Arial"/>
                <w:sz w:val="20"/>
                <w:szCs w:val="20"/>
                <w:color w:val="auto"/>
              </w:rPr>
              <w:t>Anti-Corruption Laws; Sanctions</w:t>
            </w:r>
          </w:p>
        </w:tc>
        <w:tc>
          <w:tcPr>
            <w:tcW w:w="198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229"/>
        </w:trPr>
        <w:tc>
          <w:tcPr>
            <w:tcW w:w="580" w:type="dxa"/>
            <w:vAlign w:val="bottom"/>
          </w:tcPr>
          <w:p>
            <w:pPr>
              <w:spacing w:after="0"/>
              <w:rPr>
                <w:sz w:val="20"/>
                <w:szCs w:val="20"/>
                <w:color w:val="auto"/>
              </w:rPr>
            </w:pPr>
            <w:r>
              <w:rPr>
                <w:rFonts w:ascii="Arial" w:cs="Arial" w:eastAsia="Arial" w:hAnsi="Arial"/>
                <w:sz w:val="20"/>
                <w:szCs w:val="20"/>
                <w:color w:val="auto"/>
              </w:rPr>
              <w:t>6.05</w:t>
            </w:r>
          </w:p>
        </w:tc>
        <w:tc>
          <w:tcPr>
            <w:tcW w:w="8600" w:type="dxa"/>
            <w:vAlign w:val="bottom"/>
          </w:tcPr>
          <w:p>
            <w:pPr>
              <w:ind w:left="240"/>
              <w:spacing w:after="0"/>
              <w:rPr>
                <w:sz w:val="20"/>
                <w:szCs w:val="20"/>
                <w:color w:val="auto"/>
              </w:rPr>
            </w:pPr>
            <w:r>
              <w:rPr>
                <w:rFonts w:ascii="Arial" w:cs="Arial" w:eastAsia="Arial" w:hAnsi="Arial"/>
                <w:sz w:val="20"/>
                <w:szCs w:val="20"/>
                <w:color w:val="auto"/>
              </w:rPr>
              <w:t>Preservation of Existence, Etc</w:t>
            </w:r>
          </w:p>
        </w:tc>
        <w:tc>
          <w:tcPr>
            <w:tcW w:w="198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230"/>
        </w:trPr>
        <w:tc>
          <w:tcPr>
            <w:tcW w:w="580" w:type="dxa"/>
            <w:vAlign w:val="bottom"/>
          </w:tcPr>
          <w:p>
            <w:pPr>
              <w:spacing w:after="0"/>
              <w:rPr>
                <w:sz w:val="20"/>
                <w:szCs w:val="20"/>
                <w:color w:val="auto"/>
              </w:rPr>
            </w:pPr>
            <w:r>
              <w:rPr>
                <w:rFonts w:ascii="Arial" w:cs="Arial" w:eastAsia="Arial" w:hAnsi="Arial"/>
                <w:sz w:val="20"/>
                <w:szCs w:val="20"/>
                <w:color w:val="auto"/>
              </w:rPr>
              <w:t>6.06</w:t>
            </w:r>
          </w:p>
        </w:tc>
        <w:tc>
          <w:tcPr>
            <w:tcW w:w="8600" w:type="dxa"/>
            <w:vAlign w:val="bottom"/>
          </w:tcPr>
          <w:p>
            <w:pPr>
              <w:ind w:left="240"/>
              <w:spacing w:after="0"/>
              <w:rPr>
                <w:sz w:val="20"/>
                <w:szCs w:val="20"/>
                <w:color w:val="auto"/>
              </w:rPr>
            </w:pPr>
            <w:r>
              <w:rPr>
                <w:rFonts w:ascii="Arial" w:cs="Arial" w:eastAsia="Arial" w:hAnsi="Arial"/>
                <w:sz w:val="20"/>
                <w:szCs w:val="20"/>
                <w:color w:val="auto"/>
              </w:rPr>
              <w:t>Maintenance of Properties</w:t>
            </w:r>
          </w:p>
        </w:tc>
        <w:tc>
          <w:tcPr>
            <w:tcW w:w="198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230"/>
        </w:trPr>
        <w:tc>
          <w:tcPr>
            <w:tcW w:w="580" w:type="dxa"/>
            <w:vAlign w:val="bottom"/>
          </w:tcPr>
          <w:p>
            <w:pPr>
              <w:spacing w:after="0"/>
              <w:rPr>
                <w:sz w:val="20"/>
                <w:szCs w:val="20"/>
                <w:color w:val="auto"/>
              </w:rPr>
            </w:pPr>
            <w:r>
              <w:rPr>
                <w:rFonts w:ascii="Arial" w:cs="Arial" w:eastAsia="Arial" w:hAnsi="Arial"/>
                <w:sz w:val="20"/>
                <w:szCs w:val="20"/>
                <w:color w:val="auto"/>
              </w:rPr>
              <w:t>6.07</w:t>
            </w:r>
          </w:p>
        </w:tc>
        <w:tc>
          <w:tcPr>
            <w:tcW w:w="8600" w:type="dxa"/>
            <w:vAlign w:val="bottom"/>
          </w:tcPr>
          <w:p>
            <w:pPr>
              <w:ind w:left="240"/>
              <w:spacing w:after="0"/>
              <w:rPr>
                <w:sz w:val="20"/>
                <w:szCs w:val="20"/>
                <w:color w:val="auto"/>
              </w:rPr>
            </w:pPr>
            <w:r>
              <w:rPr>
                <w:rFonts w:ascii="Arial" w:cs="Arial" w:eastAsia="Arial" w:hAnsi="Arial"/>
                <w:sz w:val="20"/>
                <w:szCs w:val="20"/>
                <w:color w:val="auto"/>
              </w:rPr>
              <w:t>Maintenance of Insurance</w:t>
            </w:r>
          </w:p>
        </w:tc>
        <w:tc>
          <w:tcPr>
            <w:tcW w:w="198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229"/>
        </w:trPr>
        <w:tc>
          <w:tcPr>
            <w:tcW w:w="580" w:type="dxa"/>
            <w:vAlign w:val="bottom"/>
          </w:tcPr>
          <w:p>
            <w:pPr>
              <w:spacing w:after="0"/>
              <w:rPr>
                <w:sz w:val="20"/>
                <w:szCs w:val="20"/>
                <w:color w:val="auto"/>
              </w:rPr>
            </w:pPr>
            <w:r>
              <w:rPr>
                <w:rFonts w:ascii="Arial" w:cs="Arial" w:eastAsia="Arial" w:hAnsi="Arial"/>
                <w:sz w:val="20"/>
                <w:szCs w:val="20"/>
                <w:color w:val="auto"/>
              </w:rPr>
              <w:t>6.08</w:t>
            </w:r>
          </w:p>
        </w:tc>
        <w:tc>
          <w:tcPr>
            <w:tcW w:w="8600" w:type="dxa"/>
            <w:vAlign w:val="bottom"/>
          </w:tcPr>
          <w:p>
            <w:pPr>
              <w:ind w:left="240"/>
              <w:spacing w:after="0"/>
              <w:rPr>
                <w:sz w:val="20"/>
                <w:szCs w:val="20"/>
                <w:color w:val="auto"/>
              </w:rPr>
            </w:pPr>
            <w:r>
              <w:rPr>
                <w:rFonts w:ascii="Arial" w:cs="Arial" w:eastAsia="Arial" w:hAnsi="Arial"/>
                <w:sz w:val="20"/>
                <w:szCs w:val="20"/>
                <w:color w:val="auto"/>
              </w:rPr>
              <w:t>Compliance with Laws and Contractual Obligations</w:t>
            </w:r>
          </w:p>
        </w:tc>
        <w:tc>
          <w:tcPr>
            <w:tcW w:w="198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30"/>
        </w:trPr>
        <w:tc>
          <w:tcPr>
            <w:tcW w:w="580" w:type="dxa"/>
            <w:vAlign w:val="bottom"/>
          </w:tcPr>
          <w:p>
            <w:pPr>
              <w:spacing w:after="0"/>
              <w:rPr>
                <w:sz w:val="20"/>
                <w:szCs w:val="20"/>
                <w:color w:val="auto"/>
              </w:rPr>
            </w:pPr>
            <w:r>
              <w:rPr>
                <w:rFonts w:ascii="Arial" w:cs="Arial" w:eastAsia="Arial" w:hAnsi="Arial"/>
                <w:sz w:val="20"/>
                <w:szCs w:val="20"/>
                <w:color w:val="auto"/>
              </w:rPr>
              <w:t>6.09</w:t>
            </w:r>
          </w:p>
        </w:tc>
        <w:tc>
          <w:tcPr>
            <w:tcW w:w="8600" w:type="dxa"/>
            <w:vAlign w:val="bottom"/>
          </w:tcPr>
          <w:p>
            <w:pPr>
              <w:ind w:left="240"/>
              <w:spacing w:after="0"/>
              <w:rPr>
                <w:sz w:val="20"/>
                <w:szCs w:val="20"/>
                <w:color w:val="auto"/>
              </w:rPr>
            </w:pPr>
            <w:r>
              <w:rPr>
                <w:rFonts w:ascii="Arial" w:cs="Arial" w:eastAsia="Arial" w:hAnsi="Arial"/>
                <w:sz w:val="20"/>
                <w:szCs w:val="20"/>
                <w:color w:val="auto"/>
              </w:rPr>
              <w:t>Books and Records</w:t>
            </w:r>
          </w:p>
        </w:tc>
        <w:tc>
          <w:tcPr>
            <w:tcW w:w="198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30"/>
        </w:trPr>
        <w:tc>
          <w:tcPr>
            <w:tcW w:w="580" w:type="dxa"/>
            <w:vAlign w:val="bottom"/>
          </w:tcPr>
          <w:p>
            <w:pPr>
              <w:spacing w:after="0"/>
              <w:rPr>
                <w:sz w:val="20"/>
                <w:szCs w:val="20"/>
                <w:color w:val="auto"/>
              </w:rPr>
            </w:pPr>
            <w:r>
              <w:rPr>
                <w:rFonts w:ascii="Arial" w:cs="Arial" w:eastAsia="Arial" w:hAnsi="Arial"/>
                <w:sz w:val="20"/>
                <w:szCs w:val="20"/>
                <w:color w:val="auto"/>
              </w:rPr>
              <w:t>6.10</w:t>
            </w:r>
          </w:p>
        </w:tc>
        <w:tc>
          <w:tcPr>
            <w:tcW w:w="8600" w:type="dxa"/>
            <w:vAlign w:val="bottom"/>
          </w:tcPr>
          <w:p>
            <w:pPr>
              <w:ind w:left="240"/>
              <w:spacing w:after="0"/>
              <w:rPr>
                <w:sz w:val="20"/>
                <w:szCs w:val="20"/>
                <w:color w:val="auto"/>
              </w:rPr>
            </w:pPr>
            <w:r>
              <w:rPr>
                <w:rFonts w:ascii="Arial" w:cs="Arial" w:eastAsia="Arial" w:hAnsi="Arial"/>
                <w:sz w:val="20"/>
                <w:szCs w:val="20"/>
                <w:color w:val="auto"/>
              </w:rPr>
              <w:t>Inspection Rights</w:t>
            </w:r>
          </w:p>
        </w:tc>
        <w:tc>
          <w:tcPr>
            <w:tcW w:w="198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50"/>
        </w:trPr>
        <w:tc>
          <w:tcPr>
            <w:tcW w:w="580" w:type="dxa"/>
            <w:vAlign w:val="bottom"/>
          </w:tcPr>
          <w:p>
            <w:pPr>
              <w:spacing w:after="0"/>
              <w:rPr>
                <w:sz w:val="20"/>
                <w:szCs w:val="20"/>
                <w:color w:val="auto"/>
              </w:rPr>
            </w:pPr>
            <w:r>
              <w:rPr>
                <w:rFonts w:ascii="Arial" w:cs="Arial" w:eastAsia="Arial" w:hAnsi="Arial"/>
                <w:sz w:val="20"/>
                <w:szCs w:val="20"/>
                <w:color w:val="auto"/>
              </w:rPr>
              <w:t>6.11</w:t>
            </w:r>
          </w:p>
        </w:tc>
        <w:tc>
          <w:tcPr>
            <w:tcW w:w="8600" w:type="dxa"/>
            <w:vAlign w:val="bottom"/>
          </w:tcPr>
          <w:p>
            <w:pPr>
              <w:ind w:left="240"/>
              <w:spacing w:after="0"/>
              <w:rPr>
                <w:sz w:val="20"/>
                <w:szCs w:val="20"/>
                <w:color w:val="auto"/>
              </w:rPr>
            </w:pPr>
            <w:r>
              <w:rPr>
                <w:rFonts w:ascii="Arial" w:cs="Arial" w:eastAsia="Arial" w:hAnsi="Arial"/>
                <w:sz w:val="20"/>
                <w:szCs w:val="20"/>
                <w:color w:val="auto"/>
              </w:rPr>
              <w:t>Use of Proceeds</w:t>
            </w:r>
          </w:p>
        </w:tc>
        <w:tc>
          <w:tcPr>
            <w:tcW w:w="198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425"/>
        </w:trPr>
        <w:tc>
          <w:tcPr>
            <w:tcW w:w="580" w:type="dxa"/>
            <w:vAlign w:val="bottom"/>
          </w:tcPr>
          <w:p>
            <w:pPr>
              <w:spacing w:after="0"/>
              <w:rPr>
                <w:sz w:val="24"/>
                <w:szCs w:val="24"/>
                <w:color w:val="auto"/>
              </w:rPr>
            </w:pPr>
          </w:p>
        </w:tc>
        <w:tc>
          <w:tcPr>
            <w:tcW w:w="8600" w:type="dxa"/>
            <w:vAlign w:val="bottom"/>
          </w:tcPr>
          <w:p>
            <w:pPr>
              <w:jc w:val="center"/>
              <w:ind w:left="1461"/>
              <w:spacing w:after="0"/>
              <w:rPr>
                <w:sz w:val="20"/>
                <w:szCs w:val="20"/>
                <w:color w:val="auto"/>
              </w:rPr>
            </w:pPr>
            <w:r>
              <w:rPr>
                <w:rFonts w:ascii="Arial" w:cs="Arial" w:eastAsia="Arial" w:hAnsi="Arial"/>
                <w:sz w:val="20"/>
                <w:szCs w:val="20"/>
                <w:color w:val="auto"/>
                <w:w w:val="99"/>
              </w:rPr>
              <w:t>ARTICLE VII.</w:t>
            </w:r>
          </w:p>
        </w:tc>
        <w:tc>
          <w:tcPr>
            <w:tcW w:w="1980" w:type="dxa"/>
            <w:vAlign w:val="bottom"/>
          </w:tcPr>
          <w:p>
            <w:pPr>
              <w:spacing w:after="0"/>
              <w:rPr>
                <w:sz w:val="24"/>
                <w:szCs w:val="24"/>
                <w:color w:val="auto"/>
              </w:rPr>
            </w:pPr>
          </w:p>
        </w:tc>
      </w:tr>
      <w:tr>
        <w:trPr>
          <w:trHeight w:val="250"/>
        </w:trPr>
        <w:tc>
          <w:tcPr>
            <w:tcW w:w="580" w:type="dxa"/>
            <w:vAlign w:val="bottom"/>
          </w:tcPr>
          <w:p>
            <w:pPr>
              <w:spacing w:after="0"/>
              <w:rPr>
                <w:sz w:val="21"/>
                <w:szCs w:val="21"/>
                <w:color w:val="auto"/>
              </w:rPr>
            </w:pPr>
          </w:p>
        </w:tc>
        <w:tc>
          <w:tcPr>
            <w:tcW w:w="8600" w:type="dxa"/>
            <w:vAlign w:val="bottom"/>
          </w:tcPr>
          <w:p>
            <w:pPr>
              <w:jc w:val="center"/>
              <w:ind w:left="1441"/>
              <w:spacing w:after="0"/>
              <w:rPr>
                <w:sz w:val="20"/>
                <w:szCs w:val="20"/>
                <w:color w:val="auto"/>
              </w:rPr>
            </w:pPr>
            <w:r>
              <w:rPr>
                <w:rFonts w:ascii="Arial" w:cs="Arial" w:eastAsia="Arial" w:hAnsi="Arial"/>
                <w:sz w:val="20"/>
                <w:szCs w:val="20"/>
                <w:color w:val="auto"/>
                <w:w w:val="96"/>
              </w:rPr>
              <w:t>NEGATIVE COVENANTS</w:t>
            </w:r>
          </w:p>
        </w:tc>
        <w:tc>
          <w:tcPr>
            <w:tcW w:w="1980" w:type="dxa"/>
            <w:vAlign w:val="bottom"/>
          </w:tcPr>
          <w:p>
            <w:pPr>
              <w:spacing w:after="0"/>
              <w:rPr>
                <w:sz w:val="21"/>
                <w:szCs w:val="21"/>
                <w:color w:val="auto"/>
              </w:rPr>
            </w:pPr>
          </w:p>
        </w:tc>
      </w:tr>
      <w:tr>
        <w:trPr>
          <w:trHeight w:val="317"/>
        </w:trPr>
        <w:tc>
          <w:tcPr>
            <w:tcW w:w="580" w:type="dxa"/>
            <w:vAlign w:val="bottom"/>
          </w:tcPr>
          <w:p>
            <w:pPr>
              <w:spacing w:after="0"/>
              <w:rPr>
                <w:sz w:val="20"/>
                <w:szCs w:val="20"/>
                <w:color w:val="auto"/>
              </w:rPr>
            </w:pPr>
            <w:r>
              <w:rPr>
                <w:rFonts w:ascii="Arial" w:cs="Arial" w:eastAsia="Arial" w:hAnsi="Arial"/>
                <w:sz w:val="20"/>
                <w:szCs w:val="20"/>
                <w:color w:val="auto"/>
              </w:rPr>
              <w:t>7.01</w:t>
            </w:r>
          </w:p>
        </w:tc>
        <w:tc>
          <w:tcPr>
            <w:tcW w:w="8600" w:type="dxa"/>
            <w:vAlign w:val="bottom"/>
          </w:tcPr>
          <w:p>
            <w:pPr>
              <w:ind w:left="240"/>
              <w:spacing w:after="0"/>
              <w:rPr>
                <w:sz w:val="20"/>
                <w:szCs w:val="20"/>
                <w:color w:val="auto"/>
              </w:rPr>
            </w:pPr>
            <w:r>
              <w:rPr>
                <w:rFonts w:ascii="Arial" w:cs="Arial" w:eastAsia="Arial" w:hAnsi="Arial"/>
                <w:sz w:val="20"/>
                <w:szCs w:val="20"/>
                <w:color w:val="auto"/>
              </w:rPr>
              <w:t>Limitation on Liens</w:t>
            </w:r>
          </w:p>
        </w:tc>
        <w:tc>
          <w:tcPr>
            <w:tcW w:w="198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30"/>
        </w:trPr>
        <w:tc>
          <w:tcPr>
            <w:tcW w:w="580" w:type="dxa"/>
            <w:vAlign w:val="bottom"/>
          </w:tcPr>
          <w:p>
            <w:pPr>
              <w:spacing w:after="0"/>
              <w:rPr>
                <w:sz w:val="20"/>
                <w:szCs w:val="20"/>
                <w:color w:val="auto"/>
              </w:rPr>
            </w:pPr>
            <w:r>
              <w:rPr>
                <w:rFonts w:ascii="Arial" w:cs="Arial" w:eastAsia="Arial" w:hAnsi="Arial"/>
                <w:sz w:val="20"/>
                <w:szCs w:val="20"/>
                <w:color w:val="auto"/>
              </w:rPr>
              <w:t>7.02</w:t>
            </w:r>
          </w:p>
        </w:tc>
        <w:tc>
          <w:tcPr>
            <w:tcW w:w="8600" w:type="dxa"/>
            <w:vAlign w:val="bottom"/>
          </w:tcPr>
          <w:p>
            <w:pPr>
              <w:ind w:left="240"/>
              <w:spacing w:after="0"/>
              <w:rPr>
                <w:sz w:val="20"/>
                <w:szCs w:val="20"/>
                <w:color w:val="auto"/>
              </w:rPr>
            </w:pPr>
            <w:r>
              <w:rPr>
                <w:rFonts w:ascii="Arial" w:cs="Arial" w:eastAsia="Arial" w:hAnsi="Arial"/>
                <w:sz w:val="20"/>
                <w:szCs w:val="20"/>
                <w:color w:val="auto"/>
              </w:rPr>
              <w:t>Disposition of Assets</w:t>
            </w:r>
          </w:p>
        </w:tc>
        <w:tc>
          <w:tcPr>
            <w:tcW w:w="198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30"/>
        </w:trPr>
        <w:tc>
          <w:tcPr>
            <w:tcW w:w="580" w:type="dxa"/>
            <w:vAlign w:val="bottom"/>
          </w:tcPr>
          <w:p>
            <w:pPr>
              <w:spacing w:after="0"/>
              <w:rPr>
                <w:sz w:val="20"/>
                <w:szCs w:val="20"/>
                <w:color w:val="auto"/>
              </w:rPr>
            </w:pPr>
            <w:r>
              <w:rPr>
                <w:rFonts w:ascii="Arial" w:cs="Arial" w:eastAsia="Arial" w:hAnsi="Arial"/>
                <w:sz w:val="20"/>
                <w:szCs w:val="20"/>
                <w:color w:val="auto"/>
              </w:rPr>
              <w:t>7.03</w:t>
            </w:r>
          </w:p>
        </w:tc>
        <w:tc>
          <w:tcPr>
            <w:tcW w:w="8600" w:type="dxa"/>
            <w:vAlign w:val="bottom"/>
          </w:tcPr>
          <w:p>
            <w:pPr>
              <w:ind w:left="240"/>
              <w:spacing w:after="0"/>
              <w:rPr>
                <w:sz w:val="20"/>
                <w:szCs w:val="20"/>
                <w:color w:val="auto"/>
              </w:rPr>
            </w:pPr>
            <w:r>
              <w:rPr>
                <w:rFonts w:ascii="Arial" w:cs="Arial" w:eastAsia="Arial" w:hAnsi="Arial"/>
                <w:sz w:val="20"/>
                <w:szCs w:val="20"/>
                <w:color w:val="auto"/>
              </w:rPr>
              <w:t>Consolidations and Mergers</w:t>
            </w:r>
          </w:p>
        </w:tc>
        <w:tc>
          <w:tcPr>
            <w:tcW w:w="198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30"/>
        </w:trPr>
        <w:tc>
          <w:tcPr>
            <w:tcW w:w="580" w:type="dxa"/>
            <w:vAlign w:val="bottom"/>
          </w:tcPr>
          <w:p>
            <w:pPr>
              <w:spacing w:after="0"/>
              <w:rPr>
                <w:sz w:val="20"/>
                <w:szCs w:val="20"/>
                <w:color w:val="auto"/>
              </w:rPr>
            </w:pPr>
            <w:r>
              <w:rPr>
                <w:rFonts w:ascii="Arial" w:cs="Arial" w:eastAsia="Arial" w:hAnsi="Arial"/>
                <w:sz w:val="20"/>
                <w:szCs w:val="20"/>
                <w:color w:val="auto"/>
              </w:rPr>
              <w:t>7.04</w:t>
            </w:r>
          </w:p>
        </w:tc>
        <w:tc>
          <w:tcPr>
            <w:tcW w:w="8600" w:type="dxa"/>
            <w:vAlign w:val="bottom"/>
          </w:tcPr>
          <w:p>
            <w:pPr>
              <w:ind w:left="240"/>
              <w:spacing w:after="0"/>
              <w:rPr>
                <w:sz w:val="20"/>
                <w:szCs w:val="20"/>
                <w:color w:val="auto"/>
              </w:rPr>
            </w:pPr>
            <w:r>
              <w:rPr>
                <w:rFonts w:ascii="Arial" w:cs="Arial" w:eastAsia="Arial" w:hAnsi="Arial"/>
                <w:sz w:val="20"/>
                <w:szCs w:val="20"/>
                <w:color w:val="auto"/>
              </w:rPr>
              <w:t>Restricted Payments</w:t>
            </w:r>
          </w:p>
        </w:tc>
        <w:tc>
          <w:tcPr>
            <w:tcW w:w="198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29"/>
        </w:trPr>
        <w:tc>
          <w:tcPr>
            <w:tcW w:w="580" w:type="dxa"/>
            <w:vAlign w:val="bottom"/>
          </w:tcPr>
          <w:p>
            <w:pPr>
              <w:spacing w:after="0"/>
              <w:rPr>
                <w:sz w:val="20"/>
                <w:szCs w:val="20"/>
                <w:color w:val="auto"/>
              </w:rPr>
            </w:pPr>
            <w:r>
              <w:rPr>
                <w:rFonts w:ascii="Arial" w:cs="Arial" w:eastAsia="Arial" w:hAnsi="Arial"/>
                <w:sz w:val="20"/>
                <w:szCs w:val="20"/>
                <w:color w:val="auto"/>
              </w:rPr>
              <w:t>7.05</w:t>
            </w:r>
          </w:p>
        </w:tc>
        <w:tc>
          <w:tcPr>
            <w:tcW w:w="8600" w:type="dxa"/>
            <w:vAlign w:val="bottom"/>
          </w:tcPr>
          <w:p>
            <w:pPr>
              <w:ind w:left="240"/>
              <w:spacing w:after="0"/>
              <w:rPr>
                <w:sz w:val="20"/>
                <w:szCs w:val="20"/>
                <w:color w:val="auto"/>
              </w:rPr>
            </w:pPr>
            <w:r>
              <w:rPr>
                <w:rFonts w:ascii="Arial" w:cs="Arial" w:eastAsia="Arial" w:hAnsi="Arial"/>
                <w:sz w:val="20"/>
                <w:szCs w:val="20"/>
                <w:color w:val="auto"/>
              </w:rPr>
              <w:t>Minimum Interest Coverage Ratio</w:t>
            </w:r>
          </w:p>
        </w:tc>
        <w:tc>
          <w:tcPr>
            <w:tcW w:w="198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30"/>
        </w:trPr>
        <w:tc>
          <w:tcPr>
            <w:tcW w:w="580" w:type="dxa"/>
            <w:vAlign w:val="bottom"/>
          </w:tcPr>
          <w:p>
            <w:pPr>
              <w:spacing w:after="0"/>
              <w:rPr>
                <w:sz w:val="20"/>
                <w:szCs w:val="20"/>
                <w:color w:val="auto"/>
              </w:rPr>
            </w:pPr>
            <w:r>
              <w:rPr>
                <w:rFonts w:ascii="Arial" w:cs="Arial" w:eastAsia="Arial" w:hAnsi="Arial"/>
                <w:sz w:val="20"/>
                <w:szCs w:val="20"/>
                <w:color w:val="auto"/>
              </w:rPr>
              <w:t>7.06</w:t>
            </w:r>
          </w:p>
        </w:tc>
        <w:tc>
          <w:tcPr>
            <w:tcW w:w="8600" w:type="dxa"/>
            <w:vAlign w:val="bottom"/>
          </w:tcPr>
          <w:p>
            <w:pPr>
              <w:ind w:left="240"/>
              <w:spacing w:after="0"/>
              <w:rPr>
                <w:sz w:val="20"/>
                <w:szCs w:val="20"/>
                <w:color w:val="auto"/>
              </w:rPr>
            </w:pPr>
            <w:r>
              <w:rPr>
                <w:rFonts w:ascii="Arial" w:cs="Arial" w:eastAsia="Arial" w:hAnsi="Arial"/>
                <w:sz w:val="20"/>
                <w:szCs w:val="20"/>
                <w:color w:val="auto"/>
              </w:rPr>
              <w:t>Maximum Leverage Ratio</w:t>
            </w:r>
          </w:p>
        </w:tc>
        <w:tc>
          <w:tcPr>
            <w:tcW w:w="198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30"/>
        </w:trPr>
        <w:tc>
          <w:tcPr>
            <w:tcW w:w="580" w:type="dxa"/>
            <w:vAlign w:val="bottom"/>
          </w:tcPr>
          <w:p>
            <w:pPr>
              <w:spacing w:after="0"/>
              <w:rPr>
                <w:sz w:val="20"/>
                <w:szCs w:val="20"/>
                <w:color w:val="auto"/>
              </w:rPr>
            </w:pPr>
            <w:r>
              <w:rPr>
                <w:rFonts w:ascii="Arial" w:cs="Arial" w:eastAsia="Arial" w:hAnsi="Arial"/>
                <w:sz w:val="20"/>
                <w:szCs w:val="20"/>
                <w:color w:val="auto"/>
              </w:rPr>
              <w:t>7.07</w:t>
            </w:r>
          </w:p>
        </w:tc>
        <w:tc>
          <w:tcPr>
            <w:tcW w:w="8600" w:type="dxa"/>
            <w:vAlign w:val="bottom"/>
          </w:tcPr>
          <w:p>
            <w:pPr>
              <w:ind w:left="240"/>
              <w:spacing w:after="0"/>
              <w:rPr>
                <w:sz w:val="20"/>
                <w:szCs w:val="20"/>
                <w:color w:val="auto"/>
              </w:rPr>
            </w:pPr>
            <w:r>
              <w:rPr>
                <w:rFonts w:ascii="Arial" w:cs="Arial" w:eastAsia="Arial" w:hAnsi="Arial"/>
                <w:sz w:val="20"/>
                <w:szCs w:val="20"/>
                <w:color w:val="auto"/>
              </w:rPr>
              <w:t>Red Iron</w:t>
            </w:r>
          </w:p>
        </w:tc>
        <w:tc>
          <w:tcPr>
            <w:tcW w:w="198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30"/>
        </w:trPr>
        <w:tc>
          <w:tcPr>
            <w:tcW w:w="580" w:type="dxa"/>
            <w:vAlign w:val="bottom"/>
          </w:tcPr>
          <w:p>
            <w:pPr>
              <w:spacing w:after="0"/>
              <w:rPr>
                <w:sz w:val="20"/>
                <w:szCs w:val="20"/>
                <w:color w:val="auto"/>
              </w:rPr>
            </w:pPr>
            <w:r>
              <w:rPr>
                <w:rFonts w:ascii="Arial" w:cs="Arial" w:eastAsia="Arial" w:hAnsi="Arial"/>
                <w:sz w:val="20"/>
                <w:szCs w:val="20"/>
                <w:color w:val="auto"/>
              </w:rPr>
              <w:t>7.08</w:t>
            </w:r>
          </w:p>
        </w:tc>
        <w:tc>
          <w:tcPr>
            <w:tcW w:w="8600" w:type="dxa"/>
            <w:vAlign w:val="bottom"/>
          </w:tcPr>
          <w:p>
            <w:pPr>
              <w:ind w:left="240"/>
              <w:spacing w:after="0"/>
              <w:rPr>
                <w:sz w:val="20"/>
                <w:szCs w:val="20"/>
                <w:color w:val="auto"/>
              </w:rPr>
            </w:pPr>
            <w:r>
              <w:rPr>
                <w:rFonts w:ascii="Arial" w:cs="Arial" w:eastAsia="Arial" w:hAnsi="Arial"/>
                <w:sz w:val="20"/>
                <w:szCs w:val="20"/>
                <w:color w:val="auto"/>
              </w:rPr>
              <w:t>Sanctions</w:t>
            </w:r>
          </w:p>
        </w:tc>
        <w:tc>
          <w:tcPr>
            <w:tcW w:w="198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50"/>
        </w:trPr>
        <w:tc>
          <w:tcPr>
            <w:tcW w:w="580" w:type="dxa"/>
            <w:vAlign w:val="bottom"/>
          </w:tcPr>
          <w:p>
            <w:pPr>
              <w:spacing w:after="0"/>
              <w:rPr>
                <w:sz w:val="20"/>
                <w:szCs w:val="20"/>
                <w:color w:val="auto"/>
              </w:rPr>
            </w:pPr>
            <w:r>
              <w:rPr>
                <w:rFonts w:ascii="Arial" w:cs="Arial" w:eastAsia="Arial" w:hAnsi="Arial"/>
                <w:sz w:val="20"/>
                <w:szCs w:val="20"/>
                <w:color w:val="auto"/>
              </w:rPr>
              <w:t>7.09</w:t>
            </w:r>
          </w:p>
        </w:tc>
        <w:tc>
          <w:tcPr>
            <w:tcW w:w="8600" w:type="dxa"/>
            <w:vAlign w:val="bottom"/>
          </w:tcPr>
          <w:p>
            <w:pPr>
              <w:ind w:left="240"/>
              <w:spacing w:after="0"/>
              <w:rPr>
                <w:sz w:val="20"/>
                <w:szCs w:val="20"/>
                <w:color w:val="auto"/>
              </w:rPr>
            </w:pPr>
            <w:r>
              <w:rPr>
                <w:rFonts w:ascii="Arial" w:cs="Arial" w:eastAsia="Arial" w:hAnsi="Arial"/>
                <w:sz w:val="20"/>
                <w:szCs w:val="20"/>
                <w:color w:val="auto"/>
              </w:rPr>
              <w:t>Anti-Corruption Laws</w:t>
            </w:r>
          </w:p>
        </w:tc>
        <w:tc>
          <w:tcPr>
            <w:tcW w:w="198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425"/>
        </w:trPr>
        <w:tc>
          <w:tcPr>
            <w:tcW w:w="580" w:type="dxa"/>
            <w:vAlign w:val="bottom"/>
          </w:tcPr>
          <w:p>
            <w:pPr>
              <w:spacing w:after="0"/>
              <w:rPr>
                <w:sz w:val="24"/>
                <w:szCs w:val="24"/>
                <w:color w:val="auto"/>
              </w:rPr>
            </w:pPr>
          </w:p>
        </w:tc>
        <w:tc>
          <w:tcPr>
            <w:tcW w:w="8600" w:type="dxa"/>
            <w:vAlign w:val="bottom"/>
          </w:tcPr>
          <w:p>
            <w:pPr>
              <w:jc w:val="center"/>
              <w:ind w:left="1441"/>
              <w:spacing w:after="0"/>
              <w:rPr>
                <w:sz w:val="20"/>
                <w:szCs w:val="20"/>
                <w:color w:val="auto"/>
              </w:rPr>
            </w:pPr>
            <w:r>
              <w:rPr>
                <w:rFonts w:ascii="Arial" w:cs="Arial" w:eastAsia="Arial" w:hAnsi="Arial"/>
                <w:sz w:val="20"/>
                <w:szCs w:val="20"/>
                <w:color w:val="auto"/>
              </w:rPr>
              <w:t>ARTICLE VIII.</w:t>
            </w:r>
          </w:p>
        </w:tc>
        <w:tc>
          <w:tcPr>
            <w:tcW w:w="1980" w:type="dxa"/>
            <w:vAlign w:val="bottom"/>
          </w:tcPr>
          <w:p>
            <w:pPr>
              <w:spacing w:after="0"/>
              <w:rPr>
                <w:sz w:val="24"/>
                <w:szCs w:val="24"/>
                <w:color w:val="auto"/>
              </w:rPr>
            </w:pPr>
          </w:p>
        </w:tc>
      </w:tr>
      <w:tr>
        <w:trPr>
          <w:trHeight w:val="250"/>
        </w:trPr>
        <w:tc>
          <w:tcPr>
            <w:tcW w:w="580" w:type="dxa"/>
            <w:vAlign w:val="bottom"/>
          </w:tcPr>
          <w:p>
            <w:pPr>
              <w:spacing w:after="0"/>
              <w:rPr>
                <w:sz w:val="21"/>
                <w:szCs w:val="21"/>
                <w:color w:val="auto"/>
              </w:rPr>
            </w:pPr>
          </w:p>
        </w:tc>
        <w:tc>
          <w:tcPr>
            <w:tcW w:w="8600" w:type="dxa"/>
            <w:vAlign w:val="bottom"/>
          </w:tcPr>
          <w:p>
            <w:pPr>
              <w:jc w:val="center"/>
              <w:ind w:left="1461"/>
              <w:spacing w:after="0"/>
              <w:rPr>
                <w:sz w:val="20"/>
                <w:szCs w:val="20"/>
                <w:color w:val="auto"/>
              </w:rPr>
            </w:pPr>
            <w:r>
              <w:rPr>
                <w:rFonts w:ascii="Arial" w:cs="Arial" w:eastAsia="Arial" w:hAnsi="Arial"/>
                <w:sz w:val="20"/>
                <w:szCs w:val="20"/>
                <w:color w:val="auto"/>
                <w:w w:val="94"/>
              </w:rPr>
              <w:t>EVENTS OF DEFAULT AND REMEDIES</w:t>
            </w:r>
          </w:p>
        </w:tc>
        <w:tc>
          <w:tcPr>
            <w:tcW w:w="1980" w:type="dxa"/>
            <w:vAlign w:val="bottom"/>
          </w:tcPr>
          <w:p>
            <w:pPr>
              <w:spacing w:after="0"/>
              <w:rPr>
                <w:sz w:val="21"/>
                <w:szCs w:val="21"/>
                <w:color w:val="auto"/>
              </w:rPr>
            </w:pPr>
          </w:p>
        </w:tc>
      </w:tr>
      <w:tr>
        <w:trPr>
          <w:trHeight w:val="338"/>
        </w:trPr>
        <w:tc>
          <w:tcPr>
            <w:tcW w:w="580" w:type="dxa"/>
            <w:vAlign w:val="bottom"/>
          </w:tcPr>
          <w:p>
            <w:pPr>
              <w:spacing w:after="0"/>
              <w:rPr>
                <w:sz w:val="20"/>
                <w:szCs w:val="20"/>
                <w:color w:val="auto"/>
              </w:rPr>
            </w:pPr>
            <w:r>
              <w:rPr>
                <w:rFonts w:ascii="Arial" w:cs="Arial" w:eastAsia="Arial" w:hAnsi="Arial"/>
                <w:sz w:val="20"/>
                <w:szCs w:val="20"/>
                <w:color w:val="auto"/>
              </w:rPr>
              <w:t>8.01</w:t>
            </w:r>
          </w:p>
        </w:tc>
        <w:tc>
          <w:tcPr>
            <w:tcW w:w="8600" w:type="dxa"/>
            <w:vAlign w:val="bottom"/>
          </w:tcPr>
          <w:p>
            <w:pPr>
              <w:ind w:left="260"/>
              <w:spacing w:after="0"/>
              <w:rPr>
                <w:sz w:val="20"/>
                <w:szCs w:val="20"/>
                <w:color w:val="auto"/>
              </w:rPr>
            </w:pPr>
            <w:r>
              <w:rPr>
                <w:rFonts w:ascii="Arial" w:cs="Arial" w:eastAsia="Arial" w:hAnsi="Arial"/>
                <w:sz w:val="20"/>
                <w:szCs w:val="20"/>
                <w:color w:val="auto"/>
              </w:rPr>
              <w:t>Events of Default</w:t>
            </w:r>
          </w:p>
        </w:tc>
        <w:tc>
          <w:tcPr>
            <w:tcW w:w="1980" w:type="dxa"/>
            <w:vAlign w:val="bottom"/>
          </w:tcPr>
          <w:p>
            <w:pPr>
              <w:jc w:val="right"/>
              <w:spacing w:after="0"/>
              <w:rPr>
                <w:sz w:val="20"/>
                <w:szCs w:val="20"/>
                <w:color w:val="auto"/>
              </w:rPr>
            </w:pPr>
            <w:r>
              <w:rPr>
                <w:rFonts w:ascii="Arial" w:cs="Arial" w:eastAsia="Arial" w:hAnsi="Arial"/>
                <w:sz w:val="20"/>
                <w:szCs w:val="20"/>
                <w:color w:val="auto"/>
              </w:rPr>
              <w:t>55</w:t>
            </w:r>
          </w:p>
        </w:tc>
      </w:tr>
    </w:tbl>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170180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80" w:top="338"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640" w:type="dxa"/>
            <w:vAlign w:val="bottom"/>
          </w:tcPr>
          <w:p>
            <w:pPr>
              <w:ind w:left="60"/>
              <w:spacing w:after="0"/>
              <w:rPr>
                <w:sz w:val="20"/>
                <w:szCs w:val="20"/>
                <w:color w:val="auto"/>
              </w:rPr>
            </w:pPr>
            <w:r>
              <w:rPr>
                <w:rFonts w:ascii="Arial" w:cs="Arial" w:eastAsia="Arial" w:hAnsi="Arial"/>
                <w:sz w:val="20"/>
                <w:szCs w:val="20"/>
                <w:color w:val="auto"/>
              </w:rPr>
              <w:t>8.02</w:t>
            </w:r>
          </w:p>
        </w:tc>
        <w:tc>
          <w:tcPr>
            <w:tcW w:w="8420" w:type="dxa"/>
            <w:vAlign w:val="bottom"/>
          </w:tcPr>
          <w:p>
            <w:pPr>
              <w:ind w:left="260"/>
              <w:spacing w:after="0"/>
              <w:rPr>
                <w:sz w:val="20"/>
                <w:szCs w:val="20"/>
                <w:color w:val="auto"/>
              </w:rPr>
            </w:pPr>
            <w:r>
              <w:rPr>
                <w:rFonts w:ascii="Arial" w:cs="Arial" w:eastAsia="Arial" w:hAnsi="Arial"/>
                <w:sz w:val="20"/>
                <w:szCs w:val="20"/>
                <w:color w:val="auto"/>
              </w:rPr>
              <w:t>Remedies Upon Event of Default</w:t>
            </w:r>
          </w:p>
        </w:tc>
        <w:tc>
          <w:tcPr>
            <w:tcW w:w="210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50"/>
        </w:trPr>
        <w:tc>
          <w:tcPr>
            <w:tcW w:w="640" w:type="dxa"/>
            <w:vAlign w:val="bottom"/>
          </w:tcPr>
          <w:p>
            <w:pPr>
              <w:ind w:left="60"/>
              <w:spacing w:after="0"/>
              <w:rPr>
                <w:sz w:val="20"/>
                <w:szCs w:val="20"/>
                <w:color w:val="auto"/>
              </w:rPr>
            </w:pPr>
            <w:r>
              <w:rPr>
                <w:rFonts w:ascii="Arial" w:cs="Arial" w:eastAsia="Arial" w:hAnsi="Arial"/>
                <w:sz w:val="20"/>
                <w:szCs w:val="20"/>
                <w:color w:val="auto"/>
              </w:rPr>
              <w:t>8.03</w:t>
            </w:r>
          </w:p>
        </w:tc>
        <w:tc>
          <w:tcPr>
            <w:tcW w:w="8420" w:type="dxa"/>
            <w:vAlign w:val="bottom"/>
          </w:tcPr>
          <w:p>
            <w:pPr>
              <w:ind w:left="260"/>
              <w:spacing w:after="0"/>
              <w:rPr>
                <w:sz w:val="20"/>
                <w:szCs w:val="20"/>
                <w:color w:val="auto"/>
              </w:rPr>
            </w:pPr>
            <w:r>
              <w:rPr>
                <w:rFonts w:ascii="Arial" w:cs="Arial" w:eastAsia="Arial" w:hAnsi="Arial"/>
                <w:sz w:val="20"/>
                <w:szCs w:val="20"/>
                <w:color w:val="auto"/>
              </w:rPr>
              <w:t>Application of Funds</w:t>
            </w:r>
          </w:p>
        </w:tc>
        <w:tc>
          <w:tcPr>
            <w:tcW w:w="210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438"/>
        </w:trPr>
        <w:tc>
          <w:tcPr>
            <w:tcW w:w="640" w:type="dxa"/>
            <w:vAlign w:val="bottom"/>
          </w:tcPr>
          <w:p>
            <w:pPr>
              <w:spacing w:after="0"/>
              <w:rPr>
                <w:sz w:val="24"/>
                <w:szCs w:val="24"/>
                <w:color w:val="auto"/>
              </w:rPr>
            </w:pPr>
          </w:p>
        </w:tc>
        <w:tc>
          <w:tcPr>
            <w:tcW w:w="8420" w:type="dxa"/>
            <w:vAlign w:val="bottom"/>
          </w:tcPr>
          <w:p>
            <w:pPr>
              <w:jc w:val="center"/>
              <w:ind w:left="1521"/>
              <w:spacing w:after="0"/>
              <w:rPr>
                <w:sz w:val="20"/>
                <w:szCs w:val="20"/>
                <w:color w:val="auto"/>
              </w:rPr>
            </w:pPr>
            <w:r>
              <w:rPr>
                <w:rFonts w:ascii="Arial" w:cs="Arial" w:eastAsia="Arial" w:hAnsi="Arial"/>
                <w:sz w:val="20"/>
                <w:szCs w:val="20"/>
                <w:color w:val="auto"/>
                <w:w w:val="97"/>
              </w:rPr>
              <w:t>ARTICLE IX.</w:t>
            </w:r>
          </w:p>
        </w:tc>
        <w:tc>
          <w:tcPr>
            <w:tcW w:w="2100" w:type="dxa"/>
            <w:vAlign w:val="bottom"/>
          </w:tcPr>
          <w:p>
            <w:pPr>
              <w:spacing w:after="0"/>
              <w:rPr>
                <w:sz w:val="24"/>
                <w:szCs w:val="24"/>
                <w:color w:val="auto"/>
              </w:rPr>
            </w:pPr>
          </w:p>
        </w:tc>
      </w:tr>
      <w:tr>
        <w:trPr>
          <w:trHeight w:val="250"/>
        </w:trPr>
        <w:tc>
          <w:tcPr>
            <w:tcW w:w="640" w:type="dxa"/>
            <w:vAlign w:val="bottom"/>
          </w:tcPr>
          <w:p>
            <w:pPr>
              <w:spacing w:after="0"/>
              <w:rPr>
                <w:sz w:val="21"/>
                <w:szCs w:val="21"/>
                <w:color w:val="auto"/>
              </w:rPr>
            </w:pPr>
          </w:p>
        </w:tc>
        <w:tc>
          <w:tcPr>
            <w:tcW w:w="8420" w:type="dxa"/>
            <w:vAlign w:val="bottom"/>
          </w:tcPr>
          <w:p>
            <w:pPr>
              <w:jc w:val="center"/>
              <w:ind w:left="1521"/>
              <w:spacing w:after="0"/>
              <w:rPr>
                <w:sz w:val="20"/>
                <w:szCs w:val="20"/>
                <w:color w:val="auto"/>
              </w:rPr>
            </w:pPr>
            <w:r>
              <w:rPr>
                <w:rFonts w:ascii="Arial" w:cs="Arial" w:eastAsia="Arial" w:hAnsi="Arial"/>
                <w:sz w:val="20"/>
                <w:szCs w:val="20"/>
                <w:color w:val="auto"/>
                <w:w w:val="99"/>
              </w:rPr>
              <w:t>ADMINISTRATIVE AGENT</w:t>
            </w:r>
          </w:p>
        </w:tc>
        <w:tc>
          <w:tcPr>
            <w:tcW w:w="2100" w:type="dxa"/>
            <w:vAlign w:val="bottom"/>
          </w:tcPr>
          <w:p>
            <w:pPr>
              <w:spacing w:after="0"/>
              <w:rPr>
                <w:sz w:val="21"/>
                <w:szCs w:val="21"/>
                <w:color w:val="auto"/>
              </w:rPr>
            </w:pPr>
          </w:p>
        </w:tc>
      </w:tr>
      <w:tr>
        <w:trPr>
          <w:trHeight w:val="317"/>
        </w:trPr>
        <w:tc>
          <w:tcPr>
            <w:tcW w:w="640" w:type="dxa"/>
            <w:vAlign w:val="bottom"/>
          </w:tcPr>
          <w:p>
            <w:pPr>
              <w:spacing w:after="0"/>
              <w:rPr>
                <w:sz w:val="20"/>
                <w:szCs w:val="20"/>
                <w:color w:val="auto"/>
              </w:rPr>
            </w:pPr>
            <w:r>
              <w:rPr>
                <w:rFonts w:ascii="Arial" w:cs="Arial" w:eastAsia="Arial" w:hAnsi="Arial"/>
                <w:sz w:val="20"/>
                <w:szCs w:val="20"/>
                <w:color w:val="auto"/>
              </w:rPr>
              <w:t>9.01</w:t>
            </w:r>
          </w:p>
        </w:tc>
        <w:tc>
          <w:tcPr>
            <w:tcW w:w="8420" w:type="dxa"/>
            <w:vAlign w:val="bottom"/>
          </w:tcPr>
          <w:p>
            <w:pPr>
              <w:ind w:left="200"/>
              <w:spacing w:after="0"/>
              <w:rPr>
                <w:sz w:val="20"/>
                <w:szCs w:val="20"/>
                <w:color w:val="auto"/>
              </w:rPr>
            </w:pPr>
            <w:r>
              <w:rPr>
                <w:rFonts w:ascii="Arial" w:cs="Arial" w:eastAsia="Arial" w:hAnsi="Arial"/>
                <w:sz w:val="20"/>
                <w:szCs w:val="20"/>
                <w:color w:val="auto"/>
              </w:rPr>
              <w:t>Appointment and Authority</w:t>
            </w:r>
          </w:p>
        </w:tc>
        <w:tc>
          <w:tcPr>
            <w:tcW w:w="210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9.02</w:t>
            </w:r>
          </w:p>
        </w:tc>
        <w:tc>
          <w:tcPr>
            <w:tcW w:w="8420" w:type="dxa"/>
            <w:vAlign w:val="bottom"/>
          </w:tcPr>
          <w:p>
            <w:pPr>
              <w:ind w:left="200"/>
              <w:spacing w:after="0"/>
              <w:rPr>
                <w:sz w:val="20"/>
                <w:szCs w:val="20"/>
                <w:color w:val="auto"/>
              </w:rPr>
            </w:pPr>
            <w:r>
              <w:rPr>
                <w:rFonts w:ascii="Arial" w:cs="Arial" w:eastAsia="Arial" w:hAnsi="Arial"/>
                <w:sz w:val="20"/>
                <w:szCs w:val="20"/>
                <w:color w:val="auto"/>
              </w:rPr>
              <w:t>Rights as a Lender</w:t>
            </w:r>
          </w:p>
        </w:tc>
        <w:tc>
          <w:tcPr>
            <w:tcW w:w="210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29"/>
        </w:trPr>
        <w:tc>
          <w:tcPr>
            <w:tcW w:w="640" w:type="dxa"/>
            <w:vAlign w:val="bottom"/>
          </w:tcPr>
          <w:p>
            <w:pPr>
              <w:spacing w:after="0"/>
              <w:rPr>
                <w:sz w:val="20"/>
                <w:szCs w:val="20"/>
                <w:color w:val="auto"/>
              </w:rPr>
            </w:pPr>
            <w:r>
              <w:rPr>
                <w:rFonts w:ascii="Arial" w:cs="Arial" w:eastAsia="Arial" w:hAnsi="Arial"/>
                <w:sz w:val="20"/>
                <w:szCs w:val="20"/>
                <w:color w:val="auto"/>
              </w:rPr>
              <w:t>9.03</w:t>
            </w:r>
          </w:p>
        </w:tc>
        <w:tc>
          <w:tcPr>
            <w:tcW w:w="8420" w:type="dxa"/>
            <w:vAlign w:val="bottom"/>
          </w:tcPr>
          <w:p>
            <w:pPr>
              <w:ind w:left="200"/>
              <w:spacing w:after="0"/>
              <w:rPr>
                <w:sz w:val="20"/>
                <w:szCs w:val="20"/>
                <w:color w:val="auto"/>
              </w:rPr>
            </w:pPr>
            <w:r>
              <w:rPr>
                <w:rFonts w:ascii="Arial" w:cs="Arial" w:eastAsia="Arial" w:hAnsi="Arial"/>
                <w:sz w:val="20"/>
                <w:szCs w:val="20"/>
                <w:color w:val="auto"/>
              </w:rPr>
              <w:t>Exculpatory Provisions</w:t>
            </w:r>
          </w:p>
        </w:tc>
        <w:tc>
          <w:tcPr>
            <w:tcW w:w="210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29"/>
        </w:trPr>
        <w:tc>
          <w:tcPr>
            <w:tcW w:w="640" w:type="dxa"/>
            <w:vAlign w:val="bottom"/>
          </w:tcPr>
          <w:p>
            <w:pPr>
              <w:spacing w:after="0"/>
              <w:rPr>
                <w:sz w:val="20"/>
                <w:szCs w:val="20"/>
                <w:color w:val="auto"/>
              </w:rPr>
            </w:pPr>
            <w:r>
              <w:rPr>
                <w:rFonts w:ascii="Arial" w:cs="Arial" w:eastAsia="Arial" w:hAnsi="Arial"/>
                <w:sz w:val="20"/>
                <w:szCs w:val="20"/>
                <w:color w:val="auto"/>
              </w:rPr>
              <w:t>9.04</w:t>
            </w:r>
          </w:p>
        </w:tc>
        <w:tc>
          <w:tcPr>
            <w:tcW w:w="8420" w:type="dxa"/>
            <w:vAlign w:val="bottom"/>
          </w:tcPr>
          <w:p>
            <w:pPr>
              <w:ind w:left="200"/>
              <w:spacing w:after="0"/>
              <w:rPr>
                <w:sz w:val="20"/>
                <w:szCs w:val="20"/>
                <w:color w:val="auto"/>
              </w:rPr>
            </w:pPr>
            <w:r>
              <w:rPr>
                <w:rFonts w:ascii="Arial" w:cs="Arial" w:eastAsia="Arial" w:hAnsi="Arial"/>
                <w:sz w:val="20"/>
                <w:szCs w:val="20"/>
                <w:color w:val="auto"/>
              </w:rPr>
              <w:t>Reliance by Administrative Agent</w:t>
            </w:r>
          </w:p>
        </w:tc>
        <w:tc>
          <w:tcPr>
            <w:tcW w:w="210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9.05</w:t>
            </w:r>
          </w:p>
        </w:tc>
        <w:tc>
          <w:tcPr>
            <w:tcW w:w="8420" w:type="dxa"/>
            <w:vAlign w:val="bottom"/>
          </w:tcPr>
          <w:p>
            <w:pPr>
              <w:ind w:left="200"/>
              <w:spacing w:after="0"/>
              <w:rPr>
                <w:sz w:val="20"/>
                <w:szCs w:val="20"/>
                <w:color w:val="auto"/>
              </w:rPr>
            </w:pPr>
            <w:r>
              <w:rPr>
                <w:rFonts w:ascii="Arial" w:cs="Arial" w:eastAsia="Arial" w:hAnsi="Arial"/>
                <w:sz w:val="20"/>
                <w:szCs w:val="20"/>
                <w:color w:val="auto"/>
              </w:rPr>
              <w:t>Delegation of Duties</w:t>
            </w:r>
          </w:p>
        </w:tc>
        <w:tc>
          <w:tcPr>
            <w:tcW w:w="210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29"/>
        </w:trPr>
        <w:tc>
          <w:tcPr>
            <w:tcW w:w="640" w:type="dxa"/>
            <w:vAlign w:val="bottom"/>
          </w:tcPr>
          <w:p>
            <w:pPr>
              <w:spacing w:after="0"/>
              <w:rPr>
                <w:sz w:val="20"/>
                <w:szCs w:val="20"/>
                <w:color w:val="auto"/>
              </w:rPr>
            </w:pPr>
            <w:r>
              <w:rPr>
                <w:rFonts w:ascii="Arial" w:cs="Arial" w:eastAsia="Arial" w:hAnsi="Arial"/>
                <w:sz w:val="20"/>
                <w:szCs w:val="20"/>
                <w:color w:val="auto"/>
              </w:rPr>
              <w:t>9.06</w:t>
            </w:r>
          </w:p>
        </w:tc>
        <w:tc>
          <w:tcPr>
            <w:tcW w:w="8420" w:type="dxa"/>
            <w:vAlign w:val="bottom"/>
          </w:tcPr>
          <w:p>
            <w:pPr>
              <w:ind w:left="200"/>
              <w:spacing w:after="0"/>
              <w:rPr>
                <w:sz w:val="20"/>
                <w:szCs w:val="20"/>
                <w:color w:val="auto"/>
              </w:rPr>
            </w:pPr>
            <w:r>
              <w:rPr>
                <w:rFonts w:ascii="Arial" w:cs="Arial" w:eastAsia="Arial" w:hAnsi="Arial"/>
                <w:sz w:val="20"/>
                <w:szCs w:val="20"/>
                <w:color w:val="auto"/>
              </w:rPr>
              <w:t>Resignation or Removal of Administrative Agent</w:t>
            </w:r>
          </w:p>
        </w:tc>
        <w:tc>
          <w:tcPr>
            <w:tcW w:w="210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9.07</w:t>
            </w:r>
          </w:p>
        </w:tc>
        <w:tc>
          <w:tcPr>
            <w:tcW w:w="8420" w:type="dxa"/>
            <w:vAlign w:val="bottom"/>
          </w:tcPr>
          <w:p>
            <w:pPr>
              <w:ind w:left="200"/>
              <w:spacing w:after="0"/>
              <w:rPr>
                <w:sz w:val="20"/>
                <w:szCs w:val="20"/>
                <w:color w:val="auto"/>
              </w:rPr>
            </w:pPr>
            <w:r>
              <w:rPr>
                <w:rFonts w:ascii="Arial" w:cs="Arial" w:eastAsia="Arial" w:hAnsi="Arial"/>
                <w:sz w:val="20"/>
                <w:szCs w:val="20"/>
                <w:color w:val="auto"/>
              </w:rPr>
              <w:t>Non-Reliance on the Administrative Agent, the Arrangers and the Other Lenders</w:t>
            </w:r>
          </w:p>
        </w:tc>
        <w:tc>
          <w:tcPr>
            <w:tcW w:w="210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29"/>
        </w:trPr>
        <w:tc>
          <w:tcPr>
            <w:tcW w:w="640" w:type="dxa"/>
            <w:vAlign w:val="bottom"/>
          </w:tcPr>
          <w:p>
            <w:pPr>
              <w:spacing w:after="0"/>
              <w:rPr>
                <w:sz w:val="20"/>
                <w:szCs w:val="20"/>
                <w:color w:val="auto"/>
              </w:rPr>
            </w:pPr>
            <w:r>
              <w:rPr>
                <w:rFonts w:ascii="Arial" w:cs="Arial" w:eastAsia="Arial" w:hAnsi="Arial"/>
                <w:sz w:val="20"/>
                <w:szCs w:val="20"/>
                <w:color w:val="auto"/>
              </w:rPr>
              <w:t>9.08</w:t>
            </w:r>
          </w:p>
        </w:tc>
        <w:tc>
          <w:tcPr>
            <w:tcW w:w="8420" w:type="dxa"/>
            <w:vAlign w:val="bottom"/>
          </w:tcPr>
          <w:p>
            <w:pPr>
              <w:ind w:left="200"/>
              <w:spacing w:after="0"/>
              <w:rPr>
                <w:sz w:val="20"/>
                <w:szCs w:val="20"/>
                <w:color w:val="auto"/>
              </w:rPr>
            </w:pPr>
            <w:r>
              <w:rPr>
                <w:rFonts w:ascii="Arial" w:cs="Arial" w:eastAsia="Arial" w:hAnsi="Arial"/>
                <w:sz w:val="20"/>
                <w:szCs w:val="20"/>
                <w:color w:val="auto"/>
              </w:rPr>
              <w:t>No Other Duties, Etc</w:t>
            </w:r>
          </w:p>
        </w:tc>
        <w:tc>
          <w:tcPr>
            <w:tcW w:w="210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29"/>
        </w:trPr>
        <w:tc>
          <w:tcPr>
            <w:tcW w:w="640" w:type="dxa"/>
            <w:vAlign w:val="bottom"/>
          </w:tcPr>
          <w:p>
            <w:pPr>
              <w:spacing w:after="0"/>
              <w:rPr>
                <w:sz w:val="20"/>
                <w:szCs w:val="20"/>
                <w:color w:val="auto"/>
              </w:rPr>
            </w:pPr>
            <w:r>
              <w:rPr>
                <w:rFonts w:ascii="Arial" w:cs="Arial" w:eastAsia="Arial" w:hAnsi="Arial"/>
                <w:sz w:val="20"/>
                <w:szCs w:val="20"/>
                <w:color w:val="auto"/>
              </w:rPr>
              <w:t>9.09</w:t>
            </w:r>
          </w:p>
        </w:tc>
        <w:tc>
          <w:tcPr>
            <w:tcW w:w="8420" w:type="dxa"/>
            <w:vAlign w:val="bottom"/>
          </w:tcPr>
          <w:p>
            <w:pPr>
              <w:ind w:left="200"/>
              <w:spacing w:after="0"/>
              <w:rPr>
                <w:sz w:val="20"/>
                <w:szCs w:val="20"/>
                <w:color w:val="auto"/>
              </w:rPr>
            </w:pPr>
            <w:r>
              <w:rPr>
                <w:rFonts w:ascii="Arial" w:cs="Arial" w:eastAsia="Arial" w:hAnsi="Arial"/>
                <w:sz w:val="20"/>
                <w:szCs w:val="20"/>
                <w:color w:val="auto"/>
              </w:rPr>
              <w:t>Administrative Agent May File Proofs of Claim</w:t>
            </w:r>
          </w:p>
        </w:tc>
        <w:tc>
          <w:tcPr>
            <w:tcW w:w="210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9.10</w:t>
            </w:r>
          </w:p>
        </w:tc>
        <w:tc>
          <w:tcPr>
            <w:tcW w:w="8420" w:type="dxa"/>
            <w:vAlign w:val="bottom"/>
          </w:tcPr>
          <w:p>
            <w:pPr>
              <w:ind w:left="200"/>
              <w:spacing w:after="0"/>
              <w:rPr>
                <w:sz w:val="20"/>
                <w:szCs w:val="20"/>
                <w:color w:val="auto"/>
              </w:rPr>
            </w:pPr>
            <w:r>
              <w:rPr>
                <w:rFonts w:ascii="Arial" w:cs="Arial" w:eastAsia="Arial" w:hAnsi="Arial"/>
                <w:sz w:val="20"/>
                <w:szCs w:val="20"/>
                <w:color w:val="auto"/>
              </w:rPr>
              <w:t>No Lender is an Employee Benefit Plan</w:t>
            </w:r>
          </w:p>
        </w:tc>
        <w:tc>
          <w:tcPr>
            <w:tcW w:w="210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438"/>
        </w:trPr>
        <w:tc>
          <w:tcPr>
            <w:tcW w:w="640" w:type="dxa"/>
            <w:vAlign w:val="bottom"/>
          </w:tcPr>
          <w:p>
            <w:pPr>
              <w:spacing w:after="0"/>
              <w:rPr>
                <w:sz w:val="24"/>
                <w:szCs w:val="24"/>
                <w:color w:val="auto"/>
              </w:rPr>
            </w:pPr>
          </w:p>
        </w:tc>
        <w:tc>
          <w:tcPr>
            <w:tcW w:w="8420" w:type="dxa"/>
            <w:vAlign w:val="bottom"/>
          </w:tcPr>
          <w:p>
            <w:pPr>
              <w:jc w:val="center"/>
              <w:ind w:left="1501"/>
              <w:spacing w:after="0"/>
              <w:rPr>
                <w:sz w:val="20"/>
                <w:szCs w:val="20"/>
                <w:color w:val="auto"/>
              </w:rPr>
            </w:pPr>
            <w:r>
              <w:rPr>
                <w:rFonts w:ascii="Arial" w:cs="Arial" w:eastAsia="Arial" w:hAnsi="Arial"/>
                <w:sz w:val="20"/>
                <w:szCs w:val="20"/>
                <w:color w:val="auto"/>
                <w:w w:val="97"/>
              </w:rPr>
              <w:t>ARTICLE X.</w:t>
            </w:r>
          </w:p>
        </w:tc>
        <w:tc>
          <w:tcPr>
            <w:tcW w:w="2100" w:type="dxa"/>
            <w:vAlign w:val="bottom"/>
          </w:tcPr>
          <w:p>
            <w:pPr>
              <w:spacing w:after="0"/>
              <w:rPr>
                <w:sz w:val="24"/>
                <w:szCs w:val="24"/>
                <w:color w:val="auto"/>
              </w:rPr>
            </w:pPr>
          </w:p>
        </w:tc>
      </w:tr>
      <w:tr>
        <w:trPr>
          <w:trHeight w:val="250"/>
        </w:trPr>
        <w:tc>
          <w:tcPr>
            <w:tcW w:w="640" w:type="dxa"/>
            <w:vAlign w:val="bottom"/>
          </w:tcPr>
          <w:p>
            <w:pPr>
              <w:spacing w:after="0"/>
              <w:rPr>
                <w:sz w:val="21"/>
                <w:szCs w:val="21"/>
                <w:color w:val="auto"/>
              </w:rPr>
            </w:pPr>
          </w:p>
        </w:tc>
        <w:tc>
          <w:tcPr>
            <w:tcW w:w="8420" w:type="dxa"/>
            <w:vAlign w:val="bottom"/>
          </w:tcPr>
          <w:p>
            <w:pPr>
              <w:jc w:val="center"/>
              <w:ind w:left="1501"/>
              <w:spacing w:after="0"/>
              <w:rPr>
                <w:sz w:val="20"/>
                <w:szCs w:val="20"/>
                <w:color w:val="auto"/>
              </w:rPr>
            </w:pPr>
            <w:r>
              <w:rPr>
                <w:rFonts w:ascii="Arial" w:cs="Arial" w:eastAsia="Arial" w:hAnsi="Arial"/>
                <w:sz w:val="20"/>
                <w:szCs w:val="20"/>
                <w:color w:val="auto"/>
                <w:w w:val="97"/>
              </w:rPr>
              <w:t>MISCELLANEOUS</w:t>
            </w:r>
          </w:p>
        </w:tc>
        <w:tc>
          <w:tcPr>
            <w:tcW w:w="2100" w:type="dxa"/>
            <w:vAlign w:val="bottom"/>
          </w:tcPr>
          <w:p>
            <w:pPr>
              <w:spacing w:after="0"/>
              <w:rPr>
                <w:sz w:val="21"/>
                <w:szCs w:val="21"/>
                <w:color w:val="auto"/>
              </w:rPr>
            </w:pPr>
          </w:p>
        </w:tc>
      </w:tr>
      <w:tr>
        <w:trPr>
          <w:trHeight w:val="317"/>
        </w:trPr>
        <w:tc>
          <w:tcPr>
            <w:tcW w:w="640" w:type="dxa"/>
            <w:vAlign w:val="bottom"/>
          </w:tcPr>
          <w:p>
            <w:pPr>
              <w:spacing w:after="0"/>
              <w:rPr>
                <w:sz w:val="20"/>
                <w:szCs w:val="20"/>
                <w:color w:val="auto"/>
              </w:rPr>
            </w:pPr>
            <w:r>
              <w:rPr>
                <w:rFonts w:ascii="Arial" w:cs="Arial" w:eastAsia="Arial" w:hAnsi="Arial"/>
                <w:sz w:val="20"/>
                <w:szCs w:val="20"/>
                <w:color w:val="auto"/>
              </w:rPr>
              <w:t>10.01</w:t>
            </w:r>
          </w:p>
        </w:tc>
        <w:tc>
          <w:tcPr>
            <w:tcW w:w="8420" w:type="dxa"/>
            <w:vAlign w:val="bottom"/>
          </w:tcPr>
          <w:p>
            <w:pPr>
              <w:ind w:left="180"/>
              <w:spacing w:after="0"/>
              <w:rPr>
                <w:sz w:val="20"/>
                <w:szCs w:val="20"/>
                <w:color w:val="auto"/>
              </w:rPr>
            </w:pPr>
            <w:r>
              <w:rPr>
                <w:rFonts w:ascii="Arial" w:cs="Arial" w:eastAsia="Arial" w:hAnsi="Arial"/>
                <w:sz w:val="20"/>
                <w:szCs w:val="20"/>
                <w:color w:val="auto"/>
              </w:rPr>
              <w:t>Amendments, Etc</w:t>
            </w:r>
          </w:p>
        </w:tc>
        <w:tc>
          <w:tcPr>
            <w:tcW w:w="210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29"/>
        </w:trPr>
        <w:tc>
          <w:tcPr>
            <w:tcW w:w="640" w:type="dxa"/>
            <w:vAlign w:val="bottom"/>
          </w:tcPr>
          <w:p>
            <w:pPr>
              <w:spacing w:after="0"/>
              <w:rPr>
                <w:sz w:val="20"/>
                <w:szCs w:val="20"/>
                <w:color w:val="auto"/>
              </w:rPr>
            </w:pPr>
            <w:r>
              <w:rPr>
                <w:rFonts w:ascii="Arial" w:cs="Arial" w:eastAsia="Arial" w:hAnsi="Arial"/>
                <w:sz w:val="20"/>
                <w:szCs w:val="20"/>
                <w:color w:val="auto"/>
              </w:rPr>
              <w:t>10.02</w:t>
            </w:r>
          </w:p>
        </w:tc>
        <w:tc>
          <w:tcPr>
            <w:tcW w:w="8420" w:type="dxa"/>
            <w:vAlign w:val="bottom"/>
          </w:tcPr>
          <w:p>
            <w:pPr>
              <w:ind w:left="180"/>
              <w:spacing w:after="0"/>
              <w:rPr>
                <w:sz w:val="20"/>
                <w:szCs w:val="20"/>
                <w:color w:val="auto"/>
              </w:rPr>
            </w:pPr>
            <w:r>
              <w:rPr>
                <w:rFonts w:ascii="Arial" w:cs="Arial" w:eastAsia="Arial" w:hAnsi="Arial"/>
                <w:sz w:val="20"/>
                <w:szCs w:val="20"/>
                <w:color w:val="auto"/>
              </w:rPr>
              <w:t>Notices; Effectiveness; Electronic Communication</w:t>
            </w:r>
          </w:p>
        </w:tc>
        <w:tc>
          <w:tcPr>
            <w:tcW w:w="210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10.03</w:t>
            </w:r>
          </w:p>
        </w:tc>
        <w:tc>
          <w:tcPr>
            <w:tcW w:w="8420" w:type="dxa"/>
            <w:vAlign w:val="bottom"/>
          </w:tcPr>
          <w:p>
            <w:pPr>
              <w:ind w:left="180"/>
              <w:spacing w:after="0"/>
              <w:rPr>
                <w:sz w:val="20"/>
                <w:szCs w:val="20"/>
                <w:color w:val="auto"/>
              </w:rPr>
            </w:pPr>
            <w:r>
              <w:rPr>
                <w:rFonts w:ascii="Arial" w:cs="Arial" w:eastAsia="Arial" w:hAnsi="Arial"/>
                <w:sz w:val="20"/>
                <w:szCs w:val="20"/>
                <w:color w:val="auto"/>
              </w:rPr>
              <w:t>No Waiver; Cumulative Remedies; Enforcement</w:t>
            </w:r>
          </w:p>
        </w:tc>
        <w:tc>
          <w:tcPr>
            <w:tcW w:w="210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29"/>
        </w:trPr>
        <w:tc>
          <w:tcPr>
            <w:tcW w:w="640" w:type="dxa"/>
            <w:vAlign w:val="bottom"/>
          </w:tcPr>
          <w:p>
            <w:pPr>
              <w:spacing w:after="0"/>
              <w:rPr>
                <w:sz w:val="20"/>
                <w:szCs w:val="20"/>
                <w:color w:val="auto"/>
              </w:rPr>
            </w:pPr>
            <w:r>
              <w:rPr>
                <w:rFonts w:ascii="Arial" w:cs="Arial" w:eastAsia="Arial" w:hAnsi="Arial"/>
                <w:sz w:val="20"/>
                <w:szCs w:val="20"/>
                <w:color w:val="auto"/>
              </w:rPr>
              <w:t>10.04</w:t>
            </w:r>
          </w:p>
        </w:tc>
        <w:tc>
          <w:tcPr>
            <w:tcW w:w="8420" w:type="dxa"/>
            <w:vAlign w:val="bottom"/>
          </w:tcPr>
          <w:p>
            <w:pPr>
              <w:ind w:left="180"/>
              <w:spacing w:after="0"/>
              <w:rPr>
                <w:sz w:val="20"/>
                <w:szCs w:val="20"/>
                <w:color w:val="auto"/>
              </w:rPr>
            </w:pPr>
            <w:r>
              <w:rPr>
                <w:rFonts w:ascii="Arial" w:cs="Arial" w:eastAsia="Arial" w:hAnsi="Arial"/>
                <w:sz w:val="20"/>
                <w:szCs w:val="20"/>
                <w:color w:val="auto"/>
              </w:rPr>
              <w:t>Expenses; Indemnity; Damage Waiver</w:t>
            </w:r>
          </w:p>
        </w:tc>
        <w:tc>
          <w:tcPr>
            <w:tcW w:w="210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29"/>
        </w:trPr>
        <w:tc>
          <w:tcPr>
            <w:tcW w:w="640" w:type="dxa"/>
            <w:vAlign w:val="bottom"/>
          </w:tcPr>
          <w:p>
            <w:pPr>
              <w:spacing w:after="0"/>
              <w:rPr>
                <w:sz w:val="20"/>
                <w:szCs w:val="20"/>
                <w:color w:val="auto"/>
              </w:rPr>
            </w:pPr>
            <w:r>
              <w:rPr>
                <w:rFonts w:ascii="Arial" w:cs="Arial" w:eastAsia="Arial" w:hAnsi="Arial"/>
                <w:sz w:val="20"/>
                <w:szCs w:val="20"/>
                <w:color w:val="auto"/>
              </w:rPr>
              <w:t>10.05</w:t>
            </w:r>
          </w:p>
        </w:tc>
        <w:tc>
          <w:tcPr>
            <w:tcW w:w="8420" w:type="dxa"/>
            <w:vAlign w:val="bottom"/>
          </w:tcPr>
          <w:p>
            <w:pPr>
              <w:ind w:left="180"/>
              <w:spacing w:after="0"/>
              <w:rPr>
                <w:sz w:val="20"/>
                <w:szCs w:val="20"/>
                <w:color w:val="auto"/>
              </w:rPr>
            </w:pPr>
            <w:r>
              <w:rPr>
                <w:rFonts w:ascii="Arial" w:cs="Arial" w:eastAsia="Arial" w:hAnsi="Arial"/>
                <w:sz w:val="20"/>
                <w:szCs w:val="20"/>
                <w:color w:val="auto"/>
              </w:rPr>
              <w:t>Payments Set Aside</w:t>
            </w:r>
          </w:p>
        </w:tc>
        <w:tc>
          <w:tcPr>
            <w:tcW w:w="210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10.06</w:t>
            </w:r>
          </w:p>
        </w:tc>
        <w:tc>
          <w:tcPr>
            <w:tcW w:w="8420" w:type="dxa"/>
            <w:vAlign w:val="bottom"/>
          </w:tcPr>
          <w:p>
            <w:pPr>
              <w:ind w:left="180"/>
              <w:spacing w:after="0"/>
              <w:rPr>
                <w:sz w:val="20"/>
                <w:szCs w:val="20"/>
                <w:color w:val="auto"/>
              </w:rPr>
            </w:pPr>
            <w:r>
              <w:rPr>
                <w:rFonts w:ascii="Arial" w:cs="Arial" w:eastAsia="Arial" w:hAnsi="Arial"/>
                <w:sz w:val="20"/>
                <w:szCs w:val="20"/>
                <w:color w:val="auto"/>
              </w:rPr>
              <w:t>Successors and Assigns</w:t>
            </w:r>
          </w:p>
        </w:tc>
        <w:tc>
          <w:tcPr>
            <w:tcW w:w="210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29"/>
        </w:trPr>
        <w:tc>
          <w:tcPr>
            <w:tcW w:w="640" w:type="dxa"/>
            <w:vAlign w:val="bottom"/>
          </w:tcPr>
          <w:p>
            <w:pPr>
              <w:spacing w:after="0"/>
              <w:rPr>
                <w:sz w:val="20"/>
                <w:szCs w:val="20"/>
                <w:color w:val="auto"/>
              </w:rPr>
            </w:pPr>
            <w:r>
              <w:rPr>
                <w:rFonts w:ascii="Arial" w:cs="Arial" w:eastAsia="Arial" w:hAnsi="Arial"/>
                <w:sz w:val="20"/>
                <w:szCs w:val="20"/>
                <w:color w:val="auto"/>
              </w:rPr>
              <w:t>10.07</w:t>
            </w:r>
          </w:p>
        </w:tc>
        <w:tc>
          <w:tcPr>
            <w:tcW w:w="8420" w:type="dxa"/>
            <w:vAlign w:val="bottom"/>
          </w:tcPr>
          <w:p>
            <w:pPr>
              <w:ind w:left="180"/>
              <w:spacing w:after="0"/>
              <w:rPr>
                <w:sz w:val="20"/>
                <w:szCs w:val="20"/>
                <w:color w:val="auto"/>
              </w:rPr>
            </w:pPr>
            <w:r>
              <w:rPr>
                <w:rFonts w:ascii="Arial" w:cs="Arial" w:eastAsia="Arial" w:hAnsi="Arial"/>
                <w:sz w:val="20"/>
                <w:szCs w:val="20"/>
                <w:color w:val="auto"/>
              </w:rPr>
              <w:t>Treatment of Certain Information; Confidentiality</w:t>
            </w:r>
          </w:p>
        </w:tc>
        <w:tc>
          <w:tcPr>
            <w:tcW w:w="210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29"/>
        </w:trPr>
        <w:tc>
          <w:tcPr>
            <w:tcW w:w="640" w:type="dxa"/>
            <w:vAlign w:val="bottom"/>
          </w:tcPr>
          <w:p>
            <w:pPr>
              <w:spacing w:after="0"/>
              <w:rPr>
                <w:sz w:val="20"/>
                <w:szCs w:val="20"/>
                <w:color w:val="auto"/>
              </w:rPr>
            </w:pPr>
            <w:r>
              <w:rPr>
                <w:rFonts w:ascii="Arial" w:cs="Arial" w:eastAsia="Arial" w:hAnsi="Arial"/>
                <w:sz w:val="20"/>
                <w:szCs w:val="20"/>
                <w:color w:val="auto"/>
              </w:rPr>
              <w:t>10.08</w:t>
            </w:r>
          </w:p>
        </w:tc>
        <w:tc>
          <w:tcPr>
            <w:tcW w:w="8420" w:type="dxa"/>
            <w:vAlign w:val="bottom"/>
          </w:tcPr>
          <w:p>
            <w:pPr>
              <w:ind w:left="180"/>
              <w:spacing w:after="0"/>
              <w:rPr>
                <w:sz w:val="20"/>
                <w:szCs w:val="20"/>
                <w:color w:val="auto"/>
              </w:rPr>
            </w:pPr>
            <w:r>
              <w:rPr>
                <w:rFonts w:ascii="Arial" w:cs="Arial" w:eastAsia="Arial" w:hAnsi="Arial"/>
                <w:sz w:val="20"/>
                <w:szCs w:val="20"/>
                <w:color w:val="auto"/>
              </w:rPr>
              <w:t>Right of Setoff</w:t>
            </w:r>
          </w:p>
        </w:tc>
        <w:tc>
          <w:tcPr>
            <w:tcW w:w="210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10.09</w:t>
            </w:r>
          </w:p>
        </w:tc>
        <w:tc>
          <w:tcPr>
            <w:tcW w:w="8420" w:type="dxa"/>
            <w:vAlign w:val="bottom"/>
          </w:tcPr>
          <w:p>
            <w:pPr>
              <w:ind w:left="180"/>
              <w:spacing w:after="0"/>
              <w:rPr>
                <w:sz w:val="20"/>
                <w:szCs w:val="20"/>
                <w:color w:val="auto"/>
              </w:rPr>
            </w:pPr>
            <w:r>
              <w:rPr>
                <w:rFonts w:ascii="Arial" w:cs="Arial" w:eastAsia="Arial" w:hAnsi="Arial"/>
                <w:sz w:val="20"/>
                <w:szCs w:val="20"/>
                <w:color w:val="auto"/>
              </w:rPr>
              <w:t>Interest Rate Limitation</w:t>
            </w:r>
          </w:p>
        </w:tc>
        <w:tc>
          <w:tcPr>
            <w:tcW w:w="210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29"/>
        </w:trPr>
        <w:tc>
          <w:tcPr>
            <w:tcW w:w="640" w:type="dxa"/>
            <w:vAlign w:val="bottom"/>
          </w:tcPr>
          <w:p>
            <w:pPr>
              <w:spacing w:after="0"/>
              <w:rPr>
                <w:sz w:val="20"/>
                <w:szCs w:val="20"/>
                <w:color w:val="auto"/>
              </w:rPr>
            </w:pPr>
            <w:r>
              <w:rPr>
                <w:rFonts w:ascii="Arial" w:cs="Arial" w:eastAsia="Arial" w:hAnsi="Arial"/>
                <w:sz w:val="20"/>
                <w:szCs w:val="20"/>
                <w:color w:val="auto"/>
              </w:rPr>
              <w:t>10.10</w:t>
            </w:r>
          </w:p>
        </w:tc>
        <w:tc>
          <w:tcPr>
            <w:tcW w:w="8420" w:type="dxa"/>
            <w:vAlign w:val="bottom"/>
          </w:tcPr>
          <w:p>
            <w:pPr>
              <w:ind w:left="180"/>
              <w:spacing w:after="0"/>
              <w:rPr>
                <w:sz w:val="20"/>
                <w:szCs w:val="20"/>
                <w:color w:val="auto"/>
              </w:rPr>
            </w:pPr>
            <w:r>
              <w:rPr>
                <w:rFonts w:ascii="Arial" w:cs="Arial" w:eastAsia="Arial" w:hAnsi="Arial"/>
                <w:sz w:val="20"/>
                <w:szCs w:val="20"/>
                <w:color w:val="auto"/>
              </w:rPr>
              <w:t>Counterparts; Integration; Effectiveness</w:t>
            </w:r>
          </w:p>
        </w:tc>
        <w:tc>
          <w:tcPr>
            <w:tcW w:w="210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10.11</w:t>
            </w:r>
          </w:p>
        </w:tc>
        <w:tc>
          <w:tcPr>
            <w:tcW w:w="8420" w:type="dxa"/>
            <w:vAlign w:val="bottom"/>
          </w:tcPr>
          <w:p>
            <w:pPr>
              <w:ind w:left="180"/>
              <w:spacing w:after="0"/>
              <w:rPr>
                <w:sz w:val="20"/>
                <w:szCs w:val="20"/>
                <w:color w:val="auto"/>
              </w:rPr>
            </w:pPr>
            <w:r>
              <w:rPr>
                <w:rFonts w:ascii="Arial" w:cs="Arial" w:eastAsia="Arial" w:hAnsi="Arial"/>
                <w:sz w:val="20"/>
                <w:szCs w:val="20"/>
                <w:color w:val="auto"/>
              </w:rPr>
              <w:t>Survival of Representations and Warranties</w:t>
            </w:r>
          </w:p>
        </w:tc>
        <w:tc>
          <w:tcPr>
            <w:tcW w:w="210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10.12</w:t>
            </w:r>
          </w:p>
        </w:tc>
        <w:tc>
          <w:tcPr>
            <w:tcW w:w="8420" w:type="dxa"/>
            <w:vAlign w:val="bottom"/>
          </w:tcPr>
          <w:p>
            <w:pPr>
              <w:ind w:left="180"/>
              <w:spacing w:after="0"/>
              <w:rPr>
                <w:sz w:val="20"/>
                <w:szCs w:val="20"/>
                <w:color w:val="auto"/>
              </w:rPr>
            </w:pPr>
            <w:r>
              <w:rPr>
                <w:rFonts w:ascii="Arial" w:cs="Arial" w:eastAsia="Arial" w:hAnsi="Arial"/>
                <w:sz w:val="20"/>
                <w:szCs w:val="20"/>
                <w:color w:val="auto"/>
              </w:rPr>
              <w:t>Severability</w:t>
            </w:r>
          </w:p>
        </w:tc>
        <w:tc>
          <w:tcPr>
            <w:tcW w:w="210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10.13</w:t>
            </w:r>
          </w:p>
        </w:tc>
        <w:tc>
          <w:tcPr>
            <w:tcW w:w="8420" w:type="dxa"/>
            <w:vAlign w:val="bottom"/>
          </w:tcPr>
          <w:p>
            <w:pPr>
              <w:ind w:left="180"/>
              <w:spacing w:after="0"/>
              <w:rPr>
                <w:sz w:val="20"/>
                <w:szCs w:val="20"/>
                <w:color w:val="auto"/>
              </w:rPr>
            </w:pPr>
            <w:r>
              <w:rPr>
                <w:rFonts w:ascii="Arial" w:cs="Arial" w:eastAsia="Arial" w:hAnsi="Arial"/>
                <w:sz w:val="20"/>
                <w:szCs w:val="20"/>
                <w:color w:val="auto"/>
              </w:rPr>
              <w:t>Replacement of Lenders</w:t>
            </w:r>
          </w:p>
        </w:tc>
        <w:tc>
          <w:tcPr>
            <w:tcW w:w="210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229"/>
        </w:trPr>
        <w:tc>
          <w:tcPr>
            <w:tcW w:w="640" w:type="dxa"/>
            <w:vAlign w:val="bottom"/>
          </w:tcPr>
          <w:p>
            <w:pPr>
              <w:spacing w:after="0"/>
              <w:rPr>
                <w:sz w:val="20"/>
                <w:szCs w:val="20"/>
                <w:color w:val="auto"/>
              </w:rPr>
            </w:pPr>
            <w:r>
              <w:rPr>
                <w:rFonts w:ascii="Arial" w:cs="Arial" w:eastAsia="Arial" w:hAnsi="Arial"/>
                <w:sz w:val="20"/>
                <w:szCs w:val="20"/>
                <w:color w:val="auto"/>
              </w:rPr>
              <w:t>10.14</w:t>
            </w:r>
          </w:p>
        </w:tc>
        <w:tc>
          <w:tcPr>
            <w:tcW w:w="8420" w:type="dxa"/>
            <w:vAlign w:val="bottom"/>
          </w:tcPr>
          <w:p>
            <w:pPr>
              <w:ind w:left="180"/>
              <w:spacing w:after="0"/>
              <w:rPr>
                <w:sz w:val="20"/>
                <w:szCs w:val="20"/>
                <w:color w:val="auto"/>
              </w:rPr>
            </w:pPr>
            <w:r>
              <w:rPr>
                <w:rFonts w:ascii="Arial" w:cs="Arial" w:eastAsia="Arial" w:hAnsi="Arial"/>
                <w:sz w:val="20"/>
                <w:szCs w:val="20"/>
                <w:color w:val="auto"/>
              </w:rPr>
              <w:t>Governing Law; Jurisdiction; Etc.</w:t>
            </w:r>
          </w:p>
        </w:tc>
        <w:tc>
          <w:tcPr>
            <w:tcW w:w="210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10.15</w:t>
            </w:r>
          </w:p>
        </w:tc>
        <w:tc>
          <w:tcPr>
            <w:tcW w:w="8420" w:type="dxa"/>
            <w:vAlign w:val="bottom"/>
          </w:tcPr>
          <w:p>
            <w:pPr>
              <w:ind w:left="180"/>
              <w:spacing w:after="0"/>
              <w:rPr>
                <w:sz w:val="20"/>
                <w:szCs w:val="20"/>
                <w:color w:val="auto"/>
              </w:rPr>
            </w:pPr>
            <w:r>
              <w:rPr>
                <w:rFonts w:ascii="Arial" w:cs="Arial" w:eastAsia="Arial" w:hAnsi="Arial"/>
                <w:sz w:val="20"/>
                <w:szCs w:val="20"/>
                <w:color w:val="auto"/>
              </w:rPr>
              <w:t>Waiver of Jury Trial</w:t>
            </w:r>
          </w:p>
        </w:tc>
        <w:tc>
          <w:tcPr>
            <w:tcW w:w="2100" w:type="dxa"/>
            <w:vAlign w:val="bottom"/>
          </w:tcPr>
          <w:p>
            <w:pPr>
              <w:jc w:val="right"/>
              <w:spacing w:after="0"/>
              <w:rPr>
                <w:sz w:val="20"/>
                <w:szCs w:val="20"/>
                <w:color w:val="auto"/>
              </w:rPr>
            </w:pPr>
            <w:r>
              <w:rPr>
                <w:rFonts w:ascii="Arial" w:cs="Arial" w:eastAsia="Arial" w:hAnsi="Arial"/>
                <w:sz w:val="20"/>
                <w:szCs w:val="20"/>
                <w:color w:val="auto"/>
              </w:rPr>
              <w:t>75</w:t>
            </w:r>
          </w:p>
        </w:tc>
      </w:t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10.16</w:t>
            </w:r>
          </w:p>
        </w:tc>
        <w:tc>
          <w:tcPr>
            <w:tcW w:w="8420" w:type="dxa"/>
            <w:vAlign w:val="bottom"/>
          </w:tcPr>
          <w:p>
            <w:pPr>
              <w:ind w:left="180"/>
              <w:spacing w:after="0"/>
              <w:rPr>
                <w:sz w:val="20"/>
                <w:szCs w:val="20"/>
                <w:color w:val="auto"/>
              </w:rPr>
            </w:pPr>
            <w:r>
              <w:rPr>
                <w:rFonts w:ascii="Arial" w:cs="Arial" w:eastAsia="Arial" w:hAnsi="Arial"/>
                <w:sz w:val="20"/>
                <w:szCs w:val="20"/>
                <w:color w:val="auto"/>
              </w:rPr>
              <w:t>USA PATRIOT Act Notice</w:t>
            </w:r>
          </w:p>
        </w:tc>
        <w:tc>
          <w:tcPr>
            <w:tcW w:w="210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10.17</w:t>
            </w:r>
          </w:p>
        </w:tc>
        <w:tc>
          <w:tcPr>
            <w:tcW w:w="8420" w:type="dxa"/>
            <w:vAlign w:val="bottom"/>
          </w:tcPr>
          <w:p>
            <w:pPr>
              <w:ind w:left="180"/>
              <w:spacing w:after="0"/>
              <w:rPr>
                <w:sz w:val="20"/>
                <w:szCs w:val="20"/>
                <w:color w:val="auto"/>
              </w:rPr>
            </w:pPr>
            <w:r>
              <w:rPr>
                <w:rFonts w:ascii="Arial" w:cs="Arial" w:eastAsia="Arial" w:hAnsi="Arial"/>
                <w:sz w:val="20"/>
                <w:szCs w:val="20"/>
                <w:color w:val="auto"/>
              </w:rPr>
              <w:t>Automatic Debits of Principal, Interest, Fees</w:t>
            </w:r>
          </w:p>
        </w:tc>
        <w:tc>
          <w:tcPr>
            <w:tcW w:w="210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29"/>
        </w:trPr>
        <w:tc>
          <w:tcPr>
            <w:tcW w:w="640" w:type="dxa"/>
            <w:vAlign w:val="bottom"/>
          </w:tcPr>
          <w:p>
            <w:pPr>
              <w:spacing w:after="0"/>
              <w:rPr>
                <w:sz w:val="20"/>
                <w:szCs w:val="20"/>
                <w:color w:val="auto"/>
              </w:rPr>
            </w:pPr>
            <w:r>
              <w:rPr>
                <w:rFonts w:ascii="Arial" w:cs="Arial" w:eastAsia="Arial" w:hAnsi="Arial"/>
                <w:sz w:val="20"/>
                <w:szCs w:val="20"/>
                <w:color w:val="auto"/>
              </w:rPr>
              <w:t>10.18</w:t>
            </w:r>
          </w:p>
        </w:tc>
        <w:tc>
          <w:tcPr>
            <w:tcW w:w="8420" w:type="dxa"/>
            <w:vAlign w:val="bottom"/>
          </w:tcPr>
          <w:p>
            <w:pPr>
              <w:ind w:left="180"/>
              <w:spacing w:after="0"/>
              <w:rPr>
                <w:sz w:val="20"/>
                <w:szCs w:val="20"/>
                <w:color w:val="auto"/>
              </w:rPr>
            </w:pPr>
            <w:r>
              <w:rPr>
                <w:rFonts w:ascii="Arial" w:cs="Arial" w:eastAsia="Arial" w:hAnsi="Arial"/>
                <w:sz w:val="20"/>
                <w:szCs w:val="20"/>
                <w:color w:val="auto"/>
              </w:rPr>
              <w:t>No Advisory or Fiduciary Responsibility</w:t>
            </w:r>
          </w:p>
        </w:tc>
        <w:tc>
          <w:tcPr>
            <w:tcW w:w="210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10.19</w:t>
            </w:r>
          </w:p>
        </w:tc>
        <w:tc>
          <w:tcPr>
            <w:tcW w:w="8420" w:type="dxa"/>
            <w:vAlign w:val="bottom"/>
          </w:tcPr>
          <w:p>
            <w:pPr>
              <w:ind w:left="180"/>
              <w:spacing w:after="0"/>
              <w:rPr>
                <w:sz w:val="20"/>
                <w:szCs w:val="20"/>
                <w:color w:val="auto"/>
              </w:rPr>
            </w:pPr>
            <w:r>
              <w:rPr>
                <w:rFonts w:ascii="Arial" w:cs="Arial" w:eastAsia="Arial" w:hAnsi="Arial"/>
                <w:sz w:val="20"/>
                <w:szCs w:val="20"/>
                <w:color w:val="auto"/>
              </w:rPr>
              <w:t>Electronic Execution of Assignments and Certain Other Documents</w:t>
            </w:r>
          </w:p>
        </w:tc>
        <w:tc>
          <w:tcPr>
            <w:tcW w:w="210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10.20</w:t>
            </w:r>
          </w:p>
        </w:tc>
        <w:tc>
          <w:tcPr>
            <w:tcW w:w="8420" w:type="dxa"/>
            <w:vAlign w:val="bottom"/>
          </w:tcPr>
          <w:p>
            <w:pPr>
              <w:ind w:left="180"/>
              <w:spacing w:after="0"/>
              <w:rPr>
                <w:sz w:val="20"/>
                <w:szCs w:val="20"/>
                <w:color w:val="auto"/>
              </w:rPr>
            </w:pPr>
            <w:r>
              <w:rPr>
                <w:rFonts w:ascii="Arial" w:cs="Arial" w:eastAsia="Arial" w:hAnsi="Arial"/>
                <w:sz w:val="20"/>
                <w:szCs w:val="20"/>
                <w:color w:val="auto"/>
              </w:rPr>
              <w:t>ENTIRE AGREEMENT</w:t>
            </w:r>
          </w:p>
        </w:tc>
        <w:tc>
          <w:tcPr>
            <w:tcW w:w="210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10.21</w:t>
            </w:r>
          </w:p>
        </w:tc>
        <w:tc>
          <w:tcPr>
            <w:tcW w:w="8420" w:type="dxa"/>
            <w:vAlign w:val="bottom"/>
          </w:tcPr>
          <w:p>
            <w:pPr>
              <w:ind w:left="180"/>
              <w:spacing w:after="0"/>
              <w:rPr>
                <w:sz w:val="20"/>
                <w:szCs w:val="20"/>
                <w:color w:val="auto"/>
              </w:rPr>
            </w:pPr>
            <w:r>
              <w:rPr>
                <w:rFonts w:ascii="Arial" w:cs="Arial" w:eastAsia="Arial" w:hAnsi="Arial"/>
                <w:sz w:val="20"/>
                <w:szCs w:val="20"/>
                <w:color w:val="auto"/>
              </w:rPr>
              <w:t>Acknowledgement and Consent to Bail-In of Affected Financial Institutions</w:t>
            </w:r>
          </w:p>
        </w:tc>
        <w:tc>
          <w:tcPr>
            <w:tcW w:w="210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10.22</w:t>
            </w:r>
          </w:p>
        </w:tc>
        <w:tc>
          <w:tcPr>
            <w:tcW w:w="8420" w:type="dxa"/>
            <w:vAlign w:val="bottom"/>
          </w:tcPr>
          <w:p>
            <w:pPr>
              <w:ind w:left="180"/>
              <w:spacing w:after="0"/>
              <w:rPr>
                <w:sz w:val="20"/>
                <w:szCs w:val="20"/>
                <w:color w:val="auto"/>
              </w:rPr>
            </w:pPr>
            <w:r>
              <w:rPr>
                <w:rFonts w:ascii="Arial" w:cs="Arial" w:eastAsia="Arial" w:hAnsi="Arial"/>
                <w:sz w:val="20"/>
                <w:szCs w:val="20"/>
                <w:color w:val="auto"/>
              </w:rPr>
              <w:t>Acknowledgement Regarding Any Supported QFCs</w:t>
            </w:r>
          </w:p>
        </w:tc>
        <w:tc>
          <w:tcPr>
            <w:tcW w:w="210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688"/>
        </w:trPr>
        <w:tc>
          <w:tcPr>
            <w:tcW w:w="9060" w:type="dxa"/>
            <w:vAlign w:val="bottom"/>
            <w:gridSpan w:val="2"/>
          </w:tcPr>
          <w:p>
            <w:pPr>
              <w:spacing w:after="0"/>
              <w:rPr>
                <w:sz w:val="20"/>
                <w:szCs w:val="20"/>
                <w:color w:val="auto"/>
              </w:rPr>
            </w:pPr>
            <w:r>
              <w:rPr>
                <w:rFonts w:ascii="Arial" w:cs="Arial" w:eastAsia="Arial" w:hAnsi="Arial"/>
                <w:sz w:val="20"/>
                <w:szCs w:val="20"/>
                <w:color w:val="auto"/>
              </w:rPr>
              <w:t>SIGNATURES</w:t>
            </w:r>
          </w:p>
        </w:tc>
        <w:tc>
          <w:tcPr>
            <w:tcW w:w="2100" w:type="dxa"/>
            <w:vAlign w:val="bottom"/>
          </w:tcPr>
          <w:p>
            <w:pPr>
              <w:jc w:val="right"/>
              <w:spacing w:after="0"/>
              <w:rPr>
                <w:sz w:val="20"/>
                <w:szCs w:val="20"/>
                <w:color w:val="auto"/>
              </w:rPr>
            </w:pPr>
            <w:r>
              <w:rPr>
                <w:rFonts w:ascii="Arial" w:cs="Arial" w:eastAsia="Arial" w:hAnsi="Arial"/>
                <w:sz w:val="20"/>
                <w:szCs w:val="20"/>
                <w:color w:val="auto"/>
              </w:rPr>
              <w:t>S-1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170180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80" w:top="338"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6"/>
        </w:trPr>
        <w:tc>
          <w:tcPr>
            <w:tcW w:w="1480" w:type="dxa"/>
            <w:vAlign w:val="bottom"/>
          </w:tcPr>
          <w:p>
            <w:pPr>
              <w:spacing w:after="0"/>
              <w:rPr>
                <w:sz w:val="20"/>
                <w:szCs w:val="20"/>
                <w:color w:val="auto"/>
              </w:rPr>
            </w:pPr>
            <w:r>
              <w:rPr>
                <w:rFonts w:ascii="Arial" w:cs="Arial" w:eastAsia="Arial" w:hAnsi="Arial"/>
                <w:sz w:val="20"/>
                <w:szCs w:val="20"/>
                <w:b w:val="1"/>
                <w:bCs w:val="1"/>
                <w:color w:val="auto"/>
              </w:rPr>
              <w:t>ANNEXES</w:t>
            </w:r>
          </w:p>
        </w:tc>
        <w:tc>
          <w:tcPr>
            <w:tcW w:w="6420" w:type="dxa"/>
            <w:vAlign w:val="bottom"/>
          </w:tcPr>
          <w:p>
            <w:pPr>
              <w:spacing w:after="0"/>
              <w:rPr>
                <w:sz w:val="22"/>
                <w:szCs w:val="22"/>
                <w:color w:val="auto"/>
              </w:rPr>
            </w:pPr>
          </w:p>
        </w:tc>
      </w:tr>
      <w:tr>
        <w:trPr>
          <w:trHeight w:val="459"/>
        </w:trPr>
        <w:tc>
          <w:tcPr>
            <w:tcW w:w="1480" w:type="dxa"/>
            <w:vAlign w:val="bottom"/>
          </w:tcPr>
          <w:p>
            <w:pPr>
              <w:ind w:left="880"/>
              <w:spacing w:after="0"/>
              <w:rPr>
                <w:sz w:val="20"/>
                <w:szCs w:val="20"/>
                <w:color w:val="auto"/>
              </w:rPr>
            </w:pPr>
            <w:r>
              <w:rPr>
                <w:rFonts w:ascii="Arial" w:cs="Arial" w:eastAsia="Arial" w:hAnsi="Arial"/>
                <w:sz w:val="20"/>
                <w:szCs w:val="20"/>
                <w:color w:val="auto"/>
              </w:rPr>
              <w:t>I</w:t>
            </w:r>
          </w:p>
        </w:tc>
        <w:tc>
          <w:tcPr>
            <w:tcW w:w="6420" w:type="dxa"/>
            <w:vAlign w:val="bottom"/>
          </w:tcPr>
          <w:p>
            <w:pPr>
              <w:ind w:left="160"/>
              <w:spacing w:after="0"/>
              <w:rPr>
                <w:sz w:val="20"/>
                <w:szCs w:val="20"/>
                <w:color w:val="auto"/>
              </w:rPr>
            </w:pPr>
            <w:r>
              <w:rPr>
                <w:rFonts w:ascii="Arial" w:cs="Arial" w:eastAsia="Arial" w:hAnsi="Arial"/>
                <w:sz w:val="20"/>
                <w:szCs w:val="20"/>
                <w:color w:val="auto"/>
              </w:rPr>
              <w:t>Commitments and Applicable Percentages</w:t>
            </w:r>
          </w:p>
        </w:tc>
      </w:tr>
      <w:tr>
        <w:trPr>
          <w:trHeight w:val="675"/>
        </w:trPr>
        <w:tc>
          <w:tcPr>
            <w:tcW w:w="1480" w:type="dxa"/>
            <w:vAlign w:val="bottom"/>
          </w:tcPr>
          <w:p>
            <w:pPr>
              <w:spacing w:after="0"/>
              <w:rPr>
                <w:sz w:val="20"/>
                <w:szCs w:val="20"/>
                <w:color w:val="auto"/>
              </w:rPr>
            </w:pPr>
            <w:r>
              <w:rPr>
                <w:rFonts w:ascii="Arial" w:cs="Arial" w:eastAsia="Arial" w:hAnsi="Arial"/>
                <w:sz w:val="20"/>
                <w:szCs w:val="20"/>
                <w:b w:val="1"/>
                <w:bCs w:val="1"/>
                <w:color w:val="auto"/>
              </w:rPr>
              <w:t>SCHEDULES</w:t>
            </w:r>
          </w:p>
        </w:tc>
        <w:tc>
          <w:tcPr>
            <w:tcW w:w="6420" w:type="dxa"/>
            <w:vAlign w:val="bottom"/>
          </w:tcPr>
          <w:p>
            <w:pPr>
              <w:spacing w:after="0"/>
              <w:rPr>
                <w:sz w:val="24"/>
                <w:szCs w:val="24"/>
                <w:color w:val="auto"/>
              </w:rPr>
            </w:pPr>
          </w:p>
        </w:tc>
      </w:tr>
      <w:tr>
        <w:trPr>
          <w:trHeight w:val="425"/>
        </w:trPr>
        <w:tc>
          <w:tcPr>
            <w:tcW w:w="1480" w:type="dxa"/>
            <w:vAlign w:val="bottom"/>
          </w:tcPr>
          <w:p>
            <w:pPr>
              <w:ind w:left="880"/>
              <w:spacing w:after="0"/>
              <w:rPr>
                <w:sz w:val="20"/>
                <w:szCs w:val="20"/>
                <w:color w:val="auto"/>
              </w:rPr>
            </w:pPr>
            <w:r>
              <w:rPr>
                <w:rFonts w:ascii="Arial" w:cs="Arial" w:eastAsia="Arial" w:hAnsi="Arial"/>
                <w:sz w:val="20"/>
                <w:szCs w:val="20"/>
                <w:color w:val="auto"/>
              </w:rPr>
              <w:t>5.06</w:t>
            </w:r>
          </w:p>
        </w:tc>
        <w:tc>
          <w:tcPr>
            <w:tcW w:w="6420" w:type="dxa"/>
            <w:vAlign w:val="bottom"/>
          </w:tcPr>
          <w:p>
            <w:pPr>
              <w:ind w:left="380"/>
              <w:spacing w:after="0"/>
              <w:rPr>
                <w:sz w:val="20"/>
                <w:szCs w:val="20"/>
                <w:color w:val="auto"/>
              </w:rPr>
            </w:pPr>
            <w:r>
              <w:rPr>
                <w:rFonts w:ascii="Arial" w:cs="Arial" w:eastAsia="Arial" w:hAnsi="Arial"/>
                <w:sz w:val="20"/>
                <w:szCs w:val="20"/>
                <w:color w:val="auto"/>
              </w:rPr>
              <w:t>Litigation</w:t>
            </w:r>
          </w:p>
        </w:tc>
      </w:tr>
      <w:tr>
        <w:trPr>
          <w:trHeight w:val="229"/>
        </w:trPr>
        <w:tc>
          <w:tcPr>
            <w:tcW w:w="1480" w:type="dxa"/>
            <w:vAlign w:val="bottom"/>
          </w:tcPr>
          <w:p>
            <w:pPr>
              <w:ind w:left="880"/>
              <w:spacing w:after="0"/>
              <w:rPr>
                <w:sz w:val="20"/>
                <w:szCs w:val="20"/>
                <w:color w:val="auto"/>
              </w:rPr>
            </w:pPr>
            <w:r>
              <w:rPr>
                <w:rFonts w:ascii="Arial" w:cs="Arial" w:eastAsia="Arial" w:hAnsi="Arial"/>
                <w:sz w:val="20"/>
                <w:szCs w:val="20"/>
                <w:color w:val="auto"/>
              </w:rPr>
              <w:t>5.09</w:t>
            </w:r>
          </w:p>
        </w:tc>
        <w:tc>
          <w:tcPr>
            <w:tcW w:w="6420" w:type="dxa"/>
            <w:vAlign w:val="bottom"/>
          </w:tcPr>
          <w:p>
            <w:pPr>
              <w:ind w:left="380"/>
              <w:spacing w:after="0"/>
              <w:rPr>
                <w:sz w:val="20"/>
                <w:szCs w:val="20"/>
                <w:color w:val="auto"/>
              </w:rPr>
            </w:pPr>
            <w:r>
              <w:rPr>
                <w:rFonts w:ascii="Arial" w:cs="Arial" w:eastAsia="Arial" w:hAnsi="Arial"/>
                <w:sz w:val="20"/>
                <w:szCs w:val="20"/>
                <w:color w:val="auto"/>
              </w:rPr>
              <w:t>Environmental Matters</w:t>
            </w:r>
          </w:p>
        </w:tc>
      </w:tr>
      <w:tr>
        <w:trPr>
          <w:trHeight w:val="230"/>
        </w:trPr>
        <w:tc>
          <w:tcPr>
            <w:tcW w:w="1480" w:type="dxa"/>
            <w:vAlign w:val="bottom"/>
          </w:tcPr>
          <w:p>
            <w:pPr>
              <w:ind w:left="880"/>
              <w:spacing w:after="0"/>
              <w:rPr>
                <w:sz w:val="20"/>
                <w:szCs w:val="20"/>
                <w:color w:val="auto"/>
              </w:rPr>
            </w:pPr>
            <w:r>
              <w:rPr>
                <w:rFonts w:ascii="Arial" w:cs="Arial" w:eastAsia="Arial" w:hAnsi="Arial"/>
                <w:sz w:val="20"/>
                <w:szCs w:val="20"/>
                <w:color w:val="auto"/>
              </w:rPr>
              <w:t>5.10</w:t>
            </w:r>
          </w:p>
        </w:tc>
        <w:tc>
          <w:tcPr>
            <w:tcW w:w="6420" w:type="dxa"/>
            <w:vAlign w:val="bottom"/>
          </w:tcPr>
          <w:p>
            <w:pPr>
              <w:ind w:left="380"/>
              <w:spacing w:after="0"/>
              <w:rPr>
                <w:sz w:val="20"/>
                <w:szCs w:val="20"/>
                <w:color w:val="auto"/>
              </w:rPr>
            </w:pPr>
            <w:r>
              <w:rPr>
                <w:rFonts w:ascii="Arial" w:cs="Arial" w:eastAsia="Arial" w:hAnsi="Arial"/>
                <w:sz w:val="20"/>
                <w:szCs w:val="20"/>
                <w:color w:val="auto"/>
              </w:rPr>
              <w:t>Insurance Matters</w:t>
            </w:r>
          </w:p>
        </w:tc>
      </w:tr>
      <w:tr>
        <w:trPr>
          <w:trHeight w:val="229"/>
        </w:trPr>
        <w:tc>
          <w:tcPr>
            <w:tcW w:w="1480" w:type="dxa"/>
            <w:vAlign w:val="bottom"/>
          </w:tcPr>
          <w:p>
            <w:pPr>
              <w:ind w:left="880"/>
              <w:spacing w:after="0"/>
              <w:rPr>
                <w:sz w:val="20"/>
                <w:szCs w:val="20"/>
                <w:color w:val="auto"/>
              </w:rPr>
            </w:pPr>
            <w:r>
              <w:rPr>
                <w:rFonts w:ascii="Arial" w:cs="Arial" w:eastAsia="Arial" w:hAnsi="Arial"/>
                <w:sz w:val="20"/>
                <w:szCs w:val="20"/>
                <w:color w:val="auto"/>
              </w:rPr>
              <w:t>5.13</w:t>
            </w:r>
          </w:p>
        </w:tc>
        <w:tc>
          <w:tcPr>
            <w:tcW w:w="6420" w:type="dxa"/>
            <w:vAlign w:val="bottom"/>
          </w:tcPr>
          <w:p>
            <w:pPr>
              <w:ind w:left="380"/>
              <w:spacing w:after="0"/>
              <w:rPr>
                <w:sz w:val="20"/>
                <w:szCs w:val="20"/>
                <w:color w:val="auto"/>
              </w:rPr>
            </w:pPr>
            <w:r>
              <w:rPr>
                <w:rFonts w:ascii="Arial" w:cs="Arial" w:eastAsia="Arial" w:hAnsi="Arial"/>
                <w:sz w:val="20"/>
                <w:szCs w:val="20"/>
                <w:color w:val="auto"/>
                <w:w w:val="90"/>
              </w:rPr>
              <w:t>Subsidiaries and Other Equity Investments; Equity Interests in the Borrower</w:t>
            </w:r>
          </w:p>
        </w:tc>
      </w:tr>
      <w:tr>
        <w:trPr>
          <w:trHeight w:val="230"/>
        </w:trPr>
        <w:tc>
          <w:tcPr>
            <w:tcW w:w="1480" w:type="dxa"/>
            <w:vAlign w:val="bottom"/>
          </w:tcPr>
          <w:p>
            <w:pPr>
              <w:ind w:left="880"/>
              <w:spacing w:after="0"/>
              <w:rPr>
                <w:sz w:val="20"/>
                <w:szCs w:val="20"/>
                <w:color w:val="auto"/>
              </w:rPr>
            </w:pPr>
            <w:r>
              <w:rPr>
                <w:rFonts w:ascii="Arial" w:cs="Arial" w:eastAsia="Arial" w:hAnsi="Arial"/>
                <w:sz w:val="20"/>
                <w:szCs w:val="20"/>
                <w:color w:val="auto"/>
              </w:rPr>
              <w:t>7.01</w:t>
            </w:r>
          </w:p>
        </w:tc>
        <w:tc>
          <w:tcPr>
            <w:tcW w:w="6420" w:type="dxa"/>
            <w:vAlign w:val="bottom"/>
          </w:tcPr>
          <w:p>
            <w:pPr>
              <w:ind w:left="380"/>
              <w:spacing w:after="0"/>
              <w:rPr>
                <w:sz w:val="20"/>
                <w:szCs w:val="20"/>
                <w:color w:val="auto"/>
              </w:rPr>
            </w:pPr>
            <w:r>
              <w:rPr>
                <w:rFonts w:ascii="Arial" w:cs="Arial" w:eastAsia="Arial" w:hAnsi="Arial"/>
                <w:sz w:val="20"/>
                <w:szCs w:val="20"/>
                <w:color w:val="auto"/>
              </w:rPr>
              <w:t>Existing Liens</w:t>
            </w:r>
          </w:p>
        </w:tc>
      </w:tr>
      <w:tr>
        <w:trPr>
          <w:trHeight w:val="250"/>
        </w:trPr>
        <w:tc>
          <w:tcPr>
            <w:tcW w:w="1480" w:type="dxa"/>
            <w:vAlign w:val="bottom"/>
          </w:tcPr>
          <w:p>
            <w:pPr>
              <w:ind w:left="880"/>
              <w:spacing w:after="0"/>
              <w:rPr>
                <w:sz w:val="20"/>
                <w:szCs w:val="20"/>
                <w:color w:val="auto"/>
              </w:rPr>
            </w:pPr>
            <w:r>
              <w:rPr>
                <w:rFonts w:ascii="Arial" w:cs="Arial" w:eastAsia="Arial" w:hAnsi="Arial"/>
                <w:sz w:val="20"/>
                <w:szCs w:val="20"/>
                <w:color w:val="auto"/>
              </w:rPr>
              <w:t>10.02</w:t>
            </w:r>
          </w:p>
        </w:tc>
        <w:tc>
          <w:tcPr>
            <w:tcW w:w="6420" w:type="dxa"/>
            <w:vAlign w:val="bottom"/>
          </w:tcPr>
          <w:p>
            <w:pPr>
              <w:ind w:left="480"/>
              <w:spacing w:after="0"/>
              <w:rPr>
                <w:sz w:val="20"/>
                <w:szCs w:val="20"/>
                <w:color w:val="auto"/>
              </w:rPr>
            </w:pPr>
            <w:r>
              <w:rPr>
                <w:rFonts w:ascii="Arial" w:cs="Arial" w:eastAsia="Arial" w:hAnsi="Arial"/>
                <w:sz w:val="20"/>
                <w:szCs w:val="20"/>
                <w:color w:val="auto"/>
              </w:rPr>
              <w:t>Administrative Agent’s Office; Certain Addresses for Notices</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EXHIBITS</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b w:val="1"/>
          <w:bCs w:val="1"/>
          <w:i w:val="1"/>
          <w:iCs w:val="1"/>
          <w:color w:val="auto"/>
        </w:rPr>
        <w:t>Form of</w:t>
      </w:r>
    </w:p>
    <w:p>
      <w:pPr>
        <w:spacing w:after="0" w:line="216" w:lineRule="exact"/>
        <w:rPr>
          <w:sz w:val="20"/>
          <w:szCs w:val="20"/>
          <w:color w:val="auto"/>
        </w:rPr>
      </w:pPr>
    </w:p>
    <w:p>
      <w:pPr>
        <w:ind w:left="1660" w:hanging="788"/>
        <w:spacing w:after="0"/>
        <w:tabs>
          <w:tab w:leader="none" w:pos="1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Loan Notice</w:t>
      </w:r>
    </w:p>
    <w:p>
      <w:pPr>
        <w:spacing w:after="0" w:line="15" w:lineRule="exact"/>
        <w:rPr>
          <w:sz w:val="20"/>
          <w:szCs w:val="20"/>
          <w:color w:val="auto"/>
        </w:rPr>
      </w:pPr>
    </w:p>
    <w:p>
      <w:pPr>
        <w:ind w:left="1700" w:hanging="828"/>
        <w:spacing w:after="0"/>
        <w:tabs>
          <w:tab w:leader="none" w:pos="1700" w:val="left"/>
        </w:tabs>
        <w:numPr>
          <w:ilvl w:val="0"/>
          <w:numId w:val="5"/>
        </w:numPr>
        <w:rPr>
          <w:rFonts w:ascii="Arial" w:cs="Arial" w:eastAsia="Arial" w:hAnsi="Arial"/>
          <w:sz w:val="20"/>
          <w:szCs w:val="20"/>
          <w:color w:val="auto"/>
        </w:rPr>
      </w:pPr>
      <w:r>
        <w:rPr>
          <w:rFonts w:ascii="Arial" w:cs="Arial" w:eastAsia="Arial" w:hAnsi="Arial"/>
          <w:sz w:val="20"/>
          <w:szCs w:val="20"/>
          <w:color w:val="auto"/>
        </w:rPr>
        <w:t>Note</w:t>
      </w:r>
    </w:p>
    <w:p>
      <w:pPr>
        <w:ind w:left="1660" w:hanging="788"/>
        <w:spacing w:after="0"/>
        <w:tabs>
          <w:tab w:leader="none" w:pos="1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Compliance Certificate</w:t>
      </w:r>
    </w:p>
    <w:p>
      <w:pPr>
        <w:ind w:left="1660" w:hanging="788"/>
        <w:spacing w:after="0"/>
        <w:tabs>
          <w:tab w:leader="none" w:pos="1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Assignment and Assumption</w:t>
      </w:r>
    </w:p>
    <w:p>
      <w:pPr>
        <w:ind w:left="1640" w:hanging="768"/>
        <w:spacing w:after="0"/>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U.S. Tax Compliance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TERM LOAN CREDIT AGREEMENT</w:t>
      </w:r>
    </w:p>
    <w:p>
      <w:pPr>
        <w:spacing w:after="0" w:line="216"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TERM LOAN CREDIT AGREEMENT</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 xml:space="preserve">”) is entered into as of March 30, 2020, among </w:t>
      </w:r>
      <w:r>
        <w:rPr>
          <w:rFonts w:ascii="Arial" w:cs="Arial" w:eastAsia="Arial" w:hAnsi="Arial"/>
          <w:sz w:val="20"/>
          <w:szCs w:val="20"/>
          <w:b w:val="1"/>
          <w:bCs w:val="1"/>
          <w:color w:val="auto"/>
        </w:rPr>
        <w:t>THE TORO</w:t>
      </w:r>
      <w:r>
        <w:rPr>
          <w:rFonts w:ascii="Arial" w:cs="Arial" w:eastAsia="Arial" w:hAnsi="Arial"/>
          <w:sz w:val="20"/>
          <w:szCs w:val="20"/>
          <w:color w:val="auto"/>
        </w:rPr>
        <w:t xml:space="preserve"> </w:t>
      </w:r>
      <w:r>
        <w:rPr>
          <w:rFonts w:ascii="Arial" w:cs="Arial" w:eastAsia="Arial" w:hAnsi="Arial"/>
          <w:sz w:val="20"/>
          <w:szCs w:val="20"/>
          <w:b w:val="1"/>
          <w:bCs w:val="1"/>
          <w:color w:val="auto"/>
        </w:rPr>
        <w:t>COMPANY</w:t>
      </w:r>
      <w:r>
        <w:rPr>
          <w:rFonts w:ascii="Arial" w:cs="Arial" w:eastAsia="Arial" w:hAnsi="Arial"/>
          <w:sz w:val="20"/>
          <w:szCs w:val="20"/>
          <w:color w:val="auto"/>
        </w:rPr>
        <w:t>, a Delaware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each lender from time to time party hereto (collectively, the “</w:t>
      </w:r>
      <w:r>
        <w:rPr>
          <w:rFonts w:ascii="Arial" w:cs="Arial" w:eastAsia="Arial" w:hAnsi="Arial"/>
          <w:sz w:val="20"/>
          <w:szCs w:val="20"/>
          <w:u w:val="single" w:color="auto"/>
          <w:color w:val="auto"/>
        </w:rPr>
        <w:t>Lenders</w:t>
      </w:r>
      <w:r>
        <w:rPr>
          <w:rFonts w:ascii="Arial" w:cs="Arial" w:eastAsia="Arial" w:hAnsi="Arial"/>
          <w:sz w:val="20"/>
          <w:szCs w:val="20"/>
          <w:color w:val="auto"/>
        </w:rPr>
        <w:t>” and</w:t>
      </w:r>
      <w:r>
        <w:rPr>
          <w:rFonts w:ascii="Arial" w:cs="Arial" w:eastAsia="Arial" w:hAnsi="Arial"/>
          <w:sz w:val="20"/>
          <w:szCs w:val="20"/>
          <w:b w:val="1"/>
          <w:bCs w:val="1"/>
          <w:color w:val="auto"/>
        </w:rPr>
        <w:t xml:space="preserve"> </w:t>
      </w:r>
      <w:r>
        <w:rPr>
          <w:rFonts w:ascii="Arial" w:cs="Arial" w:eastAsia="Arial" w:hAnsi="Arial"/>
          <w:sz w:val="20"/>
          <w:szCs w:val="20"/>
          <w:color w:val="auto"/>
        </w:rPr>
        <w:t>individually, a “</w:t>
      </w:r>
      <w:r>
        <w:rPr>
          <w:rFonts w:ascii="Arial" w:cs="Arial" w:eastAsia="Arial" w:hAnsi="Arial"/>
          <w:sz w:val="20"/>
          <w:szCs w:val="20"/>
          <w:u w:val="single" w:color="auto"/>
          <w:color w:val="auto"/>
        </w:rPr>
        <w:t>Lender</w:t>
      </w:r>
      <w:r>
        <w:rPr>
          <w:rFonts w:ascii="Arial" w:cs="Arial" w:eastAsia="Arial" w:hAnsi="Arial"/>
          <w:sz w:val="20"/>
          <w:szCs w:val="20"/>
          <w:color w:val="auto"/>
        </w:rPr>
        <w:t xml:space="preserve">”), and </w:t>
      </w:r>
      <w:r>
        <w:rPr>
          <w:rFonts w:ascii="Arial" w:cs="Arial" w:eastAsia="Arial" w:hAnsi="Arial"/>
          <w:sz w:val="20"/>
          <w:szCs w:val="20"/>
          <w:b w:val="1"/>
          <w:bCs w:val="1"/>
          <w:color w:val="auto"/>
        </w:rPr>
        <w:t>BANK OF AMERICA, N.A.,</w:t>
      </w:r>
      <w:r>
        <w:rPr>
          <w:rFonts w:ascii="Arial" w:cs="Arial" w:eastAsia="Arial" w:hAnsi="Arial"/>
          <w:sz w:val="20"/>
          <w:szCs w:val="20"/>
          <w:color w:val="auto"/>
        </w:rPr>
        <w:t xml:space="preserve"> as Administrative Agent.</w:t>
      </w:r>
    </w:p>
    <w:p>
      <w:pPr>
        <w:spacing w:after="0" w:line="183"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The Borrower has requested that the Lenders provide a $190,000,000 term loan credit facility to the Borrower, and the Lenders are willing to do so on the terms and conditions set forth herein.</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 AND ACCOUNTING TERMS</w:t>
      </w:r>
    </w:p>
    <w:p>
      <w:pPr>
        <w:spacing w:after="0" w:line="19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1.01</w:t>
      </w:r>
      <w:r>
        <w:rPr>
          <w:sz w:val="20"/>
          <w:szCs w:val="20"/>
          <w:color w:val="auto"/>
        </w:rPr>
        <w:tab/>
      </w:r>
      <w:r>
        <w:rPr>
          <w:rFonts w:ascii="Arial" w:cs="Arial" w:eastAsia="Arial" w:hAnsi="Arial"/>
          <w:sz w:val="18"/>
          <w:szCs w:val="18"/>
          <w:b w:val="1"/>
          <w:bCs w:val="1"/>
          <w:color w:val="auto"/>
        </w:rPr>
        <w:t xml:space="preserve">Defined Terms. </w:t>
      </w:r>
      <w:r>
        <w:rPr>
          <w:rFonts w:ascii="Arial" w:cs="Arial" w:eastAsia="Arial" w:hAnsi="Arial"/>
          <w:sz w:val="18"/>
          <w:szCs w:val="18"/>
          <w:color w:val="auto"/>
        </w:rPr>
        <w:t>As used in this Agreement, the following terms shall have the meanings set forth below:</w:t>
      </w:r>
    </w:p>
    <w:p>
      <w:pPr>
        <w:spacing w:after="0" w:line="181"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Acquisition</w:t>
      </w:r>
      <w:r>
        <w:rPr>
          <w:rFonts w:ascii="Arial" w:cs="Arial" w:eastAsia="Arial" w:hAnsi="Arial"/>
          <w:sz w:val="20"/>
          <w:szCs w:val="20"/>
          <w:color w:val="auto"/>
        </w:rPr>
        <w:t xml:space="preserve">” means any investment which involves a transaction or series of related transactions for the purpose of or resulting, directly or indirectly, in (a) the acquisition of all or substantially all of the assets of a Person, or of any business or division of a Person, (b) the acquisition of in excess of 50% of the capital stock, partnership interests, membership interests or equity of any Person, or otherwise causing any Person to become a Subsidiary or (c) a merger or consolidation or any other combination with another Person that is otherwise permitted under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each case, (i) before and after giving pro forma effect to any such Acquisition, the Borrower is in compliance with financial covenant set forth in </w:t>
      </w:r>
      <w:r>
        <w:rPr>
          <w:rFonts w:ascii="Arial" w:cs="Arial" w:eastAsia="Arial" w:hAnsi="Arial"/>
          <w:sz w:val="20"/>
          <w:szCs w:val="20"/>
          <w:u w:val="single" w:color="auto"/>
          <w:color w:val="auto"/>
        </w:rPr>
        <w:t>Section 7.06</w:t>
      </w:r>
      <w:r>
        <w:rPr>
          <w:rFonts w:ascii="Arial" w:cs="Arial" w:eastAsia="Arial" w:hAnsi="Arial"/>
          <w:sz w:val="20"/>
          <w:szCs w:val="20"/>
          <w:color w:val="auto"/>
        </w:rPr>
        <w:t>, (ii) such Acquisition is undertaken in accordance with all Applicable Laws, and (iii) the prior, effective written consent or approval to such Acquisition of the board of directors or equivalent governing body of the acquiree is obtained.</w:t>
      </w:r>
    </w:p>
    <w:p>
      <w:pPr>
        <w:spacing w:after="0" w:line="19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Act</w:t>
      </w:r>
      <w:r>
        <w:rPr>
          <w:rFonts w:ascii="Arial" w:cs="Arial" w:eastAsia="Arial" w:hAnsi="Arial"/>
          <w:sz w:val="20"/>
          <w:szCs w:val="20"/>
          <w:color w:val="auto"/>
        </w:rPr>
        <w:t>” means USA PATRIOT Act (Title III of Pub. L. 107-56 (signed into law October 26, 2001)).</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3.03</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Bank of America (or any designated branch offices or Affiliates of Bank of America) in its capacity as administrative agent under any of the Loan Documents, or any successor administrative agent as permitted by this Agreement.</w:t>
      </w:r>
    </w:p>
    <w:p>
      <w:pPr>
        <w:spacing w:after="0" w:line="103" w:lineRule="exact"/>
        <w:rPr>
          <w:sz w:val="20"/>
          <w:szCs w:val="20"/>
          <w:color w:val="auto"/>
        </w:rPr>
      </w:pPr>
    </w:p>
    <w:p>
      <w:pPr>
        <w:jc w:val="both"/>
        <w:ind w:firstLine="864"/>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10.02</w:t>
      </w:r>
      <w:r>
        <w:rPr>
          <w:rFonts w:ascii="Arial" w:cs="Arial" w:eastAsia="Arial" w:hAnsi="Arial"/>
          <w:sz w:val="18"/>
          <w:szCs w:val="18"/>
          <w:color w:val="auto"/>
        </w:rPr>
        <w:t>, or such other address or account as the Administrative Agent may from time to time notify the Borrower and the Lenders.</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Questionnaire</w:t>
      </w:r>
      <w:r>
        <w:rPr>
          <w:rFonts w:ascii="Arial" w:cs="Arial" w:eastAsia="Arial" w:hAnsi="Arial"/>
          <w:sz w:val="19"/>
          <w:szCs w:val="19"/>
          <w:color w:val="auto"/>
        </w:rPr>
        <w:t>” means an Administrative Questionnaire in a form approved by the Administrative Agent.</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Financial Institution</w:t>
      </w:r>
      <w:r>
        <w:rPr>
          <w:rFonts w:ascii="Arial" w:cs="Arial" w:eastAsia="Arial" w:hAnsi="Arial"/>
          <w:sz w:val="20"/>
          <w:szCs w:val="20"/>
          <w:color w:val="auto"/>
        </w:rPr>
        <w:t>” means (</w:t>
      </w:r>
      <w:r>
        <w:rPr>
          <w:rFonts w:ascii="Arial" w:cs="Arial" w:eastAsia="Arial" w:hAnsi="Arial"/>
          <w:sz w:val="20"/>
          <w:szCs w:val="20"/>
          <w:u w:val="single" w:color="auto"/>
          <w:color w:val="auto"/>
        </w:rPr>
        <w:t>a</w:t>
      </w:r>
      <w:r>
        <w:rPr>
          <w:rFonts w:ascii="Arial" w:cs="Arial" w:eastAsia="Arial" w:hAnsi="Arial"/>
          <w:sz w:val="20"/>
          <w:szCs w:val="20"/>
          <w:color w:val="auto"/>
        </w:rPr>
        <w:t>) any EEA Financi</w:t>
      </w:r>
      <w:r>
        <w:rPr>
          <w:rFonts w:ascii="Arial" w:cs="Arial" w:eastAsia="Arial" w:hAnsi="Arial"/>
          <w:sz w:val="20"/>
          <w:szCs w:val="20"/>
          <w:u w:val="single" w:color="auto"/>
          <w:color w:val="auto"/>
        </w:rPr>
        <w:t>a</w:t>
      </w:r>
      <w:r>
        <w:rPr>
          <w:rFonts w:ascii="Arial" w:cs="Arial" w:eastAsia="Arial" w:hAnsi="Arial"/>
          <w:sz w:val="20"/>
          <w:szCs w:val="20"/>
          <w:color w:val="auto"/>
        </w:rPr>
        <w:t>l Institution or (b) any UK Financial Institution.</w:t>
      </w:r>
    </w:p>
    <w:p>
      <w:pPr>
        <w:spacing w:after="0" w:line="21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any Person, another Person that directly, or indirectly through one or more intermediaries, Controls or is Controlled by or is under common Control with the Person specified.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Commitments</w:t>
      </w:r>
      <w:r>
        <w:rPr>
          <w:rFonts w:ascii="Arial" w:cs="Arial" w:eastAsia="Arial" w:hAnsi="Arial"/>
          <w:sz w:val="20"/>
          <w:szCs w:val="20"/>
          <w:color w:val="auto"/>
        </w:rPr>
        <w:t>” means the Commitments of all the Lenders.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has the meaning specified in the introductory paragraph hereto.</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as to any Person, all applicable Laws binding upon such Person or to which such a Person is subject.</w:t>
      </w:r>
    </w:p>
    <w:p>
      <w:pPr>
        <w:spacing w:after="0" w:line="198"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Percentage</w:t>
      </w:r>
      <w:r>
        <w:rPr>
          <w:rFonts w:ascii="Arial" w:cs="Arial" w:eastAsia="Arial" w:hAnsi="Arial"/>
          <w:sz w:val="20"/>
          <w:szCs w:val="20"/>
          <w:color w:val="auto"/>
        </w:rPr>
        <w:t xml:space="preserve">” means, with respect to any Lender at any time, the percentage (carried out to the ninth decimal place) of the sum of the aggregate unused Commitments (if any)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outstanding Loans represented by the sum of such Lender’s unused Commitment (if any)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such Lender’s outstanding Loan at such time. If the commitment of each Lender to make Loans has been terminated pursuant to </w:t>
      </w:r>
      <w:r>
        <w:rPr>
          <w:rFonts w:ascii="Arial" w:cs="Arial" w:eastAsia="Arial" w:hAnsi="Arial"/>
          <w:sz w:val="20"/>
          <w:szCs w:val="20"/>
          <w:u w:val="single" w:color="auto"/>
          <w:color w:val="auto"/>
        </w:rPr>
        <w:t>Section 8.02</w:t>
      </w:r>
      <w:r>
        <w:rPr>
          <w:rFonts w:ascii="Arial" w:cs="Arial" w:eastAsia="Arial" w:hAnsi="Arial"/>
          <w:sz w:val="20"/>
          <w:szCs w:val="20"/>
          <w:color w:val="auto"/>
        </w:rPr>
        <w:t xml:space="preserve">, or if the Aggregate Commitments have expired, then the Applicable Percentage of each Lender shall be determined based on the Applicable Percentage of such Lender, giving effect to any subsequent assignments. The initial Applicable Percentage of each Lender is set forth opposite the name of such Lender on </w:t>
      </w:r>
      <w:r>
        <w:rPr>
          <w:rFonts w:ascii="Arial" w:cs="Arial" w:eastAsia="Arial" w:hAnsi="Arial"/>
          <w:sz w:val="20"/>
          <w:szCs w:val="20"/>
          <w:u w:val="single" w:color="auto"/>
          <w:color w:val="auto"/>
        </w:rPr>
        <w:t>Annex I</w:t>
      </w:r>
      <w:r>
        <w:rPr>
          <w:rFonts w:ascii="Arial" w:cs="Arial" w:eastAsia="Arial" w:hAnsi="Arial"/>
          <w:sz w:val="20"/>
          <w:szCs w:val="20"/>
          <w:color w:val="auto"/>
        </w:rPr>
        <w:t xml:space="preserve"> or in the Assignment and Assumption pursuant to which such Lender becomes a party hereto, as applicable.</w:t>
      </w:r>
    </w:p>
    <w:p>
      <w:pPr>
        <w:spacing w:after="0" w:line="20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Rate</w:t>
      </w:r>
      <w:r>
        <w:rPr>
          <w:rFonts w:ascii="Arial" w:cs="Arial" w:eastAsia="Arial" w:hAnsi="Arial"/>
          <w:sz w:val="20"/>
          <w:szCs w:val="20"/>
          <w:color w:val="auto"/>
        </w:rPr>
        <w:t>” means, from time to time, the following percentages per annum, based upon (i) the Leverage Ratio for such period, and (ii) the Debt Rating as set forth below:</w:t>
      </w:r>
    </w:p>
    <w:p>
      <w:pPr>
        <w:spacing w:after="0" w:line="187" w:lineRule="exact"/>
        <w:rPr>
          <w:sz w:val="20"/>
          <w:szCs w:val="20"/>
          <w:color w:val="auto"/>
        </w:rPr>
      </w:pPr>
    </w:p>
    <w:tbl>
      <w:tblPr>
        <w:tblLayout w:type="fixed"/>
        <w:tblInd w:w="2190" w:type="dxa"/>
        <w:tblCellMar>
          <w:top w:w="0" w:type="dxa"/>
          <w:left w:w="0" w:type="dxa"/>
          <w:bottom w:w="0" w:type="dxa"/>
          <w:right w:w="0" w:type="dxa"/>
        </w:tblCellMar>
      </w:tblPr>
      <w:tr>
        <w:trPr>
          <w:trHeight w:val="349"/>
        </w:trPr>
        <w:tc>
          <w:tcPr>
            <w:tcW w:w="1080" w:type="dxa"/>
            <w:vAlign w:val="bottom"/>
            <w:tcBorders>
              <w:top w:val="single" w:sz="8" w:color="auto"/>
              <w:left w:val="single" w:sz="8" w:color="auto"/>
              <w:bottom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91"/>
              </w:rPr>
              <w:t>Pricing</w:t>
            </w:r>
          </w:p>
        </w:tc>
        <w:tc>
          <w:tcPr>
            <w:tcW w:w="2440" w:type="dxa"/>
            <w:vAlign w:val="bottom"/>
            <w:tcBorders>
              <w:top w:val="single" w:sz="8" w:color="auto"/>
              <w:bottom w:val="single" w:sz="8" w:color="D9D9D9"/>
              <w:right w:val="single" w:sz="8" w:color="auto"/>
            </w:tcBorders>
            <w:shd w:val="clear" w:color="auto" w:fill="D9D9D9"/>
          </w:tcPr>
          <w:p>
            <w:pPr>
              <w:spacing w:after="0"/>
              <w:rPr>
                <w:sz w:val="24"/>
                <w:szCs w:val="24"/>
                <w:color w:val="auto"/>
              </w:rPr>
            </w:pPr>
          </w:p>
        </w:tc>
        <w:tc>
          <w:tcPr>
            <w:tcW w:w="40" w:type="dxa"/>
            <w:vAlign w:val="bottom"/>
            <w:tcBorders>
              <w:top w:val="single" w:sz="8" w:color="auto"/>
              <w:bottom w:val="single" w:sz="8" w:color="D9D9D9"/>
            </w:tcBorders>
            <w:shd w:val="clear" w:color="auto" w:fill="D9D9D9"/>
          </w:tcPr>
          <w:p>
            <w:pPr>
              <w:spacing w:after="0"/>
              <w:rPr>
                <w:sz w:val="24"/>
                <w:szCs w:val="24"/>
                <w:color w:val="auto"/>
              </w:rPr>
            </w:pPr>
          </w:p>
        </w:tc>
        <w:tc>
          <w:tcPr>
            <w:tcW w:w="100" w:type="dxa"/>
            <w:vAlign w:val="bottom"/>
            <w:tcBorders>
              <w:top w:val="single" w:sz="8" w:color="auto"/>
              <w:bottom w:val="single" w:sz="8" w:color="D9D9D9"/>
            </w:tcBorders>
            <w:shd w:val="clear" w:color="auto" w:fill="D9D9D9"/>
          </w:tcPr>
          <w:p>
            <w:pPr>
              <w:spacing w:after="0"/>
              <w:rPr>
                <w:sz w:val="24"/>
                <w:szCs w:val="24"/>
                <w:color w:val="auto"/>
              </w:rPr>
            </w:pPr>
          </w:p>
        </w:tc>
        <w:tc>
          <w:tcPr>
            <w:tcW w:w="980" w:type="dxa"/>
            <w:vAlign w:val="bottom"/>
            <w:tcBorders>
              <w:top w:val="single" w:sz="8" w:color="auto"/>
              <w:bottom w:val="single" w:sz="8" w:color="D9D9D9"/>
              <w:right w:val="single" w:sz="8" w:color="auto"/>
            </w:tcBorders>
            <w:shd w:val="clear" w:color="auto" w:fill="D9D9D9"/>
          </w:tcPr>
          <w:p>
            <w:pPr>
              <w:spacing w:after="0"/>
              <w:rPr>
                <w:sz w:val="24"/>
                <w:szCs w:val="24"/>
                <w:color w:val="auto"/>
              </w:rPr>
            </w:pPr>
          </w:p>
        </w:tc>
        <w:tc>
          <w:tcPr>
            <w:tcW w:w="2260" w:type="dxa"/>
            <w:vAlign w:val="bottom"/>
            <w:tcBorders>
              <w:top w:val="single" w:sz="8" w:color="auto"/>
              <w:bottom w:val="single" w:sz="8" w:color="D9D9D9"/>
              <w:right w:val="single" w:sz="8" w:color="auto"/>
            </w:tcBorders>
            <w:gridSpan w:val="2"/>
            <w:shd w:val="clear" w:color="auto" w:fill="D9D9D9"/>
          </w:tcPr>
          <w:p>
            <w:pPr>
              <w:ind w:left="300"/>
              <w:spacing w:after="0"/>
              <w:rPr>
                <w:sz w:val="20"/>
                <w:szCs w:val="20"/>
                <w:color w:val="auto"/>
              </w:rPr>
            </w:pPr>
            <w:r>
              <w:rPr>
                <w:rFonts w:ascii="Arial" w:cs="Arial" w:eastAsia="Arial" w:hAnsi="Arial"/>
                <w:sz w:val="20"/>
                <w:szCs w:val="20"/>
                <w:b w:val="1"/>
                <w:bCs w:val="1"/>
                <w:color w:val="auto"/>
              </w:rPr>
              <w:t>Term Loan Facility</w:t>
            </w:r>
          </w:p>
        </w:tc>
        <w:tc>
          <w:tcPr>
            <w:tcW w:w="0" w:type="dxa"/>
            <w:vAlign w:val="bottom"/>
          </w:tcPr>
          <w:p>
            <w:pPr>
              <w:spacing w:after="0"/>
              <w:rPr>
                <w:sz w:val="1"/>
                <w:szCs w:val="1"/>
                <w:color w:val="auto"/>
              </w:rPr>
            </w:pPr>
          </w:p>
        </w:tc>
      </w:tr>
      <w:tr>
        <w:trPr>
          <w:trHeight w:val="139"/>
        </w:trPr>
        <w:tc>
          <w:tcPr>
            <w:tcW w:w="1080" w:type="dxa"/>
            <w:vAlign w:val="bottom"/>
            <w:tcBorders>
              <w:top w:val="single" w:sz="8" w:color="auto"/>
              <w:left w:val="single" w:sz="8" w:color="auto"/>
              <w:right w:val="single" w:sz="8" w:color="auto"/>
            </w:tcBorders>
            <w:vMerge w:val="continue"/>
            <w:shd w:val="clear" w:color="auto" w:fill="D9D9D9"/>
          </w:tcPr>
          <w:p>
            <w:pPr>
              <w:spacing w:after="0"/>
              <w:rPr>
                <w:sz w:val="12"/>
                <w:szCs w:val="12"/>
                <w:color w:val="auto"/>
              </w:rPr>
            </w:pPr>
          </w:p>
        </w:tc>
        <w:tc>
          <w:tcPr>
            <w:tcW w:w="2440" w:type="dxa"/>
            <w:vAlign w:val="bottom"/>
            <w:tcBorders>
              <w:top w:val="single" w:sz="8" w:color="D9D9D9"/>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89"/>
              </w:rPr>
              <w:t>Leverage Ratio</w:t>
            </w:r>
          </w:p>
        </w:tc>
        <w:tc>
          <w:tcPr>
            <w:tcW w:w="1120" w:type="dxa"/>
            <w:vAlign w:val="bottom"/>
            <w:tcBorders>
              <w:top w:val="single" w:sz="8" w:color="D9D9D9"/>
              <w:right w:val="single" w:sz="8" w:color="auto"/>
            </w:tcBorders>
            <w:gridSpan w:val="3"/>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92"/>
              </w:rPr>
              <w:t>Debt Rating</w:t>
            </w:r>
          </w:p>
        </w:tc>
        <w:tc>
          <w:tcPr>
            <w:tcW w:w="128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93"/>
              </w:rPr>
              <w:t>Eurodollar</w:t>
            </w:r>
          </w:p>
        </w:tc>
        <w:tc>
          <w:tcPr>
            <w:tcW w:w="98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86"/>
              </w:rPr>
              <w:t>Base Rate</w:t>
            </w:r>
          </w:p>
        </w:tc>
        <w:tc>
          <w:tcPr>
            <w:tcW w:w="0" w:type="dxa"/>
            <w:vAlign w:val="bottom"/>
          </w:tcPr>
          <w:p>
            <w:pPr>
              <w:spacing w:after="0"/>
              <w:rPr>
                <w:sz w:val="1"/>
                <w:szCs w:val="1"/>
                <w:color w:val="auto"/>
              </w:rPr>
            </w:pPr>
          </w:p>
        </w:tc>
      </w:tr>
      <w:tr>
        <w:trPr>
          <w:trHeight w:val="198"/>
        </w:trPr>
        <w:tc>
          <w:tcPr>
            <w:tcW w:w="1080" w:type="dxa"/>
            <w:vAlign w:val="bottom"/>
            <w:tcBorders>
              <w:left w:val="single" w:sz="8" w:color="auto"/>
              <w:right w:val="single" w:sz="8" w:color="auto"/>
            </w:tcBorders>
            <w:shd w:val="clear" w:color="auto" w:fill="D9D9D9"/>
          </w:tcPr>
          <w:p>
            <w:pPr>
              <w:jc w:val="center"/>
              <w:spacing w:after="0" w:line="198" w:lineRule="exact"/>
              <w:rPr>
                <w:sz w:val="20"/>
                <w:szCs w:val="20"/>
                <w:color w:val="auto"/>
              </w:rPr>
            </w:pPr>
            <w:r>
              <w:rPr>
                <w:rFonts w:ascii="Arial" w:cs="Arial" w:eastAsia="Arial" w:hAnsi="Arial"/>
                <w:sz w:val="20"/>
                <w:szCs w:val="20"/>
                <w:b w:val="1"/>
                <w:bCs w:val="1"/>
                <w:color w:val="auto"/>
                <w:w w:val="89"/>
              </w:rPr>
              <w:t>Level</w:t>
            </w:r>
          </w:p>
        </w:tc>
        <w:tc>
          <w:tcPr>
            <w:tcW w:w="2440" w:type="dxa"/>
            <w:vAlign w:val="bottom"/>
            <w:tcBorders>
              <w:right w:val="single" w:sz="8" w:color="auto"/>
            </w:tcBorders>
            <w:vMerge w:val="continue"/>
            <w:shd w:val="clear" w:color="auto" w:fill="D9D9D9"/>
          </w:tcPr>
          <w:p>
            <w:pPr>
              <w:spacing w:after="0"/>
              <w:rPr>
                <w:sz w:val="17"/>
                <w:szCs w:val="17"/>
                <w:color w:val="auto"/>
              </w:rPr>
            </w:pPr>
          </w:p>
        </w:tc>
        <w:tc>
          <w:tcPr>
            <w:tcW w:w="1120" w:type="dxa"/>
            <w:vAlign w:val="bottom"/>
            <w:tcBorders>
              <w:right w:val="single" w:sz="8" w:color="auto"/>
            </w:tcBorders>
            <w:gridSpan w:val="3"/>
            <w:vMerge w:val="continue"/>
            <w:shd w:val="clear" w:color="auto" w:fill="D9D9D9"/>
          </w:tcPr>
          <w:p>
            <w:pPr>
              <w:spacing w:after="0"/>
              <w:rPr>
                <w:sz w:val="17"/>
                <w:szCs w:val="17"/>
                <w:color w:val="auto"/>
              </w:rPr>
            </w:pPr>
          </w:p>
        </w:tc>
        <w:tc>
          <w:tcPr>
            <w:tcW w:w="1280" w:type="dxa"/>
            <w:vAlign w:val="bottom"/>
            <w:tcBorders>
              <w:right w:val="single" w:sz="8" w:color="auto"/>
            </w:tcBorders>
            <w:vMerge w:val="continue"/>
            <w:shd w:val="clear" w:color="auto" w:fill="D9D9D9"/>
          </w:tcPr>
          <w:p>
            <w:pPr>
              <w:spacing w:after="0"/>
              <w:rPr>
                <w:sz w:val="17"/>
                <w:szCs w:val="17"/>
                <w:color w:val="auto"/>
              </w:rPr>
            </w:pPr>
          </w:p>
        </w:tc>
        <w:tc>
          <w:tcPr>
            <w:tcW w:w="980" w:type="dxa"/>
            <w:vAlign w:val="bottom"/>
            <w:tcBorders>
              <w:right w:val="single" w:sz="8" w:color="auto"/>
            </w:tcBorders>
            <w:vMerge w:val="continue"/>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080" w:type="dxa"/>
            <w:vAlign w:val="bottom"/>
            <w:tcBorders>
              <w:left w:val="single" w:sz="8" w:color="auto"/>
              <w:right w:val="single" w:sz="8" w:color="auto"/>
            </w:tcBorders>
            <w:shd w:val="clear" w:color="auto" w:fill="D9D9D9"/>
          </w:tcPr>
          <w:p>
            <w:pPr>
              <w:spacing w:after="0"/>
              <w:rPr>
                <w:sz w:val="22"/>
                <w:szCs w:val="22"/>
                <w:color w:val="auto"/>
              </w:rPr>
            </w:pPr>
          </w:p>
        </w:tc>
        <w:tc>
          <w:tcPr>
            <w:tcW w:w="2440" w:type="dxa"/>
            <w:vAlign w:val="bottom"/>
            <w:tcBorders>
              <w:right w:val="single" w:sz="8" w:color="auto"/>
            </w:tcBorders>
            <w:shd w:val="clear" w:color="auto" w:fill="D9D9D9"/>
          </w:tcPr>
          <w:p>
            <w:pPr>
              <w:spacing w:after="0"/>
              <w:rPr>
                <w:sz w:val="22"/>
                <w:szCs w:val="22"/>
                <w:color w:val="auto"/>
              </w:rPr>
            </w:pPr>
          </w:p>
        </w:tc>
        <w:tc>
          <w:tcPr>
            <w:tcW w:w="40" w:type="dxa"/>
            <w:vAlign w:val="bottom"/>
            <w:shd w:val="clear" w:color="auto" w:fill="D9D9D9"/>
          </w:tcPr>
          <w:p>
            <w:pPr>
              <w:spacing w:after="0"/>
              <w:rPr>
                <w:sz w:val="22"/>
                <w:szCs w:val="22"/>
                <w:color w:val="auto"/>
              </w:rPr>
            </w:pPr>
          </w:p>
        </w:tc>
        <w:tc>
          <w:tcPr>
            <w:tcW w:w="100" w:type="dxa"/>
            <w:vAlign w:val="bottom"/>
            <w:shd w:val="clear" w:color="auto" w:fill="D9D9D9"/>
          </w:tcPr>
          <w:p>
            <w:pPr>
              <w:spacing w:after="0"/>
              <w:rPr>
                <w:sz w:val="22"/>
                <w:szCs w:val="22"/>
                <w:color w:val="auto"/>
              </w:rPr>
            </w:pPr>
          </w:p>
        </w:tc>
        <w:tc>
          <w:tcPr>
            <w:tcW w:w="980" w:type="dxa"/>
            <w:vAlign w:val="bottom"/>
            <w:tcBorders>
              <w:right w:val="single" w:sz="8" w:color="auto"/>
            </w:tcBorders>
            <w:shd w:val="clear" w:color="auto" w:fill="D9D9D9"/>
          </w:tcPr>
          <w:p>
            <w:pPr>
              <w:spacing w:after="0"/>
              <w:rPr>
                <w:sz w:val="22"/>
                <w:szCs w:val="22"/>
                <w:color w:val="auto"/>
              </w:rPr>
            </w:pPr>
          </w:p>
        </w:tc>
        <w:tc>
          <w:tcPr>
            <w:tcW w:w="12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4"/>
              </w:rPr>
              <w:t>Rate Margin</w:t>
            </w:r>
          </w:p>
        </w:tc>
        <w:tc>
          <w:tcPr>
            <w:tcW w:w="9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7"/>
              </w:rPr>
              <w:t>Margin</w:t>
            </w:r>
          </w:p>
        </w:tc>
        <w:tc>
          <w:tcPr>
            <w:tcW w:w="0" w:type="dxa"/>
            <w:vAlign w:val="bottom"/>
          </w:tcPr>
          <w:p>
            <w:pPr>
              <w:spacing w:after="0"/>
              <w:rPr>
                <w:sz w:val="1"/>
                <w:szCs w:val="1"/>
                <w:color w:val="auto"/>
              </w:rPr>
            </w:pPr>
          </w:p>
        </w:tc>
      </w:tr>
      <w:tr>
        <w:trPr>
          <w:trHeight w:val="89"/>
        </w:trPr>
        <w:tc>
          <w:tcPr>
            <w:tcW w:w="1080" w:type="dxa"/>
            <w:vAlign w:val="bottom"/>
            <w:tcBorders>
              <w:left w:val="single" w:sz="8" w:color="auto"/>
              <w:bottom w:val="single" w:sz="8" w:color="auto"/>
              <w:right w:val="single" w:sz="8" w:color="auto"/>
            </w:tcBorders>
            <w:shd w:val="clear" w:color="auto" w:fill="D9D9D9"/>
          </w:tcPr>
          <w:p>
            <w:pPr>
              <w:spacing w:after="0"/>
              <w:rPr>
                <w:sz w:val="7"/>
                <w:szCs w:val="7"/>
                <w:color w:val="auto"/>
              </w:rPr>
            </w:pPr>
          </w:p>
        </w:tc>
        <w:tc>
          <w:tcPr>
            <w:tcW w:w="2440" w:type="dxa"/>
            <w:vAlign w:val="bottom"/>
            <w:tcBorders>
              <w:bottom w:val="single" w:sz="8" w:color="auto"/>
              <w:right w:val="single" w:sz="8" w:color="auto"/>
            </w:tcBorders>
            <w:shd w:val="clear" w:color="auto" w:fill="D9D9D9"/>
          </w:tcPr>
          <w:p>
            <w:pPr>
              <w:spacing w:after="0"/>
              <w:rPr>
                <w:sz w:val="7"/>
                <w:szCs w:val="7"/>
                <w:color w:val="auto"/>
              </w:rPr>
            </w:pPr>
          </w:p>
        </w:tc>
        <w:tc>
          <w:tcPr>
            <w:tcW w:w="40" w:type="dxa"/>
            <w:vAlign w:val="bottom"/>
            <w:tcBorders>
              <w:bottom w:val="single" w:sz="8" w:color="auto"/>
            </w:tcBorders>
            <w:shd w:val="clear" w:color="auto" w:fill="D9D9D9"/>
          </w:tcPr>
          <w:p>
            <w:pPr>
              <w:spacing w:after="0"/>
              <w:rPr>
                <w:sz w:val="7"/>
                <w:szCs w:val="7"/>
                <w:color w:val="auto"/>
              </w:rPr>
            </w:pPr>
          </w:p>
        </w:tc>
        <w:tc>
          <w:tcPr>
            <w:tcW w:w="100" w:type="dxa"/>
            <w:vAlign w:val="bottom"/>
            <w:tcBorders>
              <w:bottom w:val="single" w:sz="8" w:color="auto"/>
            </w:tcBorders>
            <w:shd w:val="clear" w:color="auto" w:fill="D9D9D9"/>
          </w:tcPr>
          <w:p>
            <w:pPr>
              <w:spacing w:after="0"/>
              <w:rPr>
                <w:sz w:val="7"/>
                <w:szCs w:val="7"/>
                <w:color w:val="auto"/>
              </w:rPr>
            </w:pPr>
          </w:p>
        </w:tc>
        <w:tc>
          <w:tcPr>
            <w:tcW w:w="980" w:type="dxa"/>
            <w:vAlign w:val="bottom"/>
            <w:tcBorders>
              <w:bottom w:val="single" w:sz="8" w:color="auto"/>
              <w:right w:val="single" w:sz="8" w:color="auto"/>
            </w:tcBorders>
            <w:shd w:val="clear" w:color="auto" w:fill="D9D9D9"/>
          </w:tcPr>
          <w:p>
            <w:pPr>
              <w:spacing w:after="0"/>
              <w:rPr>
                <w:sz w:val="7"/>
                <w:szCs w:val="7"/>
                <w:color w:val="auto"/>
              </w:rPr>
            </w:pPr>
          </w:p>
        </w:tc>
        <w:tc>
          <w:tcPr>
            <w:tcW w:w="1280" w:type="dxa"/>
            <w:vAlign w:val="bottom"/>
            <w:tcBorders>
              <w:bottom w:val="single" w:sz="8" w:color="auto"/>
              <w:right w:val="single" w:sz="8" w:color="auto"/>
            </w:tcBorders>
            <w:shd w:val="clear" w:color="auto" w:fill="D9D9D9"/>
          </w:tcPr>
          <w:p>
            <w:pPr>
              <w:spacing w:after="0"/>
              <w:rPr>
                <w:sz w:val="7"/>
                <w:szCs w:val="7"/>
                <w:color w:val="auto"/>
              </w:rPr>
            </w:pPr>
          </w:p>
        </w:tc>
        <w:tc>
          <w:tcPr>
            <w:tcW w:w="980" w:type="dxa"/>
            <w:vAlign w:val="bottom"/>
            <w:tcBorders>
              <w:bottom w:val="single" w:sz="8" w:color="auto"/>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341"/>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Less than or equal to 0.25x</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Borders>
              <w:right w:val="single" w:sz="8" w:color="auto"/>
            </w:tcBorders>
          </w:tcPr>
          <w:p>
            <w:pPr>
              <w:jc w:val="center"/>
              <w:ind w:right="81"/>
              <w:spacing w:after="0"/>
              <w:rPr>
                <w:sz w:val="20"/>
                <w:szCs w:val="20"/>
                <w:color w:val="auto"/>
              </w:rPr>
            </w:pPr>
            <w:r>
              <w:rPr>
                <w:rFonts w:ascii="Arial" w:cs="Arial" w:eastAsia="Arial" w:hAnsi="Arial"/>
                <w:sz w:val="20"/>
                <w:szCs w:val="20"/>
                <w:color w:val="auto"/>
              </w:rPr>
              <w:t>≥A-/A3</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1.25%</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0.25%</w:t>
            </w:r>
          </w:p>
        </w:tc>
        <w:tc>
          <w:tcPr>
            <w:tcW w:w="0" w:type="dxa"/>
            <w:vAlign w:val="bottom"/>
          </w:tcPr>
          <w:p>
            <w:pPr>
              <w:spacing w:after="0"/>
              <w:rPr>
                <w:sz w:val="1"/>
                <w:szCs w:val="1"/>
                <w:color w:val="auto"/>
              </w:rPr>
            </w:pPr>
          </w:p>
        </w:tc>
      </w:tr>
      <w:tr>
        <w:trPr>
          <w:trHeight w:val="111"/>
        </w:trPr>
        <w:tc>
          <w:tcPr>
            <w:tcW w:w="1080" w:type="dxa"/>
            <w:vAlign w:val="bottom"/>
            <w:tcBorders>
              <w:left w:val="single" w:sz="8" w:color="auto"/>
              <w:bottom w:val="single" w:sz="8" w:color="auto"/>
              <w:right w:val="single" w:sz="8" w:color="auto"/>
            </w:tcBorders>
          </w:tcPr>
          <w:p>
            <w:pPr>
              <w:spacing w:after="0"/>
              <w:rPr>
                <w:sz w:val="9"/>
                <w:szCs w:val="9"/>
                <w:color w:val="auto"/>
              </w:rPr>
            </w:pPr>
          </w:p>
        </w:tc>
        <w:tc>
          <w:tcPr>
            <w:tcW w:w="24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Less than or equal to 0.50x</w:t>
            </w:r>
          </w:p>
        </w:tc>
        <w:tc>
          <w:tcPr>
            <w:tcW w:w="1120" w:type="dxa"/>
            <w:vAlign w:val="bottom"/>
            <w:tcBorders>
              <w:right w:val="single" w:sz="8" w:color="auto"/>
            </w:tcBorders>
            <w:gridSpan w:val="3"/>
          </w:tcPr>
          <w:p>
            <w:pPr>
              <w:jc w:val="center"/>
              <w:spacing w:after="0"/>
              <w:rPr>
                <w:sz w:val="20"/>
                <w:szCs w:val="20"/>
                <w:color w:val="auto"/>
              </w:rPr>
            </w:pPr>
            <w:r>
              <w:rPr>
                <w:rFonts w:ascii="Arial" w:cs="Arial" w:eastAsia="Arial" w:hAnsi="Arial"/>
                <w:sz w:val="20"/>
                <w:szCs w:val="20"/>
                <w:color w:val="auto"/>
                <w:w w:val="93"/>
              </w:rPr>
              <w:t>BBB+ / Baa1</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1.35%</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0.35%</w:t>
            </w:r>
          </w:p>
        </w:tc>
        <w:tc>
          <w:tcPr>
            <w:tcW w:w="0" w:type="dxa"/>
            <w:vAlign w:val="bottom"/>
          </w:tcPr>
          <w:p>
            <w:pPr>
              <w:spacing w:after="0"/>
              <w:rPr>
                <w:sz w:val="1"/>
                <w:szCs w:val="1"/>
                <w:color w:val="auto"/>
              </w:rPr>
            </w:pPr>
          </w:p>
        </w:tc>
      </w:tr>
      <w:tr>
        <w:trPr>
          <w:trHeight w:val="283"/>
        </w:trPr>
        <w:tc>
          <w:tcPr>
            <w:tcW w:w="1080" w:type="dxa"/>
            <w:vAlign w:val="bottom"/>
            <w:tcBorders>
              <w:left w:val="single" w:sz="8" w:color="auto"/>
              <w:bottom w:val="single" w:sz="8" w:color="auto"/>
              <w:right w:val="single" w:sz="8" w:color="auto"/>
            </w:tcBorders>
          </w:tcPr>
          <w:p>
            <w:pPr>
              <w:spacing w:after="0"/>
              <w:rPr>
                <w:sz w:val="24"/>
                <w:szCs w:val="24"/>
                <w:color w:val="auto"/>
              </w:rPr>
            </w:pP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but greater than 0.25x</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1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3</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Less than or equal to 1.50x</w:t>
            </w:r>
          </w:p>
        </w:tc>
        <w:tc>
          <w:tcPr>
            <w:tcW w:w="40" w:type="dxa"/>
            <w:vAlign w:val="bottom"/>
          </w:tcPr>
          <w:p>
            <w:pPr>
              <w:spacing w:after="0"/>
              <w:rPr>
                <w:sz w:val="24"/>
                <w:szCs w:val="24"/>
                <w:color w:val="auto"/>
              </w:rPr>
            </w:pPr>
          </w:p>
        </w:tc>
        <w:tc>
          <w:tcPr>
            <w:tcW w:w="10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0"/>
                <w:szCs w:val="20"/>
                <w:color w:val="auto"/>
                <w:w w:val="92"/>
              </w:rPr>
              <w:t>BBB / Baa2</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1.50%</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0.50%</w:t>
            </w:r>
          </w:p>
        </w:tc>
        <w:tc>
          <w:tcPr>
            <w:tcW w:w="0" w:type="dxa"/>
            <w:vAlign w:val="bottom"/>
          </w:tcPr>
          <w:p>
            <w:pPr>
              <w:spacing w:after="0"/>
              <w:rPr>
                <w:sz w:val="1"/>
                <w:szCs w:val="1"/>
                <w:color w:val="auto"/>
              </w:rPr>
            </w:pPr>
          </w:p>
        </w:tc>
      </w:tr>
      <w:tr>
        <w:trPr>
          <w:trHeight w:val="129"/>
        </w:trPr>
        <w:tc>
          <w:tcPr>
            <w:tcW w:w="1080" w:type="dxa"/>
            <w:vAlign w:val="bottom"/>
            <w:tcBorders>
              <w:left w:val="single" w:sz="8" w:color="auto"/>
              <w:right w:val="single" w:sz="8" w:color="auto"/>
            </w:tcBorders>
            <w:vMerge w:val="continue"/>
          </w:tcPr>
          <w:p>
            <w:pPr>
              <w:spacing w:after="0"/>
              <w:rPr>
                <w:sz w:val="11"/>
                <w:szCs w:val="11"/>
                <w:color w:val="auto"/>
              </w:rPr>
            </w:pPr>
          </w:p>
        </w:tc>
        <w:tc>
          <w:tcPr>
            <w:tcW w:w="2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but greater than 0.50x</w:t>
            </w:r>
          </w:p>
        </w:tc>
        <w:tc>
          <w:tcPr>
            <w:tcW w:w="40" w:type="dxa"/>
            <w:vAlign w:val="bottom"/>
          </w:tcPr>
          <w:p>
            <w:pPr>
              <w:spacing w:after="0"/>
              <w:rPr>
                <w:sz w:val="11"/>
                <w:szCs w:val="11"/>
                <w:color w:val="auto"/>
              </w:rPr>
            </w:pPr>
          </w:p>
        </w:tc>
        <w:tc>
          <w:tcPr>
            <w:tcW w:w="1080" w:type="dxa"/>
            <w:vAlign w:val="bottom"/>
            <w:tcBorders>
              <w:right w:val="single" w:sz="8" w:color="auto"/>
            </w:tcBorders>
            <w:gridSpan w:val="2"/>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9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tcBorders>
              <w:left w:val="single" w:sz="8" w:color="auto"/>
              <w:right w:val="single" w:sz="8" w:color="auto"/>
            </w:tcBorders>
          </w:tcPr>
          <w:p>
            <w:pPr>
              <w:spacing w:after="0"/>
              <w:rPr>
                <w:sz w:val="10"/>
                <w:szCs w:val="10"/>
                <w:color w:val="auto"/>
              </w:rPr>
            </w:pPr>
          </w:p>
        </w:tc>
        <w:tc>
          <w:tcPr>
            <w:tcW w:w="244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080" w:type="dxa"/>
            <w:vAlign w:val="bottom"/>
            <w:tcBorders>
              <w:left w:val="single" w:sz="8" w:color="auto"/>
              <w:bottom w:val="single" w:sz="8" w:color="auto"/>
              <w:right w:val="single" w:sz="8" w:color="auto"/>
            </w:tcBorders>
          </w:tcPr>
          <w:p>
            <w:pPr>
              <w:spacing w:after="0"/>
              <w:rPr>
                <w:sz w:val="8"/>
                <w:szCs w:val="8"/>
                <w:color w:val="auto"/>
              </w:rPr>
            </w:pPr>
          </w:p>
        </w:tc>
        <w:tc>
          <w:tcPr>
            <w:tcW w:w="2440" w:type="dxa"/>
            <w:vAlign w:val="bottom"/>
            <w:tcBorders>
              <w:bottom w:val="single" w:sz="8" w:color="auto"/>
              <w:right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91"/>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4</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Less than or equal to 2.00x</w:t>
            </w:r>
          </w:p>
        </w:tc>
        <w:tc>
          <w:tcPr>
            <w:tcW w:w="1120" w:type="dxa"/>
            <w:vAlign w:val="bottom"/>
            <w:tcBorders>
              <w:right w:val="single" w:sz="8" w:color="auto"/>
            </w:tcBorders>
            <w:gridSpan w:val="3"/>
          </w:tcPr>
          <w:p>
            <w:pPr>
              <w:jc w:val="center"/>
              <w:spacing w:after="0"/>
              <w:rPr>
                <w:sz w:val="20"/>
                <w:szCs w:val="20"/>
                <w:color w:val="auto"/>
              </w:rPr>
            </w:pPr>
            <w:r>
              <w:rPr>
                <w:rFonts w:ascii="Arial" w:cs="Arial" w:eastAsia="Arial" w:hAnsi="Arial"/>
                <w:sz w:val="20"/>
                <w:szCs w:val="20"/>
                <w:color w:val="auto"/>
                <w:w w:val="92"/>
              </w:rPr>
              <w:t>BBB- / Baa3</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1.70%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0.70%</w:t>
            </w:r>
          </w:p>
        </w:tc>
        <w:tc>
          <w:tcPr>
            <w:tcW w:w="0" w:type="dxa"/>
            <w:vAlign w:val="bottom"/>
          </w:tcPr>
          <w:p>
            <w:pPr>
              <w:spacing w:after="0"/>
              <w:rPr>
                <w:sz w:val="1"/>
                <w:szCs w:val="1"/>
                <w:color w:val="auto"/>
              </w:rPr>
            </w:pPr>
          </w:p>
        </w:tc>
      </w:tr>
      <w:tr>
        <w:trPr>
          <w:trHeight w:val="283"/>
        </w:trPr>
        <w:tc>
          <w:tcPr>
            <w:tcW w:w="1080" w:type="dxa"/>
            <w:vAlign w:val="bottom"/>
            <w:tcBorders>
              <w:left w:val="single" w:sz="8" w:color="auto"/>
              <w:bottom w:val="single" w:sz="8" w:color="auto"/>
              <w:right w:val="single" w:sz="8" w:color="auto"/>
            </w:tcBorders>
          </w:tcPr>
          <w:p>
            <w:pPr>
              <w:spacing w:after="0"/>
              <w:rPr>
                <w:sz w:val="24"/>
                <w:szCs w:val="24"/>
                <w:color w:val="auto"/>
              </w:rPr>
            </w:pP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but greater than 1.50x</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5</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Greater than 2.00x</w:t>
            </w:r>
          </w:p>
        </w:tc>
        <w:tc>
          <w:tcPr>
            <w:tcW w:w="1120" w:type="dxa"/>
            <w:vAlign w:val="bottom"/>
            <w:tcBorders>
              <w:right w:val="single" w:sz="8" w:color="auto"/>
            </w:tcBorders>
            <w:gridSpan w:val="3"/>
          </w:tcPr>
          <w:p>
            <w:pPr>
              <w:jc w:val="center"/>
              <w:spacing w:after="0"/>
              <w:rPr>
                <w:sz w:val="20"/>
                <w:szCs w:val="20"/>
                <w:color w:val="auto"/>
              </w:rPr>
            </w:pPr>
            <w:r>
              <w:rPr>
                <w:rFonts w:ascii="Arial" w:cs="Arial" w:eastAsia="Arial" w:hAnsi="Arial"/>
                <w:sz w:val="20"/>
                <w:szCs w:val="20"/>
                <w:color w:val="auto"/>
                <w:w w:val="92"/>
              </w:rPr>
              <w:t>&lt; BB+ / Ba1</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1.95%</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0.95%</w:t>
            </w:r>
          </w:p>
        </w:tc>
        <w:tc>
          <w:tcPr>
            <w:tcW w:w="0" w:type="dxa"/>
            <w:vAlign w:val="bottom"/>
          </w:tcPr>
          <w:p>
            <w:pPr>
              <w:spacing w:after="0"/>
              <w:rPr>
                <w:sz w:val="1"/>
                <w:szCs w:val="1"/>
                <w:color w:val="auto"/>
              </w:rPr>
            </w:pPr>
          </w:p>
        </w:tc>
      </w:tr>
      <w:tr>
        <w:trPr>
          <w:trHeight w:val="135"/>
        </w:trPr>
        <w:tc>
          <w:tcPr>
            <w:tcW w:w="1080" w:type="dxa"/>
            <w:vAlign w:val="bottom"/>
            <w:tcBorders>
              <w:left w:val="single" w:sz="8" w:color="auto"/>
              <w:bottom w:val="single" w:sz="8" w:color="auto"/>
              <w:right w:val="single" w:sz="8" w:color="auto"/>
            </w:tcBorders>
          </w:tcPr>
          <w:p>
            <w:pPr>
              <w:spacing w:after="0"/>
              <w:rPr>
                <w:sz w:val="11"/>
                <w:szCs w:val="11"/>
                <w:color w:val="auto"/>
              </w:rPr>
            </w:pPr>
          </w:p>
        </w:tc>
        <w:tc>
          <w:tcPr>
            <w:tcW w:w="24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both"/>
        <w:ind w:left="900" w:firstLine="75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 Rating</w:t>
      </w:r>
      <w:r>
        <w:rPr>
          <w:rFonts w:ascii="Arial" w:cs="Arial" w:eastAsia="Arial" w:hAnsi="Arial"/>
          <w:sz w:val="19"/>
          <w:szCs w:val="19"/>
          <w:color w:val="auto"/>
        </w:rPr>
        <w:t>” means, as of any date of determination, the rating as determined by either S&amp;P or Moody’s (collectively, the “</w:t>
      </w:r>
      <w:r>
        <w:rPr>
          <w:rFonts w:ascii="Arial" w:cs="Arial" w:eastAsia="Arial" w:hAnsi="Arial"/>
          <w:sz w:val="19"/>
          <w:szCs w:val="19"/>
          <w:u w:val="single" w:color="auto"/>
          <w:color w:val="auto"/>
        </w:rPr>
        <w:t>Debt Ratings</w:t>
      </w:r>
      <w:r>
        <w:rPr>
          <w:rFonts w:ascii="Arial" w:cs="Arial" w:eastAsia="Arial" w:hAnsi="Arial"/>
          <w:sz w:val="19"/>
          <w:szCs w:val="19"/>
          <w:color w:val="auto"/>
        </w:rPr>
        <w:t xml:space="preserve"> ”) of the Borrower’s non-credit-enhanced, senior unsecured long-term debt;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Debt Rating is issued by each of the foregoing rating agencies and such Debt Ratings differ, then the higher of such Debt Ratings shall apply (with the Debt Rating for Pricing Level 1 being the highest and the Debt Rating for Pricing Level 5 being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2" w:name="page13"/>
    <w:bookmarkEnd w:id="12"/>
    <w:p>
      <w:pPr>
        <w:ind w:left="900" w:right="20"/>
        <w:spacing w:after="0" w:line="260" w:lineRule="auto"/>
        <w:rPr>
          <w:sz w:val="20"/>
          <w:szCs w:val="20"/>
          <w:color w:val="auto"/>
        </w:rPr>
      </w:pPr>
      <w:r>
        <w:rPr>
          <w:rFonts w:ascii="Arial" w:cs="Arial" w:eastAsia="Arial" w:hAnsi="Arial"/>
          <w:sz w:val="20"/>
          <w:szCs w:val="20"/>
          <w:color w:val="auto"/>
        </w:rPr>
        <w:t>the lowest), unless there is a split in Debt Ratings of more than one level, in which case the Pricing Level that is one level higher than the Pricing Level of the lower Debt Rating shall apply.</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 xml:space="preserve">Initially, the Applicable Rate shall be determined based upon Pricing Level 3 until June 30, 2020. Thereafter, each change in the Applicable Rate resulting from a publicly announced change in the Debt Rating will be effective during the period commencing on the date of the public announcement thereof and ending on the date immediately preceding the effective date of the next such change, and any change in the Applicable Rate resulting from a change in the Leverage Ratio for such period will become effective as of the first Business Day after the date on which such Compliance Certificate is delivered pursuant to </w:t>
      </w:r>
      <w:r>
        <w:rPr>
          <w:rFonts w:ascii="Arial" w:cs="Arial" w:eastAsia="Arial" w:hAnsi="Arial"/>
          <w:sz w:val="18"/>
          <w:szCs w:val="18"/>
          <w:u w:val="single" w:color="auto"/>
          <w:color w:val="auto"/>
        </w:rPr>
        <w:t>Section 6.02(a)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 Compliance Certificate is not delivered when due in accordance with such Section, then Pricing Level 5 will be the applicable Pricing Level corresponding to such ratio for determination as set forth above of the Applicable Rate as of the first Business Day after the date on which such Compliance Certificate was required to have been delivered. If, as of any date of determination, the Leverage Ratio for such period corresponds to a Pricing Level different than that Pricing Level corresponding to the Debt Rating issued at the time of calculation of such ratio, then, in each case, the lower of such two Pricing Levels (with Pricing Level 1 being the lowest and the Pricing Level 5 being the highest) will apply, unless there is a split of more than one level in corresponding Pricing Levels, in which case the Pricing Level that is one level higher than the lower Pricing Level will apply. In the event that a Debt Rating has not been issued as of any date of determination, the Pricing Level corresponding to the Leverage Ratio for such period as of such date of determination shall apply. In the event that only one Debt Rating has been issued as of any date of determination, that Debt Rating shall apply.</w:t>
      </w:r>
    </w:p>
    <w:p>
      <w:pPr>
        <w:spacing w:after="0" w:line="195"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means any Fund that is administered or managed by (a) a Lender, (b) an Affiliate of a Lender or (c) an entity or an Affiliate of an entity that administers or manages a Lender.</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Arranger</w:t>
      </w:r>
      <w:r>
        <w:rPr>
          <w:rFonts w:ascii="Arial" w:cs="Arial" w:eastAsia="Arial" w:hAnsi="Arial"/>
          <w:sz w:val="20"/>
          <w:szCs w:val="20"/>
          <w:color w:val="auto"/>
        </w:rPr>
        <w:t>” means BofA Securities, Inc., in its capacity as lead arranger and bookrunner.</w:t>
      </w:r>
    </w:p>
    <w:p>
      <w:pPr>
        <w:spacing w:after="0" w:line="21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Assignee Group</w:t>
      </w:r>
      <w:r>
        <w:rPr>
          <w:rFonts w:ascii="Arial" w:cs="Arial" w:eastAsia="Arial" w:hAnsi="Arial"/>
          <w:sz w:val="20"/>
          <w:szCs w:val="20"/>
          <w:color w:val="auto"/>
        </w:rPr>
        <w:t>” means two or more Eligible Assignees that are Affiliates of one another or two or more Approved Funds managed by the same investment advisor.</w:t>
      </w:r>
    </w:p>
    <w:p>
      <w:pPr>
        <w:spacing w:after="0" w:line="177"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means an assignment and assumption entered into by a Lender and an Eligible Assignee (with the consent of any party whose consent is required by </w:t>
      </w:r>
      <w:r>
        <w:rPr>
          <w:rFonts w:ascii="Arial" w:cs="Arial" w:eastAsia="Arial" w:hAnsi="Arial"/>
          <w:sz w:val="20"/>
          <w:szCs w:val="20"/>
          <w:u w:val="single" w:color="auto"/>
          <w:color w:val="auto"/>
        </w:rPr>
        <w:t>Section 10.06(b)</w:t>
      </w:r>
      <w:r>
        <w:rPr>
          <w:rFonts w:ascii="Arial" w:cs="Arial" w:eastAsia="Arial" w:hAnsi="Arial"/>
          <w:sz w:val="20"/>
          <w:szCs w:val="20"/>
          <w:color w:val="auto"/>
        </w:rPr>
        <w:t xml:space="preserve">), and accepted by the Administrative Agent, in substantially the form of </w:t>
      </w:r>
      <w:r>
        <w:rPr>
          <w:rFonts w:ascii="Arial" w:cs="Arial" w:eastAsia="Arial" w:hAnsi="Arial"/>
          <w:sz w:val="20"/>
          <w:szCs w:val="20"/>
          <w:u w:val="single" w:color="auto"/>
          <w:color w:val="auto"/>
        </w:rPr>
        <w:t>Exhibit D</w:t>
      </w:r>
      <w:r>
        <w:rPr>
          <w:rFonts w:ascii="Arial" w:cs="Arial" w:eastAsia="Arial" w:hAnsi="Arial"/>
          <w:sz w:val="20"/>
          <w:szCs w:val="20"/>
          <w:color w:val="auto"/>
        </w:rPr>
        <w:t xml:space="preserve"> or any other form (including electronic documentation generated by use of an electronic platform) approved by the Administrative Agent.</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Attorney Costs</w:t>
      </w:r>
      <w:r>
        <w:rPr>
          <w:rFonts w:ascii="Arial" w:cs="Arial" w:eastAsia="Arial" w:hAnsi="Arial"/>
          <w:sz w:val="19"/>
          <w:szCs w:val="19"/>
          <w:color w:val="auto"/>
        </w:rPr>
        <w:t>” means and includes all reasonable fees and disbursements of any law firm or other external counsel.</w:t>
      </w:r>
    </w:p>
    <w:p>
      <w:pPr>
        <w:spacing w:after="0" w:line="227"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161"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Audited Financial Statements</w:t>
      </w:r>
      <w:r>
        <w:rPr>
          <w:rFonts w:ascii="Arial" w:cs="Arial" w:eastAsia="Arial" w:hAnsi="Arial"/>
          <w:sz w:val="20"/>
          <w:szCs w:val="20"/>
          <w:color w:val="auto"/>
        </w:rPr>
        <w:t>” means the audited consolidated balance sheet of the Borrower and its Subsidiaries for the fiscal year ended October 31, 2019, and the related consolidated statements of income or operations, shareholders’ equity and cash flows for such fiscal year of the Borrower and its Subsidiaries, including the notes thereto.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3" w:name="page14"/>
    <w:bookmarkEnd w:id="13"/>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Resolution Authority in respect of any liability of an Affected Financial Institution.</w:t>
      </w:r>
    </w:p>
    <w:p>
      <w:pPr>
        <w:spacing w:after="0" w:line="177"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of America</w:t>
      </w:r>
      <w:r>
        <w:rPr>
          <w:rFonts w:ascii="Arial" w:cs="Arial" w:eastAsia="Arial" w:hAnsi="Arial"/>
          <w:sz w:val="20"/>
          <w:szCs w:val="20"/>
          <w:color w:val="auto"/>
        </w:rPr>
        <w:t>” means Bank of America, N.A. and its successors.</w:t>
      </w:r>
    </w:p>
    <w:p>
      <w:pPr>
        <w:spacing w:after="0" w:line="216"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w:t>
      </w:r>
      <w:r>
        <w:rPr>
          <w:rFonts w:ascii="Arial" w:cs="Arial" w:eastAsia="Arial" w:hAnsi="Arial"/>
          <w:sz w:val="19"/>
          <w:szCs w:val="19"/>
          <w:color w:val="auto"/>
        </w:rPr>
        <w:t xml:space="preserve">” means for any day a fluctuating rate per annum equal to the highest of (a) the Federal Funds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1/2 of 1%, (b) the rate of interest in effect for such day as publicly announced from time to time by Bank of America as its “prime rate,” and (c) the Eurodollar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hereof, then the Base Rate shall be the greater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and shall be determined without reference to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above.</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Loan</w:t>
      </w:r>
      <w:r>
        <w:rPr>
          <w:rFonts w:ascii="Arial" w:cs="Arial" w:eastAsia="Arial" w:hAnsi="Arial"/>
          <w:sz w:val="20"/>
          <w:szCs w:val="20"/>
          <w:color w:val="auto"/>
        </w:rPr>
        <w:t>” means a Loan that bears interest based on the Base Rate.</w:t>
      </w:r>
    </w:p>
    <w:p>
      <w:pPr>
        <w:spacing w:after="0" w:line="21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means a certification regarding beneficial ownership required by the Beneficial Ownership Regulation.</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means 31 C.F.R. § 1010.230.</w:t>
      </w:r>
    </w:p>
    <w:p>
      <w:pPr>
        <w:spacing w:after="0" w:line="216"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Benefit Plan</w:t>
      </w:r>
      <w:r>
        <w:rPr>
          <w:rFonts w:ascii="Arial" w:cs="Arial" w:eastAsia="Arial" w:hAnsi="Arial"/>
          <w:sz w:val="19"/>
          <w:szCs w:val="19"/>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has the meaning specified in the introductory paragraph hereto.</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Materials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xml:space="preserve">” means a borrowing consisting of Loans pursuant to </w:t>
      </w:r>
      <w:r>
        <w:rPr>
          <w:rFonts w:ascii="Arial" w:cs="Arial" w:eastAsia="Arial" w:hAnsi="Arial"/>
          <w:sz w:val="20"/>
          <w:szCs w:val="20"/>
          <w:u w:val="single" w:color="auto"/>
          <w:color w:val="auto"/>
        </w:rPr>
        <w:t>Section 2.01</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any day other than a Saturday, Sunday or other day on which commercial banks are authorized to close under the Laws of, or are in fact closed in, the state where the Administrative Agent’s Office is located and, if such day relates to any Eurodollar Rate Loan, means any such day that is also a London Banking Day.</w:t>
      </w:r>
    </w:p>
    <w:p>
      <w:pPr>
        <w:spacing w:after="0" w:line="18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Law</w:t>
      </w:r>
      <w:r>
        <w:rPr>
          <w:rFonts w:ascii="Arial" w:cs="Arial" w:eastAsia="Arial" w:hAnsi="Arial"/>
          <w:sz w:val="20"/>
          <w:szCs w:val="20"/>
          <w:color w:val="auto"/>
        </w:rPr>
        <w:t>”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4" w:name="page15"/>
    <w:bookmarkEnd w:id="14"/>
    <w:p>
      <w:pPr>
        <w:jc w:val="both"/>
        <w:spacing w:after="0" w:line="316" w:lineRule="auto"/>
        <w:rPr>
          <w:sz w:val="20"/>
          <w:szCs w:val="20"/>
          <w:color w:val="auto"/>
        </w:rPr>
      </w:pPr>
      <w:r>
        <w:rPr>
          <w:rFonts w:ascii="Arial" w:cs="Arial" w:eastAsia="Arial" w:hAnsi="Arial"/>
          <w:sz w:val="16"/>
          <w:szCs w:val="16"/>
          <w:color w:val="auto"/>
        </w:rPr>
        <w:t xml:space="preserve">Governmental Authority or (c) the making or issuance of any request, rule, guideline or directive (whether or not having the force of law) by any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40" w:lineRule="exact"/>
        <w:rPr>
          <w:sz w:val="20"/>
          <w:szCs w:val="20"/>
          <w:color w:val="auto"/>
        </w:rPr>
      </w:pPr>
    </w:p>
    <w:p>
      <w:pPr>
        <w:jc w:val="both"/>
        <w:ind w:firstLine="864"/>
        <w:spacing w:after="0" w:line="231"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means an event or series of events by which (i) any Person or group within the meaning of Section 13(d)(3) of the Exchange Act and the rules and regulations promulgated thereunder, shall, after the Closing Date, acquire beneficial ownership (within the meaning of Rule 13d</w:t>
      </w:r>
      <w:r>
        <w:rPr>
          <w:rFonts w:ascii="MS PGothic" w:cs="MS PGothic" w:eastAsia="MS PGothic" w:hAnsi="MS PGothic"/>
          <w:sz w:val="19"/>
          <w:szCs w:val="19"/>
          <w:color w:val="auto"/>
        </w:rPr>
        <w:t>‑</w:t>
      </w:r>
      <w:r>
        <w:rPr>
          <w:rFonts w:ascii="Arial" w:cs="Arial" w:eastAsia="Arial" w:hAnsi="Arial"/>
          <w:sz w:val="19"/>
          <w:szCs w:val="19"/>
          <w:color w:val="auto"/>
        </w:rPr>
        <w:t>3 of the Exchange Act), directly or indirectly, of securities of the Borrower (or other securities convertible into such securities) representing thirty percent (30%) of the combined voting power of all securities of the Borrower entitled to vote in the election of directors, other than securities having such power only by reason of the happening of a contingency (hereinafter called a “</w:t>
      </w:r>
      <w:r>
        <w:rPr>
          <w:rFonts w:ascii="Arial" w:cs="Arial" w:eastAsia="Arial" w:hAnsi="Arial"/>
          <w:sz w:val="19"/>
          <w:szCs w:val="19"/>
          <w:u w:val="single" w:color="auto"/>
          <w:color w:val="auto"/>
        </w:rPr>
        <w:t>Controlling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Person</w:t>
      </w:r>
      <w:r>
        <w:rPr>
          <w:rFonts w:ascii="Arial" w:cs="Arial" w:eastAsia="Arial" w:hAnsi="Arial"/>
          <w:sz w:val="19"/>
          <w:szCs w:val="19"/>
          <w:color w:val="auto"/>
        </w:rPr>
        <w:t xml:space="preserve">”); or (ii) a majority of the Board of Directors of the Borrower shall cease for any reason to consist of (A) individuals who on the Closing Date were serving as directors of the Borrower and (B) individuals who subsequently become members of the Board if such individuals’ nomination for election or election to the Board is recommended or approved by a majority of the Board of Directors of the Borrower; or (iv) a default or the happening of any event shall occur under any charter, indenture, agreement or other instrument in connection with which any preferred stock of the Borrower may be issued, and as a result of such default or event the holders of such preferred stock shall designate or elect members of the Board of Directors of the Borrower. For purposes of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above, a Person or group shall not be a Controlling Person if such Person or group holds voting power in good faith and not for the purpose of circumventing </w:t>
      </w:r>
      <w:r>
        <w:rPr>
          <w:rFonts w:ascii="Arial" w:cs="Arial" w:eastAsia="Arial" w:hAnsi="Arial"/>
          <w:sz w:val="19"/>
          <w:szCs w:val="19"/>
          <w:u w:val="single" w:color="auto"/>
          <w:color w:val="auto"/>
        </w:rPr>
        <w:t>Section 8.01(l)</w:t>
      </w:r>
      <w:r>
        <w:rPr>
          <w:rFonts w:ascii="Arial" w:cs="Arial" w:eastAsia="Arial" w:hAnsi="Arial"/>
          <w:sz w:val="19"/>
          <w:szCs w:val="19"/>
          <w:color w:val="auto"/>
        </w:rPr>
        <w:t xml:space="preserve"> as an agent, bank, broker, nominee, trustee, or holder of revocable proxies given in response to a solicitation pursuant to the Exchange Act, for one or more beneficial owners who do not individually, or, if they are a group acting in concert, as a group, have the voting power specified in </w:t>
      </w:r>
      <w:r>
        <w:rPr>
          <w:rFonts w:ascii="Arial" w:cs="Arial" w:eastAsia="Arial" w:hAnsi="Arial"/>
          <w:sz w:val="19"/>
          <w:szCs w:val="19"/>
          <w:u w:val="single" w:color="auto"/>
          <w:color w:val="auto"/>
        </w:rPr>
        <w:t>clause (i)</w:t>
      </w:r>
      <w:r>
        <w:rPr>
          <w:rFonts w:ascii="Arial" w:cs="Arial" w:eastAsia="Arial" w:hAnsi="Arial"/>
          <w:sz w:val="19"/>
          <w:szCs w:val="19"/>
          <w:color w:val="auto"/>
        </w:rPr>
        <w:t>.</w:t>
      </w:r>
    </w:p>
    <w:p>
      <w:pPr>
        <w:spacing w:after="0" w:line="204"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xml:space="preserve">” means the first date that all the conditions precedent in </w:t>
      </w:r>
      <w:r>
        <w:rPr>
          <w:rFonts w:ascii="Arial" w:cs="Arial" w:eastAsia="Arial" w:hAnsi="Arial"/>
          <w:sz w:val="20"/>
          <w:szCs w:val="20"/>
          <w:u w:val="single" w:color="auto"/>
          <w:color w:val="auto"/>
        </w:rPr>
        <w:t>Section 4.01</w:t>
      </w:r>
      <w:r>
        <w:rPr>
          <w:rFonts w:ascii="Arial" w:cs="Arial" w:eastAsia="Arial" w:hAnsi="Arial"/>
          <w:sz w:val="20"/>
          <w:szCs w:val="20"/>
          <w:color w:val="auto"/>
        </w:rPr>
        <w:t xml:space="preserve"> are satisfied or waived in accordance with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and the Loans are funded.</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w:t>
      </w:r>
    </w:p>
    <w:p>
      <w:pPr>
        <w:spacing w:after="0" w:line="216"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w:t>
      </w:r>
      <w:r>
        <w:rPr>
          <w:rFonts w:ascii="Arial" w:cs="Arial" w:eastAsia="Arial" w:hAnsi="Arial"/>
          <w:sz w:val="19"/>
          <w:szCs w:val="19"/>
          <w:color w:val="auto"/>
        </w:rPr>
        <w:t xml:space="preserve">” means, as to each Lender, its obligation to make a single Loan to the Borrower on the Funding Date pursuant to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in a principal amount not to exceed the amount set forth opposite such Lender’s name on </w:t>
      </w:r>
      <w:r>
        <w:rPr>
          <w:rFonts w:ascii="Arial" w:cs="Arial" w:eastAsia="Arial" w:hAnsi="Arial"/>
          <w:sz w:val="19"/>
          <w:szCs w:val="19"/>
          <w:u w:val="single" w:color="auto"/>
          <w:color w:val="auto"/>
        </w:rPr>
        <w:t>Annex I</w:t>
      </w:r>
      <w:r>
        <w:rPr>
          <w:rFonts w:ascii="Arial" w:cs="Arial" w:eastAsia="Arial" w:hAnsi="Arial"/>
          <w:sz w:val="19"/>
          <w:szCs w:val="19"/>
          <w:color w:val="auto"/>
        </w:rPr>
        <w:t xml:space="preserve"> under the caption “Term Loan Commitment” or opposite such caption in the Assignment and Assumption pursuant to which such Lender becomes a party hereto, as applicable, as such amount may be adjusted from time to time in accordance with this Agreement.</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means a certificate substantially in the form of </w:t>
      </w:r>
      <w:r>
        <w:rPr>
          <w:rFonts w:ascii="Arial" w:cs="Arial" w:eastAsia="Arial" w:hAnsi="Arial"/>
          <w:sz w:val="20"/>
          <w:szCs w:val="20"/>
          <w:u w:val="single" w:color="auto"/>
          <w:color w:val="auto"/>
        </w:rPr>
        <w:t>Exhibit C</w:t>
      </w:r>
      <w:r>
        <w:rPr>
          <w:rFonts w:ascii="Arial" w:cs="Arial" w:eastAsia="Arial" w:hAnsi="Arial"/>
          <w:sz w:val="20"/>
          <w:szCs w:val="20"/>
          <w:color w:val="auto"/>
        </w:rPr>
        <w:t>.</w:t>
      </w:r>
    </w:p>
    <w:p>
      <w:pPr>
        <w:spacing w:after="0" w:line="216"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77"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w:t>
      </w:r>
      <w:r>
        <w:rPr>
          <w:rFonts w:ascii="Arial" w:cs="Arial" w:eastAsia="Arial" w:hAnsi="Arial"/>
          <w:sz w:val="18"/>
          <w:szCs w:val="18"/>
          <w:color w:val="auto"/>
        </w:rPr>
        <w:t xml:space="preserve">” means, for any period, for the Borrower and its Subsidiaries on a consolidated basis, an amount equal to Consolidated Net Income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following to the extent deducted in calculating such Consolidated Net Income: (i) Consolidated Interest Charges for such period, (ii) the provision for Federal, state, local and foreign income taxes payable by the Borrower and its Subsidiaries for such period, and (iii) one-time, non-recurring cash fees and expenses, not to exceed $15,000,000 in the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5" w:name="page16"/>
    <w:bookmarkEnd w:id="15"/>
    <w:p>
      <w:pPr>
        <w:jc w:val="both"/>
        <w:spacing w:after="0" w:line="250" w:lineRule="auto"/>
        <w:rPr>
          <w:sz w:val="20"/>
          <w:szCs w:val="20"/>
          <w:color w:val="auto"/>
        </w:rPr>
      </w:pPr>
      <w:r>
        <w:rPr>
          <w:rFonts w:ascii="Arial" w:cs="Arial" w:eastAsia="Arial" w:hAnsi="Arial"/>
          <w:sz w:val="20"/>
          <w:szCs w:val="20"/>
          <w:color w:val="auto"/>
        </w:rPr>
        <w:t>aggregate, (x) related to restructurings, or (y) related to cost savings, restructuring, severance, integration, or consolidation related to an Acquisition, and to include without limitation advisory, legal, financing, and consulting fees related to an Acquisition, incurred in anticipation of, in connection with or as a result of such Acquisition.</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Charges</w:t>
      </w:r>
      <w:r>
        <w:rPr>
          <w:rFonts w:ascii="Arial" w:cs="Arial" w:eastAsia="Arial" w:hAnsi="Arial"/>
          <w:sz w:val="18"/>
          <w:szCs w:val="18"/>
          <w:color w:val="auto"/>
        </w:rPr>
        <w:t>” means, for any period, for the Borrower and its Subsidiaries on a consolidated basis, the sum of</w:t>
      </w:r>
    </w:p>
    <w:p>
      <w:pPr>
        <w:spacing w:after="0" w:line="39" w:lineRule="exact"/>
        <w:rPr>
          <w:sz w:val="20"/>
          <w:szCs w:val="20"/>
          <w:color w:val="auto"/>
        </w:rPr>
      </w:pPr>
    </w:p>
    <w:p>
      <w:pPr>
        <w:jc w:val="both"/>
        <w:ind w:firstLine="8"/>
        <w:spacing w:after="0" w:line="256" w:lineRule="auto"/>
        <w:tabs>
          <w:tab w:leader="none" w:pos="275" w:val="left"/>
        </w:tabs>
        <w:numPr>
          <w:ilvl w:val="0"/>
          <w:numId w:val="9"/>
        </w:numPr>
        <w:rPr>
          <w:rFonts w:ascii="Arial" w:cs="Arial" w:eastAsia="Arial" w:hAnsi="Arial"/>
          <w:sz w:val="19"/>
          <w:szCs w:val="19"/>
          <w:color w:val="auto"/>
        </w:rPr>
      </w:pPr>
      <w:r>
        <w:rPr>
          <w:rFonts w:ascii="Arial" w:cs="Arial" w:eastAsia="Arial" w:hAnsi="Arial"/>
          <w:sz w:val="19"/>
          <w:szCs w:val="19"/>
          <w:color w:val="auto"/>
        </w:rPr>
        <w:t>all interest, discounts, premium payments, commissions, fees (other than fees incurred hereunder or in connection herewith), charges and related expenses of the Borrower and its Subsidiaries in connection with Indebtedness (including capitalized interest) or in connection with the deferred purchase price of assets or incurred with respect to any Receivables Purchase Facility permitted hereunder, in each case to the extent treated as interest in accordance with GAAP and (b) the portion of rent expense of the Borrower and its Subsidiaries with respect to such period under capital leases that is treated as interest in accordance with GAAP.</w:t>
      </w:r>
    </w:p>
    <w:p>
      <w:pPr>
        <w:spacing w:after="0" w:line="182"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Interest Coverage Ratio</w:t>
      </w:r>
      <w:r>
        <w:rPr>
          <w:rFonts w:ascii="Arial" w:cs="Arial" w:eastAsia="Arial" w:hAnsi="Arial"/>
          <w:sz w:val="20"/>
          <w:szCs w:val="20"/>
          <w:color w:val="auto"/>
        </w:rPr>
        <w:t>” means, as of any date of determination, the ratio of (a) Consolidated EBIT for the period of the four prior fiscal quarters ending on such date to (b) Consolidated Interest Charges for such period.</w:t>
      </w:r>
    </w:p>
    <w:p>
      <w:pPr>
        <w:spacing w:after="0" w:line="177"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Net Income</w:t>
      </w:r>
      <w:r>
        <w:rPr>
          <w:rFonts w:ascii="Arial" w:cs="Arial" w:eastAsia="Arial" w:hAnsi="Arial"/>
          <w:sz w:val="20"/>
          <w:szCs w:val="20"/>
          <w:color w:val="auto"/>
        </w:rPr>
        <w:t>” means, for any period, for the Borrower and its Subsidiaries on a consolidated basis, the net income of the Borrower and its Subsidiaries for that period.</w:t>
      </w:r>
    </w:p>
    <w:p>
      <w:pPr>
        <w:spacing w:after="0" w:line="177"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Contingent Obligation</w:t>
      </w:r>
      <w:r>
        <w:rPr>
          <w:rFonts w:ascii="Arial" w:cs="Arial" w:eastAsia="Arial" w:hAnsi="Arial"/>
          <w:sz w:val="18"/>
          <w:szCs w:val="18"/>
          <w:color w:val="auto"/>
        </w:rPr>
        <w:t>” means, as to any Person, any direct or indirect liability of that Person, whether or not contingent, with or without recourse, (a) with respect to any Indebtedness, lease, dividend, letter of credit or other obligation (the “primary obligations”) of another Person (the “primary obligor”), including any obligation of that Person (i) to purchase, repurchase or otherwise acquire such primary obligations or any security therefor, (ii) to advance or provide funds for the payment or discharge of any such primary obligation, or to maintain working capital or equity capital of the primary obligor or otherwise to maintain the net worth or solvency or any balance sheet item, level of income or financial condition of the primary obligor, (iii) to purchase property, securities or services primarily for the purpose of assuring the owner of any such primary obligation of the ability of the primary obligor to make payment of such primary obligation, or (iv) otherwise to assure or hold harmless the holder of any such primary obligation against loss in respect thereof (each, a “</w:t>
      </w: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w:t>
      </w:r>
      <w:r>
        <w:rPr>
          <w:rFonts w:ascii="Arial" w:cs="Arial" w:eastAsia="Arial" w:hAnsi="Arial"/>
          <w:sz w:val="18"/>
          <w:szCs w:val="18"/>
          <w:u w:val="single" w:color="auto"/>
          <w:color w:val="auto"/>
        </w:rPr>
        <w:t>Obligation</w:t>
      </w:r>
      <w:r>
        <w:rPr>
          <w:rFonts w:ascii="Arial" w:cs="Arial" w:eastAsia="Arial" w:hAnsi="Arial"/>
          <w:sz w:val="18"/>
          <w:szCs w:val="18"/>
          <w:color w:val="auto"/>
        </w:rPr>
        <w:t>”); (b) with respect to any Surety Instrument issued for the account of that Person or as to which that Person is otherwise liable for reimbursement of drawings or payments; (c) to purchase any materials, supplies or other property from, or to obtain the services of, another Person if the relevant contract or other related document or obligation requires that payment for such materials, supplies or other property, or for such services, shall be made regardless of whether delivery of such materials, supplies or other property is ever made or tendered, or such services are ever performed or tendered, or (d) in respect of any Swap Contract which is not a Permitted Swap Obligation. The amount of any Contingent Obligation shall, in the case of Guaranty Obligations, be deemed equal to the stated or determinable amount of the primary obligation in respect of which such Guaranty Obligation is made or, if not stated or if indeterminable, the maximum reasonably anticipated liability in respect thereof, and in the case of other Contingent Obligations other than in respect of Swap Contracts, shall be equal to the maximum reasonably anticipated liability in respect thereof and, in the case of Contingent Obligations in respect of Swap Contracts which are not Permitted Swap Obligations, shall be equal to the Swap Termination Value at any time of determination.</w:t>
      </w:r>
    </w:p>
    <w:p>
      <w:pPr>
        <w:spacing w:after="0" w:line="171"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Contractual Obligation</w:t>
      </w:r>
      <w:r>
        <w:rPr>
          <w:rFonts w:ascii="Arial" w:cs="Arial" w:eastAsia="Arial" w:hAnsi="Arial"/>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6" w:name="page17"/>
    <w:bookmarkEnd w:id="16"/>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0"/>
          <w:szCs w:val="20"/>
          <w:u w:val="single" w:color="auto"/>
          <w:color w:val="auto"/>
        </w:rPr>
        <w:t>Controlling</w:t>
      </w:r>
      <w:r>
        <w:rPr>
          <w:rFonts w:ascii="Arial" w:cs="Arial" w:eastAsia="Arial" w:hAnsi="Arial"/>
          <w:sz w:val="20"/>
          <w:szCs w:val="20"/>
          <w:color w:val="auto"/>
        </w:rPr>
        <w:t>” and “</w:t>
      </w:r>
      <w:r>
        <w:rPr>
          <w:rFonts w:ascii="Arial" w:cs="Arial" w:eastAsia="Arial" w:hAnsi="Arial"/>
          <w:sz w:val="20"/>
          <w:szCs w:val="20"/>
          <w:u w:val="single" w:color="auto"/>
          <w:color w:val="auto"/>
        </w:rPr>
        <w:t>Controlled</w:t>
      </w:r>
      <w:r>
        <w:rPr>
          <w:rFonts w:ascii="Arial" w:cs="Arial" w:eastAsia="Arial" w:hAnsi="Arial"/>
          <w:sz w:val="20"/>
          <w:szCs w:val="20"/>
          <w:color w:val="auto"/>
        </w:rPr>
        <w:t>” have meanings correlative thereto.</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Controlling Person</w:t>
      </w:r>
      <w:r>
        <w:rPr>
          <w:rFonts w:ascii="Arial" w:cs="Arial" w:eastAsia="Arial" w:hAnsi="Arial"/>
          <w:sz w:val="20"/>
          <w:szCs w:val="20"/>
          <w:color w:val="auto"/>
        </w:rPr>
        <w:t>” has the meaning set forth in the definition of Change of Control.</w:t>
      </w:r>
    </w:p>
    <w:p>
      <w:pPr>
        <w:spacing w:after="0" w:line="21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Entity</w:t>
      </w:r>
      <w:r>
        <w:rPr>
          <w:rFonts w:ascii="Arial" w:cs="Arial" w:eastAsia="Arial" w:hAnsi="Arial"/>
          <w:sz w:val="20"/>
          <w:szCs w:val="20"/>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 Rating</w:t>
      </w:r>
      <w:r>
        <w:rPr>
          <w:rFonts w:ascii="Arial" w:cs="Arial" w:eastAsia="Arial" w:hAnsi="Arial"/>
          <w:sz w:val="20"/>
          <w:szCs w:val="20"/>
          <w:color w:val="auto"/>
        </w:rPr>
        <w:t>” has the meaning specified in the definition of “Applicable Rate.”</w:t>
      </w:r>
    </w:p>
    <w:p>
      <w:pPr>
        <w:spacing w:after="0" w:line="21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Debtor Relief Laws</w:t>
      </w:r>
      <w:r>
        <w:rPr>
          <w:rFonts w:ascii="Arial" w:cs="Arial" w:eastAsia="Arial" w:hAnsi="Arial"/>
          <w:sz w:val="20"/>
          <w:szCs w:val="20"/>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6"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or condition that constitutes an Event of Default or that, with the giving of any notice, the passage of time, or both, would be an Event of Default.</w:t>
      </w:r>
    </w:p>
    <w:p>
      <w:pPr>
        <w:spacing w:after="0" w:line="177"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 Rate</w:t>
      </w:r>
      <w:r>
        <w:rPr>
          <w:rFonts w:ascii="Arial" w:cs="Arial" w:eastAsia="Arial" w:hAnsi="Arial"/>
          <w:sz w:val="19"/>
          <w:szCs w:val="19"/>
          <w:color w:val="auto"/>
        </w:rPr>
        <w:t xml:space="preserve">” means an interest rate equal to (a) the Base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Applicable Rate, if any, applicable to Base Rate Loans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(c) 2% per annum;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with respect to a Eurodollar Rate Loan, the Default Rate shall be an interest rate equal to the interest rate (including any Applicable Rate) otherwise applicable to such Loan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2% per annum.</w:t>
      </w:r>
    </w:p>
    <w:p>
      <w:pPr>
        <w:spacing w:after="0" w:line="170"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2.12(b)</w:t>
      </w:r>
      <w:r>
        <w:rPr>
          <w:rFonts w:ascii="Arial" w:cs="Arial" w:eastAsia="Arial" w:hAnsi="Arial"/>
          <w:sz w:val="18"/>
          <w:szCs w:val="18"/>
          <w:color w:val="auto"/>
        </w:rPr>
        <w:t>,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two</w:t>
      </w:r>
    </w:p>
    <w:p>
      <w:pPr>
        <w:spacing w:after="0" w:line="4" w:lineRule="exact"/>
        <w:rPr>
          <w:sz w:val="20"/>
          <w:szCs w:val="20"/>
          <w:color w:val="auto"/>
        </w:rPr>
      </w:pPr>
    </w:p>
    <w:p>
      <w:pPr>
        <w:jc w:val="both"/>
        <w:ind w:firstLine="8"/>
        <w:spacing w:after="0" w:line="253" w:lineRule="auto"/>
        <w:tabs>
          <w:tab w:leader="none" w:pos="306" w:val="left"/>
        </w:tabs>
        <w:numPr>
          <w:ilvl w:val="0"/>
          <w:numId w:val="10"/>
        </w:numPr>
        <w:rPr>
          <w:rFonts w:ascii="Arial" w:cs="Arial" w:eastAsia="Arial" w:hAnsi="Arial"/>
          <w:sz w:val="19"/>
          <w:szCs w:val="19"/>
          <w:color w:val="auto"/>
        </w:rPr>
      </w:pPr>
      <w:r>
        <w:rPr>
          <w:rFonts w:ascii="Arial" w:cs="Arial" w:eastAsia="Arial" w:hAnsi="Arial"/>
          <w:sz w:val="19"/>
          <w:szCs w:val="19"/>
          <w:color w:val="auto"/>
        </w:rPr>
        <w:t>Business Days of the date when due, (b) has notified the Borrower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shall cease to be a Defaulting Lender pursuant to this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7" w:name="page18"/>
    <w:bookmarkEnd w:id="17"/>
    <w:p>
      <w:pPr>
        <w:jc w:val="both"/>
        <w:spacing w:after="0" w:line="243" w:lineRule="auto"/>
        <w:rPr>
          <w:sz w:val="20"/>
          <w:szCs w:val="20"/>
          <w:color w:val="auto"/>
        </w:rPr>
      </w:pPr>
      <w:r>
        <w:rPr>
          <w:rFonts w:ascii="Arial" w:cs="Arial" w:eastAsia="Arial" w:hAnsi="Arial"/>
          <w:sz w:val="20"/>
          <w:szCs w:val="20"/>
          <w:color w:val="auto"/>
        </w:rPr>
        <w:t xml:space="preserve">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(d)</w:t>
      </w:r>
      <w:r>
        <w:rPr>
          <w:rFonts w:ascii="Arial" w:cs="Arial" w:eastAsia="Arial" w:hAnsi="Arial"/>
          <w:sz w:val="20"/>
          <w:szCs w:val="20"/>
          <w:color w:val="auto"/>
        </w:rPr>
        <w:t xml:space="preserve"> above, and of the effective date of such status, shall be conclusive and binding absent manifest error, and such Lender shall be deemed to be a Defaulting Lender (subject to </w:t>
      </w:r>
      <w:r>
        <w:rPr>
          <w:rFonts w:ascii="Arial" w:cs="Arial" w:eastAsia="Arial" w:hAnsi="Arial"/>
          <w:sz w:val="20"/>
          <w:szCs w:val="20"/>
          <w:u w:val="single" w:color="auto"/>
          <w:color w:val="auto"/>
        </w:rPr>
        <w:t>Section 2.12(b)</w:t>
      </w:r>
      <w:r>
        <w:rPr>
          <w:rFonts w:ascii="Arial" w:cs="Arial" w:eastAsia="Arial" w:hAnsi="Arial"/>
          <w:sz w:val="20"/>
          <w:szCs w:val="20"/>
          <w:color w:val="auto"/>
        </w:rPr>
        <w:t>) as of the date established therefor by the Administrative Agent in a written notice of such determination, which shall be delivered by the Administrative Agent to the Borrower and each other Lender promptly following such determination.</w:t>
      </w:r>
    </w:p>
    <w:p>
      <w:pPr>
        <w:spacing w:after="0" w:line="19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Designated Jurisdiction</w:t>
      </w:r>
      <w:r>
        <w:rPr>
          <w:rFonts w:ascii="Arial" w:cs="Arial" w:eastAsia="Arial" w:hAnsi="Arial"/>
          <w:sz w:val="19"/>
          <w:szCs w:val="19"/>
          <w:color w:val="auto"/>
        </w:rPr>
        <w:t>” means any country or territory to the extent that such country or territory itself is the subject of any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Sanction.</w:t>
      </w:r>
    </w:p>
    <w:p>
      <w:pPr>
        <w:spacing w:after="0" w:line="20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Disposition</w:t>
      </w:r>
      <w:r>
        <w:rPr>
          <w:rFonts w:ascii="Arial" w:cs="Arial" w:eastAsia="Arial" w:hAnsi="Arial"/>
          <w:sz w:val="19"/>
          <w:szCs w:val="19"/>
          <w:color w:val="auto"/>
        </w:rPr>
        <w:t>”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Subsidiary of such Person), including any sale, assignment, transfer or other disposal, with or without recourse, of any notes or accounts receivable or any rights and claims associated therewith.</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Dividing Person</w:t>
      </w:r>
      <w:r>
        <w:rPr>
          <w:rFonts w:ascii="Arial" w:cs="Arial" w:eastAsia="Arial" w:hAnsi="Arial"/>
          <w:sz w:val="20"/>
          <w:szCs w:val="20"/>
          <w:color w:val="auto"/>
        </w:rPr>
        <w:t>” has the meaning assigned to it in the definition of “Division.”</w:t>
      </w:r>
    </w:p>
    <w:p>
      <w:pPr>
        <w:spacing w:after="0" w:line="21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Division</w:t>
      </w:r>
      <w:r>
        <w:rPr>
          <w:rFonts w:ascii="Arial" w:cs="Arial" w:eastAsia="Arial" w:hAnsi="Arial"/>
          <w:sz w:val="20"/>
          <w:szCs w:val="20"/>
          <w:color w:val="auto"/>
        </w:rPr>
        <w:t>” means the division of the assets, liabilities and/or obligations of a Person (the “</w:t>
      </w:r>
      <w:r>
        <w:rPr>
          <w:rFonts w:ascii="Arial" w:cs="Arial" w:eastAsia="Arial" w:hAnsi="Arial"/>
          <w:sz w:val="20"/>
          <w:szCs w:val="20"/>
          <w:u w:val="single" w:color="auto"/>
          <w:color w:val="auto"/>
        </w:rPr>
        <w:t>Dividing Person</w:t>
      </w:r>
      <w:r>
        <w:rPr>
          <w:rFonts w:ascii="Arial" w:cs="Arial" w:eastAsia="Arial" w:hAnsi="Arial"/>
          <w:sz w:val="20"/>
          <w:szCs w:val="20"/>
          <w:color w:val="auto"/>
        </w:rPr>
        <w:t>”) among two or more Persons (whether pursuant to a “plan of division” or similar arrangement), which may or may not include the Dividing Person and pursuant to which the Dividing Person may or may not survive.</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lawful money of the United States.</w:t>
      </w:r>
    </w:p>
    <w:p>
      <w:pPr>
        <w:spacing w:after="0" w:line="216"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definition, or (c) any financial institution established in an EEA Member Country which is a subsidiary of an institution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definition and is subject to consolidated supervision with its parent.</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27"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2"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Assignee</w:t>
      </w:r>
      <w:r>
        <w:rPr>
          <w:rFonts w:ascii="Arial" w:cs="Arial" w:eastAsia="Arial" w:hAnsi="Arial"/>
          <w:sz w:val="20"/>
          <w:szCs w:val="20"/>
          <w:color w:val="auto"/>
        </w:rPr>
        <w:t xml:space="preserve">” means any Person that meets the requirements to be an assignee under </w:t>
      </w:r>
      <w:r>
        <w:rPr>
          <w:rFonts w:ascii="Arial" w:cs="Arial" w:eastAsia="Arial" w:hAnsi="Arial"/>
          <w:sz w:val="20"/>
          <w:szCs w:val="20"/>
          <w:u w:val="single" w:color="auto"/>
          <w:color w:val="auto"/>
        </w:rPr>
        <w:t>Section 10.06(b)(iii)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(v)</w:t>
      </w:r>
      <w:r>
        <w:rPr>
          <w:rFonts w:ascii="Arial" w:cs="Arial" w:eastAsia="Arial" w:hAnsi="Arial"/>
          <w:sz w:val="20"/>
          <w:szCs w:val="20"/>
          <w:color w:val="auto"/>
        </w:rPr>
        <w:t xml:space="preserve"> (subject to such consents, if any, as may be required under </w:t>
      </w:r>
      <w:r>
        <w:rPr>
          <w:rFonts w:ascii="Arial" w:cs="Arial" w:eastAsia="Arial" w:hAnsi="Arial"/>
          <w:sz w:val="20"/>
          <w:szCs w:val="20"/>
          <w:u w:val="single" w:color="auto"/>
          <w:color w:val="auto"/>
        </w:rPr>
        <w:t>Section 10.06(b)(iii)</w:t>
      </w:r>
      <w:r>
        <w:rPr>
          <w:rFonts w:ascii="Arial" w:cs="Arial" w:eastAsia="Arial" w:hAnsi="Arial"/>
          <w:sz w:val="20"/>
          <w:szCs w:val="20"/>
          <w:color w:val="auto"/>
        </w:rPr>
        <w:t>).</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End-User Financing Arrangements</w:t>
      </w:r>
      <w:r>
        <w:rPr>
          <w:rFonts w:ascii="Arial" w:cs="Arial" w:eastAsia="Arial" w:hAnsi="Arial"/>
          <w:sz w:val="20"/>
          <w:szCs w:val="20"/>
          <w:color w:val="auto"/>
        </w:rPr>
        <w:t>” has the meaning specified in the definition of “Indebtedness”.</w:t>
      </w:r>
    </w:p>
    <w:p>
      <w:pPr>
        <w:spacing w:after="0" w:line="21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8" w:name="page19"/>
    <w:bookmarkEnd w:id="18"/>
    <w:p>
      <w:pPr>
        <w:jc w:val="both"/>
        <w:ind w:firstLine="864"/>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Liability</w:t>
      </w:r>
      <w:r>
        <w:rPr>
          <w:rFonts w:ascii="Arial" w:cs="Arial" w:eastAsia="Arial" w:hAnsi="Arial"/>
          <w:sz w:val="20"/>
          <w:szCs w:val="20"/>
          <w:color w:val="auto"/>
        </w:rPr>
        <w:t>” means any liability, contingent or otherwise (including any liability for damages, costs of environmental remediation, fines, penalties or indemnities), of the Borrower or any of its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9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Interests</w:t>
      </w:r>
      <w:r>
        <w:rPr>
          <w:rFonts w:ascii="Arial" w:cs="Arial" w:eastAsia="Arial" w:hAnsi="Arial"/>
          <w:sz w:val="20"/>
          <w:szCs w:val="20"/>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93"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as amended, and the rules and regulations promulgated thereunder.</w:t>
      </w:r>
    </w:p>
    <w:p>
      <w:pPr>
        <w:spacing w:after="0" w:line="17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xml:space="preserve"> Affiliate” means any trade or business (whether or not incorporated) under common control with the Borrower within the meaning of Section 414(b) or (c) of the Code (and Sections 414(m</w:t>
      </w:r>
      <w:r>
        <w:rPr>
          <w:rFonts w:ascii="Arial" w:cs="Arial" w:eastAsia="Arial" w:hAnsi="Arial"/>
          <w:sz w:val="20"/>
          <w:szCs w:val="20"/>
          <w:u w:val="single" w:color="auto"/>
          <w:color w:val="auto"/>
        </w:rPr>
        <w:t>)</w:t>
      </w:r>
      <w:r>
        <w:rPr>
          <w:rFonts w:ascii="Arial" w:cs="Arial" w:eastAsia="Arial" w:hAnsi="Arial"/>
          <w:sz w:val="20"/>
          <w:szCs w:val="20"/>
          <w:color w:val="auto"/>
        </w:rPr>
        <w:t xml:space="preserve"> and (o) of the Code for purposes of provisions relating to Section 412 of the Code).</w:t>
      </w:r>
    </w:p>
    <w:p>
      <w:pPr>
        <w:spacing w:after="0" w:line="186"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 reorganization; (d) the receipt by the Borrower or any of its ERISA Affiliates from the PBGC or a plan administrator of the filing of a notice of intent to terminate, or the treatment of a Pension Plan amendment as a termination of the Pension Plan under Section 4041 or 4041A of ERISA, which could reasonably be expected to result in liability of the Borrower or any of its ERISA Affiliates in an aggregate amount exceeding $2,500,000;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(h) the imposition of any liability under Title IV of ERISA, other than for PBGC premiums due but not delinquent under Section 4007 of ERISA, upon the Borrower or any ERISA Affiliate; or (i) a Pension Plan has been terminated by the plan administrator thereof or by the PBGC, or an event or circumstance has occurred or exists that could reasonably be expected to cause the PBGC to institute proceedings under Title IV of ERISA to terminate any Pension Plan, which in each case and collectively, could reasonably be expected to result in liability of the Borrower or any of its ERISA Affiliates in an aggregate amount exceeding $2,500,000.</w:t>
      </w:r>
    </w:p>
    <w:p>
      <w:pPr>
        <w:spacing w:after="0" w:line="188"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Eurodollar Rate</w:t>
      </w:r>
      <w:r>
        <w:rPr>
          <w:rFonts w:ascii="Arial" w:cs="Arial" w:eastAsia="Arial" w:hAnsi="Arial"/>
          <w:sz w:val="20"/>
          <w:szCs w:val="20"/>
          <w:color w:val="auto"/>
        </w:rPr>
        <w:t>” means: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9" w:name="page20"/>
    <w:bookmarkEnd w:id="19"/>
    <w:p>
      <w:pPr>
        <w:jc w:val="both"/>
        <w:ind w:left="880" w:firstLine="789"/>
        <w:spacing w:after="0" w:line="276" w:lineRule="auto"/>
        <w:tabs>
          <w:tab w:leader="none" w:pos="2292"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any Interest Period with respect to a Eurodollar Rate Loan, the rate per annum equal to the London Interbank Offered Rate as administered by ICE Benchmark Administration (or any other Person that takes over the administration of such rate for Dollars for a period equal in length to such Interest Period) (“</w:t>
      </w:r>
      <w:r>
        <w:rPr>
          <w:rFonts w:ascii="Arial" w:cs="Arial" w:eastAsia="Arial" w:hAnsi="Arial"/>
          <w:sz w:val="18"/>
          <w:szCs w:val="18"/>
          <w:u w:val="single" w:color="auto"/>
          <w:color w:val="auto"/>
        </w:rPr>
        <w:t>LIBOR</w:t>
      </w:r>
      <w:r>
        <w:rPr>
          <w:rFonts w:ascii="Arial" w:cs="Arial" w:eastAsia="Arial" w:hAnsi="Arial"/>
          <w:sz w:val="18"/>
          <w:szCs w:val="18"/>
          <w:color w:val="auto"/>
        </w:rPr>
        <w:t>”) as published on the applicable Bloomberg screen page (or such other commercially available source providing such quotations as may be designated by the Administrative Agent from time to time) at approximately 11:00 a.m., London time, two Business Days prior to the commencement of such Interest Period, for Dollar deposits (for delivery on the first day of such Interest Period) with a term equivalent to such Interest Period;</w:t>
      </w:r>
    </w:p>
    <w:p>
      <w:pPr>
        <w:spacing w:after="0" w:line="164" w:lineRule="exact"/>
        <w:rPr>
          <w:rFonts w:ascii="Arial" w:cs="Arial" w:eastAsia="Arial" w:hAnsi="Arial"/>
          <w:sz w:val="18"/>
          <w:szCs w:val="18"/>
          <w:color w:val="auto"/>
        </w:rPr>
      </w:pPr>
    </w:p>
    <w:p>
      <w:pPr>
        <w:jc w:val="both"/>
        <w:ind w:left="880" w:firstLine="789"/>
        <w:spacing w:after="0" w:line="250" w:lineRule="auto"/>
        <w:tabs>
          <w:tab w:leader="none" w:pos="23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for any rate calculation with respect to a Base Rate Loan on any date, the rate per annum equal to LIBOR, at or about 11:00 a.m., London time determined two (2) Business Days prior to such date for Dollar deposits with a term of one (1) month commencing that day; and</w:t>
      </w:r>
    </w:p>
    <w:p>
      <w:pPr>
        <w:spacing w:after="0" w:line="185" w:lineRule="exact"/>
        <w:rPr>
          <w:rFonts w:ascii="Arial" w:cs="Arial" w:eastAsia="Arial" w:hAnsi="Arial"/>
          <w:sz w:val="20"/>
          <w:szCs w:val="20"/>
          <w:color w:val="auto"/>
        </w:rPr>
      </w:pPr>
    </w:p>
    <w:p>
      <w:pPr>
        <w:ind w:left="2280" w:hanging="611"/>
        <w:spacing w:after="0"/>
        <w:tabs>
          <w:tab w:leader="none" w:pos="22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in no event shall the Eurodollar Rate be less than 0.75% for purposes of this Agreement.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Eurodollar Rate Loan</w:t>
      </w:r>
      <w:r>
        <w:rPr>
          <w:rFonts w:ascii="Arial" w:cs="Arial" w:eastAsia="Arial" w:hAnsi="Arial"/>
          <w:sz w:val="19"/>
          <w:szCs w:val="19"/>
          <w:color w:val="auto"/>
        </w:rPr>
        <w:t xml:space="preserve">” means a Loan that bears interest at a rate based on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the definition of “Eurodollar Rate.”</w:t>
      </w:r>
    </w:p>
    <w:p>
      <w:pPr>
        <w:spacing w:after="0" w:line="22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8.01</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Securities Exchange Act of 1934, and regulations promulgated thereunder.</w:t>
      </w:r>
    </w:p>
    <w:p>
      <w:pPr>
        <w:spacing w:after="0" w:line="216"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10.13</w:t>
      </w:r>
      <w:r>
        <w:rPr>
          <w:rFonts w:ascii="Arial" w:cs="Arial" w:eastAsia="Arial" w:hAnsi="Arial"/>
          <w:sz w:val="18"/>
          <w:szCs w:val="18"/>
          <w:color w:val="auto"/>
        </w:rPr>
        <w:t xml:space="preserve">) or (ii) such Lender changes its Lending Office, except in each case to the extent that, pursuant to </w:t>
      </w:r>
      <w:r>
        <w:rPr>
          <w:rFonts w:ascii="Arial" w:cs="Arial" w:eastAsia="Arial" w:hAnsi="Arial"/>
          <w:sz w:val="18"/>
          <w:szCs w:val="18"/>
          <w:u w:val="single" w:color="auto"/>
          <w:color w:val="auto"/>
        </w:rPr>
        <w:t>Section 3.01(a)(ii)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3.01(e)</w:t>
      </w:r>
      <w:r>
        <w:rPr>
          <w:rFonts w:ascii="Arial" w:cs="Arial" w:eastAsia="Arial" w:hAnsi="Arial"/>
          <w:sz w:val="18"/>
          <w:szCs w:val="18"/>
          <w:color w:val="auto"/>
        </w:rPr>
        <w:t xml:space="preserve"> and (d) any U.S. federal withholding Taxes imposed pursuant to FATCA.</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FASB ASC</w:t>
      </w:r>
      <w:r>
        <w:rPr>
          <w:rFonts w:ascii="Arial" w:cs="Arial" w:eastAsia="Arial" w:hAnsi="Arial"/>
          <w:sz w:val="20"/>
          <w:szCs w:val="20"/>
          <w:color w:val="auto"/>
        </w:rPr>
        <w:t>” means the Accounting Standards Codification of the Financial Accounting Standards Board.</w:t>
      </w:r>
    </w:p>
    <w:p>
      <w:pPr>
        <w:spacing w:after="0" w:line="21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spacing w:after="0" w:line="18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Funds Rate</w:t>
      </w:r>
      <w:r>
        <w:rPr>
          <w:rFonts w:ascii="Arial" w:cs="Arial" w:eastAsia="Arial" w:hAnsi="Arial"/>
          <w:sz w:val="20"/>
          <w:szCs w:val="20"/>
          <w:color w:val="auto"/>
        </w:rPr>
        <w:t>”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0" w:name="page21"/>
    <w:bookmarkEnd w:id="20"/>
    <w:p>
      <w:pPr>
        <w:jc w:val="both"/>
        <w:ind w:right="20"/>
        <w:spacing w:after="0" w:line="260" w:lineRule="auto"/>
        <w:rPr>
          <w:sz w:val="20"/>
          <w:szCs w:val="20"/>
          <w:color w:val="auto"/>
        </w:rPr>
      </w:pPr>
      <w:r>
        <w:rPr>
          <w:rFonts w:ascii="Arial" w:cs="Arial" w:eastAsia="Arial" w:hAnsi="Arial"/>
          <w:sz w:val="20"/>
          <w:szCs w:val="20"/>
          <w:color w:val="auto"/>
        </w:rPr>
        <w:t xml:space="preserve">federal funds effective rate;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Federal Funds Rate as so determined would be less than zero, such rate shall be deemed to be zero for purposes of this Agreement.</w:t>
      </w:r>
    </w:p>
    <w:p>
      <w:pPr>
        <w:spacing w:after="0" w:line="177" w:lineRule="exact"/>
        <w:rPr>
          <w:sz w:val="20"/>
          <w:szCs w:val="20"/>
          <w:color w:val="auto"/>
        </w:rPr>
      </w:pPr>
    </w:p>
    <w:p>
      <w:pPr>
        <w:jc w:val="both"/>
        <w:ind w:firstLine="864"/>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Letters</w:t>
      </w:r>
      <w:r>
        <w:rPr>
          <w:rFonts w:ascii="Arial" w:cs="Arial" w:eastAsia="Arial" w:hAnsi="Arial"/>
          <w:sz w:val="18"/>
          <w:szCs w:val="18"/>
          <w:color w:val="auto"/>
        </w:rPr>
        <w:t>” means, collectively, (a) that certain fee letter dated as of March 26, 2020 among the Borrower, Bank of America and BofA Securities, Inc. and (b) that certain fee letter dated as of March 26, 2020 between the Borrower and U.S. Bank National Association.</w:t>
      </w:r>
    </w:p>
    <w:p>
      <w:pPr>
        <w:spacing w:after="0" w:line="130"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Lender</w:t>
      </w:r>
      <w:r>
        <w:rPr>
          <w:rFonts w:ascii="Arial" w:cs="Arial" w:eastAsia="Arial" w:hAnsi="Arial"/>
          <w:sz w:val="20"/>
          <w:szCs w:val="20"/>
          <w:color w:val="auto"/>
        </w:rPr>
        <w:t>” means (a) if the Borrower is a U.S. Person, a Lender that is not a U.S. Person, and (b) if the Borrower is not a U.S. Person, a Lender that is resident or organized under the Laws of a jurisdiction other than that in which the Borrower is resident for tax purposes. For purposes of this definition, the United States, each State thereof and the District of Columbia shall be deemed to constitute a single jurisdiction.</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FRB</w:t>
      </w:r>
      <w:r>
        <w:rPr>
          <w:rFonts w:ascii="Arial" w:cs="Arial" w:eastAsia="Arial" w:hAnsi="Arial"/>
          <w:sz w:val="20"/>
          <w:szCs w:val="20"/>
          <w:color w:val="auto"/>
        </w:rPr>
        <w:t>” means the Board of Governors of the Federal Reserve System of the United States.</w:t>
      </w:r>
    </w:p>
    <w:p>
      <w:pPr>
        <w:spacing w:after="0" w:line="21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w:t>
      </w:r>
      <w:r>
        <w:rPr>
          <w:rFonts w:ascii="Arial" w:cs="Arial" w:eastAsia="Arial" w:hAnsi="Arial"/>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Funding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2.01</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7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91"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1" w:name="page22"/>
    <w:bookmarkEnd w:id="21"/>
    <w:p>
      <w:pPr>
        <w:jc w:val="both"/>
        <w:spacing w:after="0" w:line="260" w:lineRule="auto"/>
        <w:rPr>
          <w:sz w:val="20"/>
          <w:szCs w:val="20"/>
          <w:color w:val="auto"/>
        </w:rPr>
      </w:pPr>
      <w:r>
        <w:rPr>
          <w:rFonts w:ascii="Arial" w:cs="Arial" w:eastAsia="Arial" w:hAnsi="Arial"/>
          <w:sz w:val="20"/>
          <w:szCs w:val="20"/>
          <w:color w:val="auto"/>
        </w:rPr>
        <w:t>liability in respect thereof as determined by the guaranteeing Person in good faith. The term “Guarantee” as a verb has a corresponding meaning.</w:t>
      </w:r>
    </w:p>
    <w:p>
      <w:pPr>
        <w:spacing w:after="0" w:line="177"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Impacted Loans</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3.03(a)</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Debt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1.03(d)</w:t>
      </w:r>
      <w:r>
        <w:rPr>
          <w:rFonts w:ascii="Arial" w:cs="Arial" w:eastAsia="Arial" w:hAnsi="Arial"/>
          <w:sz w:val="20"/>
          <w:szCs w:val="20"/>
          <w:color w:val="auto"/>
        </w:rPr>
        <w:t>.</w:t>
      </w:r>
    </w:p>
    <w:p>
      <w:pPr>
        <w:spacing w:after="0" w:line="216"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Indebtedness</w:t>
      </w:r>
      <w:r>
        <w:rPr>
          <w:rFonts w:ascii="Arial" w:cs="Arial" w:eastAsia="Arial" w:hAnsi="Arial"/>
          <w:sz w:val="20"/>
          <w:szCs w:val="20"/>
          <w:color w:val="auto"/>
        </w:rPr>
        <w:t>” means, as to any Person at a particular time, without duplication, all of the following, whether or not included as indebtedness or liabilities in accordance with GAAP:</w:t>
      </w:r>
    </w:p>
    <w:p>
      <w:pPr>
        <w:spacing w:after="0" w:line="177" w:lineRule="exact"/>
        <w:rPr>
          <w:sz w:val="20"/>
          <w:szCs w:val="20"/>
          <w:color w:val="auto"/>
        </w:rPr>
      </w:pPr>
    </w:p>
    <w:p>
      <w:pPr>
        <w:ind w:left="880" w:firstLine="789"/>
        <w:spacing w:after="0" w:line="260" w:lineRule="auto"/>
        <w:tabs>
          <w:tab w:leader="none" w:pos="2472" w:val="left"/>
        </w:tabs>
        <w:numPr>
          <w:ilvl w:val="0"/>
          <w:numId w:val="12"/>
        </w:numPr>
        <w:rPr>
          <w:rFonts w:ascii="Arial" w:cs="Arial" w:eastAsia="Arial" w:hAnsi="Arial"/>
          <w:sz w:val="20"/>
          <w:szCs w:val="20"/>
          <w:color w:val="auto"/>
        </w:rPr>
      </w:pPr>
      <w:r>
        <w:rPr>
          <w:rFonts w:ascii="Arial" w:cs="Arial" w:eastAsia="Arial" w:hAnsi="Arial"/>
          <w:sz w:val="20"/>
          <w:szCs w:val="20"/>
          <w:color w:val="auto"/>
        </w:rPr>
        <w:t>all obligations of such Person for borrowed money and all obligations of such Person evidenced by bonds, debentures, notes, loan agreements or other similar instruments;</w:t>
      </w:r>
    </w:p>
    <w:p>
      <w:pPr>
        <w:spacing w:after="0" w:line="176" w:lineRule="exact"/>
        <w:rPr>
          <w:rFonts w:ascii="Arial" w:cs="Arial" w:eastAsia="Arial" w:hAnsi="Arial"/>
          <w:sz w:val="20"/>
          <w:szCs w:val="20"/>
          <w:color w:val="auto"/>
        </w:rPr>
      </w:pPr>
    </w:p>
    <w:p>
      <w:pPr>
        <w:jc w:val="both"/>
        <w:ind w:left="880" w:firstLine="789"/>
        <w:spacing w:after="0" w:line="244" w:lineRule="auto"/>
        <w:tabs>
          <w:tab w:leader="none" w:pos="2581" w:val="left"/>
        </w:tabs>
        <w:numPr>
          <w:ilvl w:val="0"/>
          <w:numId w:val="12"/>
        </w:numPr>
        <w:rPr>
          <w:rFonts w:ascii="Arial" w:cs="Arial" w:eastAsia="Arial" w:hAnsi="Arial"/>
          <w:sz w:val="20"/>
          <w:szCs w:val="20"/>
          <w:color w:val="auto"/>
        </w:rPr>
      </w:pPr>
      <w:r>
        <w:rPr>
          <w:rFonts w:ascii="Arial" w:cs="Arial" w:eastAsia="Arial" w:hAnsi="Arial"/>
          <w:sz w:val="20"/>
          <w:szCs w:val="20"/>
          <w:color w:val="auto"/>
        </w:rPr>
        <w:t>all direct or contingent obligations of such Person arising under letters of credit (including standby and commercial), bankers’ acceptances, bank guaranties, surety bonds and similar instruments, except to the extent (i) issued as a means of trade payment in the ordinary course of business or to support or secure any other obligation of any Person unless such other obligation also constitutes Indebtedness hereunder and (ii) in an aggregate stated or principal amount at any time outstanding not to exceed $75,000,000;</w:t>
      </w:r>
    </w:p>
    <w:p>
      <w:pPr>
        <w:spacing w:after="0" w:line="194" w:lineRule="exact"/>
        <w:rPr>
          <w:rFonts w:ascii="Arial" w:cs="Arial" w:eastAsia="Arial" w:hAnsi="Arial"/>
          <w:sz w:val="20"/>
          <w:szCs w:val="20"/>
          <w:color w:val="auto"/>
        </w:rPr>
      </w:pPr>
    </w:p>
    <w:p>
      <w:pPr>
        <w:ind w:left="880" w:right="20" w:firstLine="789"/>
        <w:spacing w:after="0" w:line="260" w:lineRule="auto"/>
        <w:tabs>
          <w:tab w:leader="none" w:pos="2508" w:val="left"/>
        </w:tabs>
        <w:numPr>
          <w:ilvl w:val="0"/>
          <w:numId w:val="12"/>
        </w:numPr>
        <w:rPr>
          <w:rFonts w:ascii="Arial" w:cs="Arial" w:eastAsia="Arial" w:hAnsi="Arial"/>
          <w:sz w:val="20"/>
          <w:szCs w:val="20"/>
          <w:color w:val="auto"/>
        </w:rPr>
      </w:pPr>
      <w:r>
        <w:rPr>
          <w:rFonts w:ascii="Arial" w:cs="Arial" w:eastAsia="Arial" w:hAnsi="Arial"/>
          <w:sz w:val="20"/>
          <w:szCs w:val="20"/>
          <w:color w:val="auto"/>
        </w:rPr>
        <w:t>all obligations of such Person to pay the deferred purchase price of property or services (other than trade accounts payable in the ordinary course of business);</w:t>
      </w:r>
    </w:p>
    <w:p>
      <w:pPr>
        <w:spacing w:after="0" w:line="176" w:lineRule="exact"/>
        <w:rPr>
          <w:rFonts w:ascii="Arial" w:cs="Arial" w:eastAsia="Arial" w:hAnsi="Arial"/>
          <w:sz w:val="20"/>
          <w:szCs w:val="20"/>
          <w:color w:val="auto"/>
        </w:rPr>
      </w:pPr>
    </w:p>
    <w:p>
      <w:pPr>
        <w:jc w:val="both"/>
        <w:ind w:left="880" w:firstLine="789"/>
        <w:spacing w:after="0" w:line="250" w:lineRule="auto"/>
        <w:tabs>
          <w:tab w:leader="none" w:pos="2388"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85" w:lineRule="exact"/>
        <w:rPr>
          <w:rFonts w:ascii="Arial" w:cs="Arial" w:eastAsia="Arial" w:hAnsi="Arial"/>
          <w:sz w:val="20"/>
          <w:szCs w:val="20"/>
          <w:color w:val="auto"/>
        </w:rPr>
      </w:pPr>
    </w:p>
    <w:p>
      <w:pPr>
        <w:ind w:left="2280" w:hanging="611"/>
        <w:spacing w:after="0"/>
        <w:tabs>
          <w:tab w:leader="none" w:pos="22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capital leases and Synthetic Lease Obligations;</w:t>
      </w:r>
    </w:p>
    <w:p>
      <w:pPr>
        <w:spacing w:after="0" w:line="215" w:lineRule="exact"/>
        <w:rPr>
          <w:rFonts w:ascii="Arial" w:cs="Arial" w:eastAsia="Arial" w:hAnsi="Arial"/>
          <w:sz w:val="20"/>
          <w:szCs w:val="20"/>
          <w:color w:val="auto"/>
        </w:rPr>
      </w:pPr>
    </w:p>
    <w:p>
      <w:pPr>
        <w:jc w:val="both"/>
        <w:ind w:left="880" w:firstLine="789"/>
        <w:spacing w:after="0" w:line="282" w:lineRule="auto"/>
        <w:tabs>
          <w:tab w:leader="none" w:pos="2327"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all obligations of such Person to purchase, redeem, retire, defease or otherwise make any payment in respect of any Equity Interest in such Person or any other Person (other than obligations of the Borrower or its Subsidiaries to Red Iron under the terms of the Red Iron LLC Agreement (as in effect on the Closing Date)), valued, in the case of a redeemable preferred interest, at the greater of its voluntary or involuntary liquidation preference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accrued and unpaid dividends;</w:t>
      </w:r>
    </w:p>
    <w:p>
      <w:pPr>
        <w:spacing w:after="0" w:line="161" w:lineRule="exact"/>
        <w:rPr>
          <w:rFonts w:ascii="Arial" w:cs="Arial" w:eastAsia="Arial" w:hAnsi="Arial"/>
          <w:sz w:val="18"/>
          <w:szCs w:val="18"/>
          <w:color w:val="auto"/>
        </w:rPr>
      </w:pPr>
    </w:p>
    <w:p>
      <w:pPr>
        <w:jc w:val="both"/>
        <w:ind w:left="880" w:firstLine="789"/>
        <w:spacing w:after="0" w:line="272" w:lineRule="auto"/>
        <w:tabs>
          <w:tab w:leader="none" w:pos="23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unpaid amount of all Receivables sold by any Person for which such Person has recourse liability or portion thereof for which such Person has recourse liability in cases where such recourse liability is not full except to the extent in an aggregate stated or principal amount, when taken together with amounts subject to the exception set forth in the following </w:t>
      </w:r>
      <w:r>
        <w:rPr>
          <w:rFonts w:ascii="Arial" w:cs="Arial" w:eastAsia="Arial" w:hAnsi="Arial"/>
          <w:sz w:val="18"/>
          <w:szCs w:val="18"/>
          <w:u w:val="single" w:color="auto"/>
          <w:color w:val="auto"/>
        </w:rPr>
        <w:t>clause</w:t>
      </w:r>
    </w:p>
    <w:p>
      <w:pPr>
        <w:ind w:left="880"/>
        <w:spacing w:after="0"/>
        <w:rPr>
          <w:rFonts w:ascii="Arial" w:cs="Arial" w:eastAsia="Arial" w:hAnsi="Arial"/>
          <w:sz w:val="18"/>
          <w:szCs w:val="18"/>
          <w:color w:val="auto"/>
        </w:rPr>
      </w:pPr>
      <w:r>
        <w:rPr>
          <w:rFonts w:ascii="Arial" w:cs="Arial" w:eastAsia="Arial" w:hAnsi="Arial"/>
          <w:sz w:val="20"/>
          <w:szCs w:val="20"/>
          <w:u w:val="single" w:color="auto"/>
          <w:color w:val="auto"/>
        </w:rPr>
        <w:t>(h)</w:t>
      </w:r>
      <w:r>
        <w:rPr>
          <w:rFonts w:ascii="Arial" w:cs="Arial" w:eastAsia="Arial" w:hAnsi="Arial"/>
          <w:sz w:val="20"/>
          <w:szCs w:val="20"/>
          <w:color w:val="auto"/>
        </w:rPr>
        <w:t>, at any time outstanding not to exceed $75,000,000; and</w:t>
      </w:r>
    </w:p>
    <w:p>
      <w:pPr>
        <w:spacing w:after="0" w:line="200" w:lineRule="exact"/>
        <w:rPr>
          <w:sz w:val="20"/>
          <w:szCs w:val="20"/>
          <w:color w:val="auto"/>
        </w:rPr>
      </w:pPr>
    </w:p>
    <w:p>
      <w:pPr>
        <w:spacing w:after="0" w:line="305" w:lineRule="exact"/>
        <w:rPr>
          <w:sz w:val="20"/>
          <w:szCs w:val="20"/>
          <w:color w:val="auto"/>
        </w:rPr>
      </w:pPr>
    </w:p>
    <w:p>
      <w:pPr>
        <w:ind w:right="280" w:firstLine="8"/>
        <w:spacing w:after="0"/>
        <w:tabs>
          <w:tab w:leader="none" w:pos="684" w:val="left"/>
        </w:tabs>
        <w:numPr>
          <w:ilvl w:val="0"/>
          <w:numId w:val="13"/>
        </w:numPr>
        <w:rPr>
          <w:rFonts w:ascii="Arial" w:cs="Arial" w:eastAsia="Arial" w:hAnsi="Arial"/>
          <w:sz w:val="22"/>
          <w:szCs w:val="22"/>
          <w:color w:val="auto"/>
        </w:rPr>
      </w:pPr>
      <w:r>
        <w:rPr>
          <w:rFonts w:ascii="Arial" w:cs="Arial" w:eastAsia="Arial" w:hAnsi="Arial"/>
          <w:sz w:val="22"/>
          <w:szCs w:val="22"/>
          <w:color w:val="auto"/>
        </w:rPr>
        <w:t>all Guarantees of such Person in respect of any of the foregoing, except to the extent (i) issued as a means of providing assurance of payment of amounts due by purchasers or lessees of the products or services of such Person or Affiliates of such Person to obligees providing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2" w:name="page23"/>
    <w:bookmarkEnd w:id="22"/>
    <w:p>
      <w:pPr>
        <w:jc w:val="right"/>
        <w:ind w:left="120"/>
        <w:spacing w:after="0" w:line="278" w:lineRule="auto"/>
        <w:rPr>
          <w:sz w:val="20"/>
          <w:szCs w:val="20"/>
          <w:color w:val="auto"/>
        </w:rPr>
      </w:pPr>
      <w:r>
        <w:rPr>
          <w:rFonts w:ascii="Arial" w:cs="Arial" w:eastAsia="Arial" w:hAnsi="Arial"/>
          <w:sz w:val="18"/>
          <w:szCs w:val="18"/>
          <w:color w:val="auto"/>
        </w:rPr>
        <w:t>financing for or purchasing obligations related to the acquisition or lease of such products or services (the “End-User Financing Arrangements”); or, without duplication, (ii) to provide assurance of payments of amounts due Red Iron or TCF Canada in the ordinary course of Red Iron’s or TCF Canada’s business of financing purchases by distributors and dealers or products and services of such Person or an Affiliate of such Person (the “Red Iron/TCF Repurchase Obligations”), in an aggregate stated or principal amount, when taken together with amounts subject to the exception set forth in the preceding clause (g), at any time outstanding not to exceed $75,000,000</w:t>
      </w:r>
      <w:r>
        <w:rPr>
          <w:rFonts w:ascii="Arial" w:cs="Arial" w:eastAsia="Arial" w:hAnsi="Arial"/>
          <w:sz w:val="13"/>
          <w:szCs w:val="13"/>
          <w:color w:val="auto"/>
        </w:rPr>
        <w:t>.</w:t>
      </w:r>
    </w:p>
    <w:p>
      <w:pPr>
        <w:spacing w:after="0" w:line="178"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9"/>
          <w:szCs w:val="19"/>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capital lease or Synthetic Lease Obligation as of any date shall be deemed to be the amount of Attributable Indebtedness in respect thereof as of such date.</w:t>
      </w:r>
    </w:p>
    <w:p>
      <w:pPr>
        <w:spacing w:after="0" w:line="176" w:lineRule="exact"/>
        <w:rPr>
          <w:sz w:val="20"/>
          <w:szCs w:val="20"/>
          <w:color w:val="auto"/>
        </w:rPr>
      </w:pPr>
    </w:p>
    <w:p>
      <w:pPr>
        <w:jc w:val="both"/>
        <w:ind w:firstLine="864"/>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xml:space="preserve">” means (a) Taxes, other than Excluded Taxes, imposed on or with respect to any payment made by or on account of any obligation of the Borrower under any Loan Document and (b) to the extent not otherwise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Other Taxes.</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10.04(b)</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10.07</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Insolvency Proceeding</w:t>
      </w:r>
      <w:r>
        <w:rPr>
          <w:rFonts w:ascii="Arial" w:cs="Arial" w:eastAsia="Arial" w:hAnsi="Arial"/>
          <w:sz w:val="20"/>
          <w:szCs w:val="20"/>
          <w:color w:val="auto"/>
        </w:rPr>
        <w:t>” means, with respect to any Person, (a) any case, action or proceeding with respect to such Person before any court or other Governmental Authority relating to bankruptcy, reorganization, insolvency, liquidation, receivership, dissolution, winding-up or relief of debtors, or (b) any general assignment for the benefit of creditors, composition, marshalling of assets for creditors, or other, similar arrangement in respect of its creditors generally or any substantial portion of its creditors; undertaken under U.S. Federal, state or foreign law, including the Bankruptcy Code of the United States.</w:t>
      </w:r>
    </w:p>
    <w:p>
      <w:pPr>
        <w:spacing w:after="0" w:line="194"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xml:space="preserve">” means, (a) as to any Loan other than a Base Rate Loan, the last day of each Interest Period applicable to such Loan and the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Interest Period for a Eurodollar Rate Loan exceeds three (3) months, the respective dates that fall every three (3) months after the beginning of such Interest Period shall also be Interest Payment Dates; and (b) as to any Base Rate Loan, the last Business Day of each March, June, September and December and the Maturity Date.</w:t>
      </w:r>
    </w:p>
    <w:p>
      <w:pPr>
        <w:spacing w:after="0" w:line="161"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Period</w:t>
      </w:r>
      <w:r>
        <w:rPr>
          <w:rFonts w:ascii="Arial" w:cs="Arial" w:eastAsia="Arial" w:hAnsi="Arial"/>
          <w:sz w:val="20"/>
          <w:szCs w:val="20"/>
          <w:color w:val="auto"/>
        </w:rPr>
        <w:t xml:space="preserve">” means, as to each Eurodollar Rate Loan, the period commencing on the date such Eurodollar Rate Loan is disbursed or converted to or continued as a Eurodollar Rate Loan and ending on the date one (1), two (2), three (3) or six (6) months thereafter (in each case, subject to availability), as selected by the Borrower in its Loan Notice;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86" w:lineRule="exact"/>
        <w:rPr>
          <w:sz w:val="20"/>
          <w:szCs w:val="20"/>
          <w:color w:val="auto"/>
        </w:rPr>
      </w:pPr>
    </w:p>
    <w:p>
      <w:pPr>
        <w:jc w:val="both"/>
        <w:ind w:left="880" w:firstLine="789"/>
        <w:spacing w:after="0" w:line="250" w:lineRule="auto"/>
        <w:tabs>
          <w:tab w:leader="none" w:pos="2345" w:val="left"/>
        </w:tabs>
        <w:numPr>
          <w:ilvl w:val="0"/>
          <w:numId w:val="14"/>
        </w:numPr>
        <w:rPr>
          <w:rFonts w:ascii="Arial" w:cs="Arial" w:eastAsia="Arial" w:hAnsi="Arial"/>
          <w:sz w:val="20"/>
          <w:szCs w:val="20"/>
          <w:color w:val="auto"/>
        </w:rPr>
      </w:pPr>
      <w:r>
        <w:rPr>
          <w:rFonts w:ascii="Arial" w:cs="Arial" w:eastAsia="Arial" w:hAnsi="Arial"/>
          <w:sz w:val="20"/>
          <w:szCs w:val="20"/>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85" w:lineRule="exact"/>
        <w:rPr>
          <w:rFonts w:ascii="Arial" w:cs="Arial" w:eastAsia="Arial" w:hAnsi="Arial"/>
          <w:sz w:val="20"/>
          <w:szCs w:val="20"/>
          <w:color w:val="auto"/>
        </w:rPr>
      </w:pPr>
    </w:p>
    <w:p>
      <w:pPr>
        <w:jc w:val="both"/>
        <w:ind w:left="880" w:firstLine="789"/>
        <w:spacing w:after="0" w:line="250" w:lineRule="auto"/>
        <w:tabs>
          <w:tab w:leader="none" w:pos="2372" w:val="left"/>
        </w:tabs>
        <w:numPr>
          <w:ilvl w:val="0"/>
          <w:numId w:val="14"/>
        </w:numPr>
        <w:rPr>
          <w:rFonts w:ascii="Arial" w:cs="Arial" w:eastAsia="Arial" w:hAnsi="Arial"/>
          <w:sz w:val="20"/>
          <w:szCs w:val="20"/>
          <w:color w:val="auto"/>
        </w:rPr>
      </w:pPr>
      <w:r>
        <w:rPr>
          <w:rFonts w:ascii="Arial" w:cs="Arial" w:eastAsia="Arial" w:hAnsi="Arial"/>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3" w:name="page24"/>
    <w:bookmarkEnd w:id="23"/>
    <w:p>
      <w:pPr>
        <w:ind w:left="880" w:right="4340" w:firstLine="789"/>
        <w:spacing w:after="0" w:line="464" w:lineRule="auto"/>
        <w:tabs>
          <w:tab w:leader="none" w:pos="2369" w:val="left"/>
        </w:tabs>
        <w:numPr>
          <w:ilvl w:val="0"/>
          <w:numId w:val="15"/>
        </w:numPr>
        <w:rPr>
          <w:rFonts w:ascii="Arial" w:cs="Arial" w:eastAsia="Arial" w:hAnsi="Arial"/>
          <w:sz w:val="20"/>
          <w:szCs w:val="20"/>
          <w:color w:val="auto"/>
        </w:rPr>
      </w:pPr>
      <w:r>
        <w:rPr>
          <w:rFonts w:ascii="Arial" w:cs="Arial" w:eastAsia="Arial" w:hAnsi="Arial"/>
          <w:sz w:val="20"/>
          <w:szCs w:val="20"/>
          <w:color w:val="auto"/>
        </w:rPr>
        <w:t>no Interest Period shall extend beyond the Maturity Date. “</w:t>
      </w:r>
      <w:r>
        <w:rPr>
          <w:rFonts w:ascii="Arial" w:cs="Arial" w:eastAsia="Arial" w:hAnsi="Arial"/>
          <w:sz w:val="20"/>
          <w:szCs w:val="20"/>
          <w:u w:val="single" w:color="auto"/>
          <w:color w:val="auto"/>
        </w:rPr>
        <w:t>IRS</w:t>
      </w:r>
      <w:r>
        <w:rPr>
          <w:rFonts w:ascii="Arial" w:cs="Arial" w:eastAsia="Arial" w:hAnsi="Arial"/>
          <w:sz w:val="20"/>
          <w:szCs w:val="20"/>
          <w:color w:val="auto"/>
        </w:rPr>
        <w:t>” means the United States Internal Revenue Service.</w:t>
      </w:r>
    </w:p>
    <w:p>
      <w:pPr>
        <w:spacing w:after="0" w:line="2"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Joint Venture</w:t>
      </w:r>
      <w:r>
        <w:rPr>
          <w:rFonts w:ascii="Arial" w:cs="Arial" w:eastAsia="Arial" w:hAnsi="Arial"/>
          <w:sz w:val="19"/>
          <w:szCs w:val="19"/>
          <w:color w:val="auto"/>
        </w:rPr>
        <w:t>” means a corporation, partnership, limited liability company, joint venture or other similar legal arrangement (whether created by contract or conducted through a separate legal entity) now or hereafter formed or entered into by the Borrower or any of its Subsidiaries with another Person or in which the Borrower or any of its Subsidiaries may invest in order to conduct or further a common venture or enterprise with such Person, the investment in which does not constitute an Acquisition.</w:t>
      </w:r>
    </w:p>
    <w:p>
      <w:pPr>
        <w:spacing w:after="0" w:line="176"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Laws</w:t>
      </w:r>
      <w:r>
        <w:rPr>
          <w:rFonts w:ascii="Arial" w:cs="Arial" w:eastAsia="Arial" w:hAnsi="Arial"/>
          <w:sz w:val="20"/>
          <w:szCs w:val="20"/>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w:t>
      </w:r>
      <w:r>
        <w:rPr>
          <w:rFonts w:ascii="Arial" w:cs="Arial" w:eastAsia="Arial" w:hAnsi="Arial"/>
          <w:sz w:val="20"/>
          <w:szCs w:val="20"/>
          <w:color w:val="auto"/>
        </w:rPr>
        <w:t>” has the meaning specified in the introductory paragraph hereto.</w:t>
      </w:r>
    </w:p>
    <w:p>
      <w:pPr>
        <w:spacing w:after="0" w:line="21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Lending Office</w:t>
      </w:r>
      <w:r>
        <w:rPr>
          <w:rFonts w:ascii="Arial" w:cs="Arial" w:eastAsia="Arial" w:hAnsi="Arial"/>
          <w:sz w:val="20"/>
          <w:szCs w:val="20"/>
          <w:color w:val="auto"/>
        </w:rPr>
        <w:t>” means,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Leverage Ratio</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7.06</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w:t>
      </w:r>
      <w:r>
        <w:rPr>
          <w:rFonts w:ascii="Arial" w:cs="Arial" w:eastAsia="Arial" w:hAnsi="Arial"/>
          <w:sz w:val="20"/>
          <w:szCs w:val="20"/>
          <w:color w:val="auto"/>
        </w:rPr>
        <w:t>” has the meaning specified in the definition of Eurodollar Rate.</w:t>
      </w:r>
    </w:p>
    <w:p>
      <w:pPr>
        <w:spacing w:after="0" w:line="21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Screen Rate</w:t>
      </w:r>
      <w:r>
        <w:rPr>
          <w:rFonts w:ascii="Arial" w:cs="Arial" w:eastAsia="Arial" w:hAnsi="Arial"/>
          <w:sz w:val="20"/>
          <w:szCs w:val="20"/>
          <w:color w:val="auto"/>
        </w:rPr>
        <w:t>” means the LIBOR quote on the applicable screen page the Administrative Agent designates to determine LIBOR (or such other commercially available source providing such quotations as may be designated by the Administrative Agent from time to time).</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Successor Rate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3.03(c)</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LIBOR Successor Rate Conforming Changes</w:t>
      </w:r>
      <w:r>
        <w:rPr>
          <w:rFonts w:ascii="Arial" w:cs="Arial" w:eastAsia="Arial" w:hAnsi="Arial"/>
          <w:sz w:val="19"/>
          <w:szCs w:val="19"/>
          <w:color w:val="auto"/>
        </w:rPr>
        <w:t>” means, with respect to any proposed LIBOR Successor Rate, any conforming changes to the definition of Base Rate, Interest Period, timing and frequency of determining rates and making payments of interest and other technical, administrative or operational matters as may be appropriate, in the discretion of the Administrative Agent in consultation with the Borrower, to reflect the adoption and implementation of such LIBOR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LIBOR Successor Rate exists, in such other manner of administration as the Administrative Agent determines is reasonably necessary in connection with the administration of this Agreement in consultation with the Borrower).</w:t>
      </w:r>
    </w:p>
    <w:p>
      <w:pPr>
        <w:spacing w:after="0" w:line="180"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4" w:name="page25"/>
    <w:bookmarkEnd w:id="24"/>
    <w:p>
      <w:pPr>
        <w:spacing w:after="0"/>
        <w:rPr>
          <w:sz w:val="20"/>
          <w:szCs w:val="20"/>
          <w:color w:val="auto"/>
        </w:rPr>
      </w:pPr>
      <w:r>
        <w:rPr>
          <w:rFonts w:ascii="Arial" w:cs="Arial" w:eastAsia="Arial" w:hAnsi="Arial"/>
          <w:sz w:val="20"/>
          <w:szCs w:val="20"/>
          <w:color w:val="auto"/>
        </w:rPr>
        <w:t>to real property, and any financing lease having substantially the same economic effect as any of the foregoing).</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2.01</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Documents</w:t>
      </w:r>
      <w:r>
        <w:rPr>
          <w:rFonts w:ascii="Arial" w:cs="Arial" w:eastAsia="Arial" w:hAnsi="Arial"/>
          <w:sz w:val="20"/>
          <w:szCs w:val="20"/>
          <w:color w:val="auto"/>
        </w:rPr>
        <w:t>” means this Agreement, each Note and the Fee Letters.</w:t>
      </w:r>
    </w:p>
    <w:p>
      <w:pPr>
        <w:spacing w:after="0" w:line="216"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Notice</w:t>
      </w:r>
      <w:r>
        <w:rPr>
          <w:rFonts w:ascii="Arial" w:cs="Arial" w:eastAsia="Arial" w:hAnsi="Arial"/>
          <w:sz w:val="19"/>
          <w:szCs w:val="19"/>
          <w:color w:val="auto"/>
        </w:rPr>
        <w:t xml:space="preserve">” means a notice of (a) Borrowing, (b) a conversion of Loans from one Type to the other, or (c) a continuation of Eurodollar Rate Loans, pursuant to </w:t>
      </w:r>
      <w:r>
        <w:rPr>
          <w:rFonts w:ascii="Arial" w:cs="Arial" w:eastAsia="Arial" w:hAnsi="Arial"/>
          <w:sz w:val="19"/>
          <w:szCs w:val="19"/>
          <w:u w:val="single" w:color="auto"/>
          <w:color w:val="auto"/>
        </w:rPr>
        <w:t>Section 2.02(a)</w:t>
      </w:r>
      <w:r>
        <w:rPr>
          <w:rFonts w:ascii="Arial" w:cs="Arial" w:eastAsia="Arial" w:hAnsi="Arial"/>
          <w:sz w:val="19"/>
          <w:szCs w:val="19"/>
          <w:color w:val="auto"/>
        </w:rPr>
        <w:t xml:space="preserve">, which shall be substantially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7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London Banking Day</w:t>
      </w:r>
      <w:r>
        <w:rPr>
          <w:rFonts w:ascii="Arial" w:cs="Arial" w:eastAsia="Arial" w:hAnsi="Arial"/>
          <w:sz w:val="20"/>
          <w:szCs w:val="20"/>
          <w:color w:val="auto"/>
        </w:rPr>
        <w:t>” means any day on which dealings in Dollar deposits are conducted by and between banks in the London interbank eurodollar market.</w:t>
      </w:r>
    </w:p>
    <w:p>
      <w:pPr>
        <w:spacing w:after="0" w:line="17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Adverse Effect</w:t>
      </w:r>
      <w:r>
        <w:rPr>
          <w:rFonts w:ascii="Arial" w:cs="Arial" w:eastAsia="Arial" w:hAnsi="Arial"/>
          <w:sz w:val="20"/>
          <w:szCs w:val="20"/>
          <w:color w:val="auto"/>
        </w:rPr>
        <w:t xml:space="preserve">” means (a) a material impairment of the ability of the Borrower to perform its obligations under any Loan Document to which it is a party, (b) a material adverse effect upon the legality, validity, binding effect or enforceability against the Borrower of any Loan Document to which it is a party, or (c) solely with respect to the applicable provisions of </w:t>
      </w:r>
      <w:r>
        <w:rPr>
          <w:rFonts w:ascii="Arial" w:cs="Arial" w:eastAsia="Arial" w:hAnsi="Arial"/>
          <w:sz w:val="20"/>
          <w:szCs w:val="20"/>
          <w:u w:val="single" w:color="auto"/>
          <w:color w:val="auto"/>
        </w:rPr>
        <w:t>Section 4.01</w:t>
      </w:r>
      <w:r>
        <w:rPr>
          <w:rFonts w:ascii="Arial" w:cs="Arial" w:eastAsia="Arial" w:hAnsi="Arial"/>
          <w:sz w:val="20"/>
          <w:szCs w:val="20"/>
          <w:color w:val="auto"/>
        </w:rPr>
        <w:t xml:space="preserve"> and the representations and warranties to be made on the Closing Date in connection with </w:t>
      </w:r>
      <w:r>
        <w:rPr>
          <w:rFonts w:ascii="Arial" w:cs="Arial" w:eastAsia="Arial" w:hAnsi="Arial"/>
          <w:sz w:val="20"/>
          <w:szCs w:val="20"/>
          <w:u w:val="single" w:color="auto"/>
          <w:color w:val="auto"/>
        </w:rPr>
        <w:t>Section 4.01</w:t>
      </w:r>
      <w:r>
        <w:rPr>
          <w:rFonts w:ascii="Arial" w:cs="Arial" w:eastAsia="Arial" w:hAnsi="Arial"/>
          <w:sz w:val="20"/>
          <w:szCs w:val="20"/>
          <w:color w:val="auto"/>
        </w:rPr>
        <w:t>, a material adverse change in, or a material adverse effect on, the operations, business, assets, or condition (financial or otherwise) of the Borrower or the Borrower and its Subsidiaries, taken as a whole.</w:t>
      </w:r>
    </w:p>
    <w:p>
      <w:pPr>
        <w:spacing w:after="0" w:line="19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Disposition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1.03(e)</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Subsidiary</w:t>
      </w:r>
      <w:r>
        <w:rPr>
          <w:rFonts w:ascii="Arial" w:cs="Arial" w:eastAsia="Arial" w:hAnsi="Arial"/>
          <w:sz w:val="20"/>
          <w:szCs w:val="20"/>
          <w:color w:val="auto"/>
        </w:rPr>
        <w:t xml:space="preserve">” means, at any time of determination, any Subsidiary having at such time either (i) 10% or more of the net book value of the consolidated total assets of the Borrower and its Subsidiaries as of the last day of the preceding fiscal quarter or (ii) 5% or more of the consolidated total (gross) revenues of the Borrower and its Subsidiaries for the preceding four fiscal quarter period, in each case, based upon the Borrower’s most recent annual or quarterly financial statements delivered to the Lenders under </w:t>
      </w:r>
      <w:r>
        <w:rPr>
          <w:rFonts w:ascii="Arial" w:cs="Arial" w:eastAsia="Arial" w:hAnsi="Arial"/>
          <w:sz w:val="20"/>
          <w:szCs w:val="20"/>
          <w:u w:val="single" w:color="auto"/>
          <w:color w:val="auto"/>
        </w:rPr>
        <w:t>Section 4.01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6.01</w:t>
      </w:r>
      <w:r>
        <w:rPr>
          <w:rFonts w:ascii="Arial" w:cs="Arial" w:eastAsia="Arial" w:hAnsi="Arial"/>
          <w:sz w:val="20"/>
          <w:szCs w:val="20"/>
          <w:color w:val="auto"/>
        </w:rPr>
        <w:t>, as the case may be.</w:t>
      </w:r>
    </w:p>
    <w:p>
      <w:pPr>
        <w:spacing w:after="0" w:line="194"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xml:space="preserve">” means June 19, 2023;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such date is not a Business Day, the Maturity Date shall be the next preceding Business Day.</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 and any successor thereto.</w:t>
      </w:r>
    </w:p>
    <w:p>
      <w:pPr>
        <w:spacing w:after="0" w:line="21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any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18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Multiple Employer Plan</w:t>
      </w:r>
      <w:r>
        <w:rPr>
          <w:rFonts w:ascii="Arial" w:cs="Arial" w:eastAsia="Arial" w:hAnsi="Arial"/>
          <w:sz w:val="20"/>
          <w:szCs w:val="20"/>
          <w:color w:val="auto"/>
        </w:rPr>
        <w:t>” means a Plan which has two or more contributing sponsors (including the Borrower or any ERISA Affiliate) at least two of whom are not under common control, as such a plan is described in Section 4064 of ERISA.</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Non-Defaulting Lender</w:t>
      </w:r>
      <w:r>
        <w:rPr>
          <w:rFonts w:ascii="Arial" w:cs="Arial" w:eastAsia="Arial" w:hAnsi="Arial"/>
          <w:sz w:val="20"/>
          <w:szCs w:val="20"/>
          <w:color w:val="auto"/>
        </w:rPr>
        <w:t>” means, at any time, each Lender that is not a Defaulting Lender at such time.</w:t>
      </w:r>
    </w:p>
    <w:p>
      <w:pPr>
        <w:spacing w:after="0" w:line="21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w:t>
      </w:r>
      <w:r>
        <w:rPr>
          <w:rFonts w:ascii="Arial" w:cs="Arial" w:eastAsia="Arial" w:hAnsi="Arial"/>
          <w:sz w:val="20"/>
          <w:szCs w:val="20"/>
          <w:color w:val="auto"/>
        </w:rPr>
        <w:t xml:space="preserve">” means a promissory note made by the Borrower in favor of a Lender evidencing Loans made by such Lender, substantially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5" w:name="page26"/>
    <w:bookmarkEnd w:id="25"/>
    <w:p>
      <w:pPr>
        <w:jc w:val="both"/>
        <w:ind w:firstLine="864"/>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advances to, and debts, liabilities, obligations, covenants and duties of, the Borrower arising under any Loan Document or otherwise with respect to any Loan, in each case whether direct or indirect (including those acquired by assumption), absolute or contingent, due or to become due, now existing or hereafter arising and including interest and fees that accrue after the commencement by or against the Borrower or any Affiliate thereof of any proceeding under any Debtor Relief Laws naming such Person as the debtor in such proceeding, regardless of whether such interest and fees are allowed claims in such proceeding.</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Office of Foreign Assets Control of the United States Department of the Treasury.</w:t>
      </w:r>
    </w:p>
    <w:p>
      <w:pPr>
        <w:spacing w:after="0" w:line="21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Organization Documents</w:t>
      </w:r>
      <w:r>
        <w:rPr>
          <w:rFonts w:ascii="Arial" w:cs="Arial" w:eastAsia="Arial" w:hAnsi="Arial"/>
          <w:sz w:val="20"/>
          <w:szCs w:val="20"/>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93"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Originators</w:t>
      </w:r>
      <w:r>
        <w:rPr>
          <w:rFonts w:ascii="Arial" w:cs="Arial" w:eastAsia="Arial" w:hAnsi="Arial"/>
          <w:sz w:val="20"/>
          <w:szCs w:val="20"/>
          <w:color w:val="auto"/>
        </w:rPr>
        <w:t>” means the Borrower and/or any of its domestic Wholly-Owned Subsidiaries in their respective capacities as parties to any documents related to any Receivables Purchase Facility, as sellers or transferors of any Receivables and related security in connection with a Permitted Receivables Transfer.</w:t>
      </w:r>
    </w:p>
    <w:p>
      <w:pPr>
        <w:spacing w:after="0" w:line="186"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Connection Taxes</w:t>
      </w:r>
      <w:r>
        <w:rPr>
          <w:rFonts w:ascii="Arial" w:cs="Arial" w:eastAsia="Arial" w:hAnsi="Arial"/>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94"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9"/>
          <w:szCs w:val="19"/>
          <w:u w:val="single" w:color="auto"/>
          <w:color w:val="auto"/>
        </w:rPr>
        <w:t>Section 3.06</w:t>
      </w:r>
      <w:r>
        <w:rPr>
          <w:rFonts w:ascii="Arial" w:cs="Arial" w:eastAsia="Arial" w:hAnsi="Arial"/>
          <w:sz w:val="19"/>
          <w:szCs w:val="19"/>
          <w:color w:val="auto"/>
        </w:rPr>
        <w:t>).</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10.06(d)</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10.06(d)</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Act</w:t>
      </w:r>
      <w:r>
        <w:rPr>
          <w:rFonts w:ascii="Arial" w:cs="Arial" w:eastAsia="Arial" w:hAnsi="Arial"/>
          <w:sz w:val="20"/>
          <w:szCs w:val="20"/>
          <w:color w:val="auto"/>
        </w:rPr>
        <w:t>” means the Pension Protection Act of 2006.</w:t>
      </w:r>
    </w:p>
    <w:p>
      <w:pPr>
        <w:spacing w:after="0" w:line="21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Funding Rules</w:t>
      </w:r>
      <w:r>
        <w:rPr>
          <w:rFonts w:ascii="Arial" w:cs="Arial" w:eastAsia="Arial" w:hAnsi="Arial"/>
          <w:sz w:val="20"/>
          <w:szCs w:val="20"/>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6" w:name="page27"/>
    <w:bookmarkEnd w:id="26"/>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Plan</w:t>
      </w:r>
      <w:r>
        <w:rPr>
          <w:rFonts w:ascii="Arial" w:cs="Arial" w:eastAsia="Arial" w:hAnsi="Arial"/>
          <w:sz w:val="20"/>
          <w:szCs w:val="20"/>
          <w:color w:val="auto"/>
        </w:rPr>
        <w:t>” means any employee pension benefit plan (including a Multiple Employer Plan or a Multiemployer Plan) that is maintained or is contributed to by the Borrower or any ERISA Affiliate and is either covered by Title IV of ERISA or is subject to the minimum funding standards under Section 412 of the Code.</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7.01</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Receivables Transfer</w:t>
      </w:r>
      <w:r>
        <w:rPr>
          <w:rFonts w:ascii="Arial" w:cs="Arial" w:eastAsia="Arial" w:hAnsi="Arial"/>
          <w:sz w:val="18"/>
          <w:szCs w:val="18"/>
          <w:color w:val="auto"/>
        </w:rPr>
        <w:t xml:space="preserve">” means (i) a sale or other transfer by an Originator to an SPV of Receivables for fair market value and without recourse (except for limited recourse typical of such structured finance transactions), and/or (ii) a sale or other transfer by an SPV to (a) purchasers of or other investors in such Receivables and related security or (b) any other Person (including an SPV) in a transaction in which purchasers or other investors purchase or are otherwise transferred such Receivables and related security, in the case of either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pursuant to and in accordance with the terms of the documents related to any Receivables Purchase Facility.</w:t>
      </w:r>
    </w:p>
    <w:p>
      <w:pPr>
        <w:spacing w:after="0" w:line="165"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Swap Obligation</w:t>
      </w:r>
      <w:r>
        <w:rPr>
          <w:rFonts w:ascii="Arial" w:cs="Arial" w:eastAsia="Arial" w:hAnsi="Arial"/>
          <w:sz w:val="20"/>
          <w:szCs w:val="20"/>
          <w:color w:val="auto"/>
        </w:rPr>
        <w:t xml:space="preserve">” means all obligations (contingent or otherwise) of the Borrower or any Subsidiary existing or arising under Swap Contracts,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each of the following criteria is satisfied: (a) such obligations are (or were) entered into by such Person in the ordinary course of business for the purpose of directly mitigating risks associated with liabilities, commitments or assets held or reasonably anticipated by such Person, or changes in the value of securities issued by such Person in conjunction with a securities repurchase program not otherwise prohibited hereunder, and not for purposes of speculation or taking a “market view;” and (b) such Swap Contracts do not contain any provision (“walk-away” provision) exonerating the non-defaulting party from its obligation to make payments on outstanding transactions to the defaulting party.</w:t>
      </w:r>
    </w:p>
    <w:p>
      <w:pPr>
        <w:spacing w:after="0" w:line="193"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7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means a prohibited transaction class exemption issued by the U.S. Department of Labor, as any such exemption may be amended from time to time.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Receivables</w:t>
      </w:r>
      <w:r>
        <w:rPr>
          <w:rFonts w:ascii="Arial" w:cs="Arial" w:eastAsia="Arial" w:hAnsi="Arial"/>
          <w:sz w:val="20"/>
          <w:szCs w:val="20"/>
          <w:color w:val="auto"/>
        </w:rPr>
        <w:t>” shall mean, with respect to any Person, all obligations of any obligor (whether now existing or hereafter arising) under a contract for sale of goods or services by such Person or any of them, which shall include any obligation of such obligor (whether now existing or hereafter arising) to pay interest, finance charges or amounts with respect thereto, and, with respect to any of the foregoing receivables or obligations, (a) all of the interest of such Person in the goods (including returned goods) the sale of which gave rise to such receivable or obligation after the passage of title thereto to any obligor, (b) all other Liens and property subject thereto from time to time purporting to secure payment of such receivables or obligations, (c) all guarantees, insurance, letters of credit and other agreements or arrangements of whatever character from time to time supporting or securing payment of any such receivables or obligations, (d) all Records and (e) all proceeds of the foregoing.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7" w:name="page28"/>
    <w:bookmarkEnd w:id="27"/>
    <w:p>
      <w:pPr>
        <w:jc w:val="both"/>
        <w:ind w:firstLine="864"/>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Receivables Purchase Facility</w:t>
      </w:r>
      <w:r>
        <w:rPr>
          <w:rFonts w:ascii="Arial" w:cs="Arial" w:eastAsia="Arial" w:hAnsi="Arial"/>
          <w:sz w:val="20"/>
          <w:szCs w:val="20"/>
          <w:color w:val="auto"/>
        </w:rPr>
        <w:t>” shall mean any agreement of any Originator, approved by the Administrative Agent (such approval not to be unreasonably withheld), providing for sales, transfers or conveyances of Receivables of such Originator purporting to be sales (and considered sales under GAAP) that do not provide, directly or indirectly, for recourse against the seller of such Receivables (or against any of such seller’s Affiliates) by way of a guaranty or any other support arrangement, with respect to the amount of such Receivables (based on the financial condition or circumstances of the obligor thereunder), other than such limited recourse as is reasonable given market standards for transactions of a similar type, taking into account such factors as historical bad debt loss experience and obligor concentration levels.</w:t>
      </w:r>
    </w:p>
    <w:p>
      <w:pPr>
        <w:spacing w:after="0" w:line="193"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the Administrative Agent, any Lender or any other recipient of any payment to be made by or on account of any obligation of the Borrower hereunder.</w:t>
      </w:r>
    </w:p>
    <w:p>
      <w:pPr>
        <w:spacing w:after="0" w:line="177"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Records</w:t>
      </w:r>
      <w:r>
        <w:rPr>
          <w:rFonts w:ascii="Arial" w:cs="Arial" w:eastAsia="Arial" w:hAnsi="Arial"/>
          <w:sz w:val="20"/>
          <w:szCs w:val="20"/>
          <w:color w:val="auto"/>
        </w:rPr>
        <w:t>” means, for any Receivable, all contracts, books, records and other documents or information (including computer programs, tapes, disks, software and related property and rights) relating to such Receivable or the related obligor.</w:t>
      </w:r>
    </w:p>
    <w:p>
      <w:pPr>
        <w:spacing w:after="0" w:line="177"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Red Iron</w:t>
      </w:r>
      <w:r>
        <w:rPr>
          <w:rFonts w:ascii="Arial" w:cs="Arial" w:eastAsia="Arial" w:hAnsi="Arial"/>
          <w:sz w:val="20"/>
          <w:szCs w:val="20"/>
          <w:color w:val="auto"/>
        </w:rPr>
        <w:t>” means Red Iron Acceptance, LLC, a Delaware limited liability company. For avoidance of doubt, for so long as Red Iron is governed by the Red Iron LLC Agreement as in effect on the Closing Date, except for amendments that do not change the ownership interests of its members or materially change the overall management structure of Red Iron in a manner that would cause Red Iron to be considered a Subsidiary of the Borrower, any obligations of Red Iron shall not be considered an obligation of the Borrower or Red Iron Holding Corporation, a Delaware corporation.</w:t>
      </w:r>
    </w:p>
    <w:p>
      <w:pPr>
        <w:spacing w:after="0" w:line="194"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Red Iron LLC Agreement</w:t>
      </w:r>
      <w:r>
        <w:rPr>
          <w:rFonts w:ascii="Arial" w:cs="Arial" w:eastAsia="Arial" w:hAnsi="Arial"/>
          <w:sz w:val="20"/>
          <w:szCs w:val="20"/>
          <w:color w:val="auto"/>
        </w:rPr>
        <w:t>” means that certain limited liability company agreement of Red Iron Acceptance, LLC, dated as of August 12, 2009 and as amended as of May 31, 2011, as of June 6, 2012 and as of November 29, 2016, by and among Red Iron Holding Corporation, a Delaware corporation and a Subsidiary of the Borrower, and TCFIF Joint Venture I, LLC, a Minnesota limited liability company.</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Red Iron/TCF Repurchase Obligations</w:t>
      </w:r>
      <w:r>
        <w:rPr>
          <w:rFonts w:ascii="Arial" w:cs="Arial" w:eastAsia="Arial" w:hAnsi="Arial"/>
          <w:sz w:val="20"/>
          <w:szCs w:val="20"/>
          <w:color w:val="auto"/>
        </w:rPr>
        <w:t>” has the meaning specified in the definition of “Indebtedness”.</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10.06(c)</w:t>
      </w:r>
      <w:r>
        <w:rPr>
          <w:rFonts w:ascii="Arial" w:cs="Arial" w:eastAsia="Arial" w:hAnsi="Arial"/>
          <w:sz w:val="20"/>
          <w:szCs w:val="20"/>
          <w:color w:val="auto"/>
        </w:rPr>
        <w:t>.</w:t>
      </w:r>
    </w:p>
    <w:p>
      <w:pPr>
        <w:spacing w:after="0" w:line="216"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Parties</w:t>
      </w:r>
      <w:r>
        <w:rPr>
          <w:rFonts w:ascii="Arial" w:cs="Arial" w:eastAsia="Arial" w:hAnsi="Arial"/>
          <w:sz w:val="20"/>
          <w:szCs w:val="20"/>
          <w:color w:val="auto"/>
        </w:rPr>
        <w:t>” means, with respect to any Person, such Person’s Affiliates and the partners, directors, officers, employees, agents, trustees and advisors of such Person and of such Person’s Affiliates.</w:t>
      </w:r>
    </w:p>
    <w:p>
      <w:pPr>
        <w:spacing w:after="0" w:line="177"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Relevant Governmental Body</w:t>
      </w:r>
      <w:r>
        <w:rPr>
          <w:rFonts w:ascii="Arial" w:cs="Arial" w:eastAsia="Arial" w:hAnsi="Arial"/>
          <w:sz w:val="20"/>
          <w:szCs w:val="20"/>
          <w:color w:val="auto"/>
        </w:rPr>
        <w:t>” means the Federal Reserve Board and/or the Federal Reserve Bank of New York, or a committee officially endorsed or convened by the Federal Reserve Board and/or the Federal Reserve Bank of New York for the purpose of recommending a benchmark rate to replace LIBOR in loan agreements similar to this Agreement.</w:t>
      </w:r>
    </w:p>
    <w:p>
      <w:pPr>
        <w:spacing w:after="0" w:line="18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Reportable Event</w:t>
      </w:r>
      <w:r>
        <w:rPr>
          <w:rFonts w:ascii="Arial" w:cs="Arial" w:eastAsia="Arial" w:hAnsi="Arial"/>
          <w:sz w:val="20"/>
          <w:szCs w:val="20"/>
          <w:color w:val="auto"/>
        </w:rPr>
        <w:t>” means any of the events set forth in Section 4043(c) of ERISA, other than events for which the 30 day notice period has been waived.</w:t>
      </w:r>
    </w:p>
    <w:p>
      <w:pPr>
        <w:spacing w:after="0" w:line="17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means, as of any date of determination, Lenders having Total Credit Exposures representing more than 50% of the Total Credit Exposures of all Lenders. The Total Credit Exposure of any Defaulting Lender which is a Lender shall be disregarded in determining Required Lenders at any time.</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Resolution Authority</w:t>
      </w:r>
      <w:r>
        <w:rPr>
          <w:rFonts w:ascii="Arial" w:cs="Arial" w:eastAsia="Arial" w:hAnsi="Arial"/>
          <w:sz w:val="19"/>
          <w:szCs w:val="19"/>
          <w:color w:val="auto"/>
        </w:rPr>
        <w:t>” means an EEA Resolution Authority or, with respect to any UK Financial Institution, a UK Resolution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Authority.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8" w:name="page29"/>
    <w:bookmarkEnd w:id="28"/>
    <w:p>
      <w:pPr>
        <w:jc w:val="both"/>
        <w:ind w:firstLine="864"/>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Responsible Officer</w:t>
      </w:r>
      <w:r>
        <w:rPr>
          <w:rFonts w:ascii="Arial" w:cs="Arial" w:eastAsia="Arial" w:hAnsi="Arial"/>
          <w:sz w:val="19"/>
          <w:szCs w:val="19"/>
          <w:color w:val="auto"/>
        </w:rPr>
        <w:t xml:space="preserve">” means (a) the secretary, assistant secretary, treasurer or assistant treasurer of the Borrower, or any other officer having substantially the same authority and responsibility; (b) with respect to compliance with financial covenants, the chief financial officer, corporate controller, the treasurer or assistant treasurer of the Borrower, or any other officer having substantially the same authority and responsibility; or (c) and, solely for purposes of notices given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the assistant treasurer, assistant secretary or any other officer of the Borrower so designated by any of the foregoing officers in a notice to the Administrative Agent or any other officer or employee of the Borrower designated in or pursuant to an agreement between the Borrower and the Administrative Agent. Any document delivered hereunder that is signed by a Responsible Officer shall be conclusively presumed to have been authorized by all necessary corporate, partnership and/or other action on the part of the Borrower and such Responsible Officer shall be conclusively presumed to have acted on behalf of the Borrower.</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Payment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7.04</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means Standard &amp; Poor’s Financial Services LLC, a subsidiary of S&amp;P Global Inc., and any successor thereto.</w:t>
      </w:r>
    </w:p>
    <w:p>
      <w:pPr>
        <w:spacing w:after="0" w:line="216" w:lineRule="exact"/>
        <w:rPr>
          <w:sz w:val="20"/>
          <w:szCs w:val="20"/>
          <w:color w:val="auto"/>
        </w:rPr>
      </w:pPr>
    </w:p>
    <w:p>
      <w:pPr>
        <w:jc w:val="both"/>
        <w:ind w:right="20" w:firstLine="864"/>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Sanction(s)</w:t>
      </w:r>
      <w:r>
        <w:rPr>
          <w:rFonts w:ascii="Arial" w:cs="Arial" w:eastAsia="Arial" w:hAnsi="Arial"/>
          <w:sz w:val="19"/>
          <w:szCs w:val="19"/>
          <w:color w:val="auto"/>
        </w:rPr>
        <w:t>” means any sanction administered or enforced by the United States Government (including without limitation, OFAC), the United Nations Security Council, the European Union, Her Majesty’s Treasury or other relevant sanctions authority.</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Scheduled Unavailability Date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3.03(b)</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w:t>
      </w:r>
      <w:r>
        <w:rPr>
          <w:rFonts w:ascii="Arial" w:cs="Arial" w:eastAsia="Arial" w:hAnsi="Arial"/>
          <w:sz w:val="19"/>
          <w:szCs w:val="19"/>
          <w:color w:val="auto"/>
        </w:rPr>
        <w:t>” means the Securities and Exchange Commission, or any Governmental Authority succeeding to any of its principal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functions.</w:t>
      </w:r>
    </w:p>
    <w:p>
      <w:pPr>
        <w:spacing w:after="0" w:line="200"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w:t>
      </w:r>
      <w:r>
        <w:rPr>
          <w:rFonts w:ascii="Arial" w:cs="Arial" w:eastAsia="Arial" w:hAnsi="Arial"/>
          <w:sz w:val="19"/>
          <w:szCs w:val="19"/>
          <w:color w:val="auto"/>
        </w:rPr>
        <w:t>” with respect to any day means the secured overnight financing rate published for such day by the Federal Reserve Bank of New York, as the administrator of the benchmark (or a successor administrator) on the Federal Reserve Bank of New York’s website (or any successor source) and, in each case, that has been selected or recommended by the Relevant Governmental Body.</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SOFR-Based Rate</w:t>
      </w:r>
      <w:r>
        <w:rPr>
          <w:rFonts w:ascii="Arial" w:cs="Arial" w:eastAsia="Arial" w:hAnsi="Arial"/>
          <w:sz w:val="20"/>
          <w:szCs w:val="20"/>
          <w:color w:val="auto"/>
        </w:rPr>
        <w:t>” means SOFR or Term SOFR.</w:t>
      </w:r>
    </w:p>
    <w:p>
      <w:pPr>
        <w:spacing w:after="0" w:line="216"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SPV</w:t>
      </w:r>
      <w:r>
        <w:rPr>
          <w:rFonts w:ascii="Arial" w:cs="Arial" w:eastAsia="Arial" w:hAnsi="Arial"/>
          <w:sz w:val="20"/>
          <w:szCs w:val="20"/>
          <w:color w:val="auto"/>
        </w:rPr>
        <w:t>” means any special purpose entity established for the purpose of purchasing receivables in connection with a Receivables Purchase Facility.</w:t>
      </w:r>
    </w:p>
    <w:p>
      <w:pPr>
        <w:spacing w:after="0" w:line="17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Borrower.</w:t>
      </w:r>
    </w:p>
    <w:p>
      <w:pPr>
        <w:spacing w:after="0" w:line="196"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Surety Instruments</w:t>
      </w:r>
      <w:r>
        <w:rPr>
          <w:rFonts w:ascii="Arial" w:cs="Arial" w:eastAsia="Arial" w:hAnsi="Arial"/>
          <w:sz w:val="19"/>
          <w:szCs w:val="19"/>
          <w:color w:val="auto"/>
        </w:rPr>
        <w:t>” means all standby letters of credit, banker’s acceptances and bank guaranties not attributable to the purchase of supplies and inventory in the ordinary course of business and shipside bonds, surety bonds and similar instruments.</w:t>
      </w:r>
    </w:p>
    <w:p>
      <w:pPr>
        <w:spacing w:after="0" w:line="15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Contract</w:t>
      </w:r>
      <w:r>
        <w:rPr>
          <w:rFonts w:ascii="Arial" w:cs="Arial" w:eastAsia="Arial" w:hAnsi="Arial"/>
          <w:sz w:val="20"/>
          <w:szCs w:val="20"/>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9" w:name="page30"/>
    <w:bookmarkEnd w:id="29"/>
    <w:p>
      <w:pPr>
        <w:jc w:val="both"/>
        <w:spacing w:after="0" w:line="257" w:lineRule="auto"/>
        <w:rPr>
          <w:sz w:val="20"/>
          <w:szCs w:val="20"/>
          <w:color w:val="auto"/>
        </w:rPr>
      </w:pPr>
      <w:r>
        <w:rPr>
          <w:rFonts w:ascii="Arial" w:cs="Arial" w:eastAsia="Arial" w:hAnsi="Arial"/>
          <w:sz w:val="19"/>
          <w:szCs w:val="19"/>
          <w:color w:val="auto"/>
        </w:rPr>
        <w:t>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9"/>
          <w:szCs w:val="19"/>
          <w:u w:val="single" w:color="auto"/>
          <w:color w:val="auto"/>
        </w:rPr>
        <w:t>Master Agreement</w:t>
      </w:r>
      <w:r>
        <w:rPr>
          <w:rFonts w:ascii="Arial" w:cs="Arial" w:eastAsia="Arial" w:hAnsi="Arial"/>
          <w:sz w:val="19"/>
          <w:szCs w:val="19"/>
          <w:color w:val="auto"/>
        </w:rPr>
        <w:t>”), including any such obligations or liabilities under any Master Agreement.</w:t>
      </w:r>
    </w:p>
    <w:p>
      <w:pPr>
        <w:spacing w:after="0" w:line="180"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Termination Value</w:t>
      </w:r>
      <w:r>
        <w:rPr>
          <w:rFonts w:ascii="Arial" w:cs="Arial" w:eastAsia="Arial" w:hAnsi="Arial"/>
          <w:sz w:val="19"/>
          <w:szCs w:val="19"/>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Arial" w:cs="Arial" w:eastAsia="Arial" w:hAnsi="Arial"/>
          <w:sz w:val="19"/>
          <w:szCs w:val="19"/>
          <w:u w:val="single" w:color="auto"/>
          <w:color w:val="auto"/>
        </w:rPr>
        <w:t>clause (a)</w:t>
      </w:r>
      <w:r>
        <w:rPr>
          <w:rFonts w:ascii="Arial" w:cs="Arial" w:eastAsia="Arial" w:hAnsi="Arial"/>
          <w:sz w:val="19"/>
          <w:szCs w:val="19"/>
          <w:color w:val="auto"/>
        </w:rPr>
        <w:t>, the amount(s) determined as the mark-to-market value(s) for such Swap Contracts in accordance with their terms, as determined based upon one or more mid-market or other readily available quotations provided by any recognized dealer in such Swap Contracts (which may include a Lender or any Affiliate of a Lender).</w:t>
      </w:r>
    </w:p>
    <w:p>
      <w:pPr>
        <w:spacing w:after="0" w:line="178"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Synthetic Lease Obligation</w:t>
      </w:r>
      <w:r>
        <w:rPr>
          <w:rFonts w:ascii="Arial" w:cs="Arial" w:eastAsia="Arial" w:hAnsi="Arial"/>
          <w:sz w:val="20"/>
          <w:szCs w:val="20"/>
          <w:color w:val="auto"/>
        </w:rPr>
        <w:t>” 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91"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TCF Canada</w:t>
      </w:r>
      <w:r>
        <w:rPr>
          <w:rFonts w:ascii="Arial" w:cs="Arial" w:eastAsia="Arial" w:hAnsi="Arial"/>
          <w:sz w:val="20"/>
          <w:szCs w:val="20"/>
          <w:color w:val="auto"/>
        </w:rPr>
        <w:t>” means TCF Commercial Finance Canada, Inc., a Canada corporation.</w:t>
      </w:r>
    </w:p>
    <w:p>
      <w:pPr>
        <w:spacing w:after="0" w:line="21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w:t>
      </w:r>
      <w:r>
        <w:rPr>
          <w:rFonts w:ascii="Arial" w:cs="Arial" w:eastAsia="Arial" w:hAnsi="Arial"/>
          <w:sz w:val="20"/>
          <w:szCs w:val="20"/>
          <w:color w:val="auto"/>
        </w:rPr>
        <w:t>” means the forward-looking term rate for any period that is approximately (as determined by the Administrative Agent) as long as any of the Interest Period options set forth in the definition of “Interest Period” and that is based on SOFR and that has been selected or recommended by the Relevant Governmental Body, in each case as published on an information service as selected by the Administrative Agent from time to time in its reasonable discretion.</w:t>
      </w:r>
    </w:p>
    <w:p>
      <w:pPr>
        <w:spacing w:after="0" w:line="191"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Credit Exposure</w:t>
      </w:r>
      <w:r>
        <w:rPr>
          <w:rFonts w:ascii="Arial" w:cs="Arial" w:eastAsia="Arial" w:hAnsi="Arial"/>
          <w:sz w:val="20"/>
          <w:szCs w:val="20"/>
          <w:color w:val="auto"/>
        </w:rPr>
        <w:t>” means, as to any Lender at any time, the unused Commitments (if any) of, and the aggregate outstanding principal amount of Loans held by, such Lender at such time.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means, with respect to a Loan, its character as a Base Rate Loan or a Eurodollar Rate Loan.</w:t>
      </w:r>
    </w:p>
    <w:p>
      <w:pPr>
        <w:spacing w:after="0" w:line="216"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 Financial Institution</w:t>
      </w:r>
      <w:r>
        <w:rPr>
          <w:rFonts w:ascii="Arial" w:cs="Arial" w:eastAsia="Arial" w:hAnsi="Arial"/>
          <w:sz w:val="19"/>
          <w:szCs w:val="19"/>
          <w:color w:val="auto"/>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Resolution Authority</w:t>
      </w:r>
      <w:r>
        <w:rPr>
          <w:rFonts w:ascii="Arial" w:cs="Arial" w:eastAsia="Arial" w:hAnsi="Arial"/>
          <w:sz w:val="20"/>
          <w:szCs w:val="20"/>
          <w:color w:val="auto"/>
        </w:rPr>
        <w:t>” means the Bank of England or any other public administrative authority having responsibility for the resolution of any UK Financial Institution.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0" w:name="page31"/>
    <w:bookmarkEnd w:id="30"/>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Unfunded Pension Liability</w:t>
      </w:r>
      <w:r>
        <w:rPr>
          <w:rFonts w:ascii="Arial" w:cs="Arial" w:eastAsia="Arial" w:hAnsi="Arial"/>
          <w:sz w:val="20"/>
          <w:szCs w:val="20"/>
          <w:color w:val="auto"/>
        </w:rPr>
        <w:t>” means the excess of a Pension Plan’s benefit liabilities under Section 4001(a)(16) of ERISA, over the current value of that Pension Plan’s assets, determined in accordance with the assumptions used for funding the Pension Plan pursuant to Section 412 of the Code for the applicable plan year.</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and “</w:t>
      </w:r>
      <w:r>
        <w:rPr>
          <w:rFonts w:ascii="Arial" w:cs="Arial" w:eastAsia="Arial" w:hAnsi="Arial"/>
          <w:sz w:val="20"/>
          <w:szCs w:val="20"/>
          <w:u w:val="single" w:color="auto"/>
          <w:color w:val="auto"/>
        </w:rPr>
        <w:t>U.S.</w:t>
      </w:r>
      <w:r>
        <w:rPr>
          <w:rFonts w:ascii="Arial" w:cs="Arial" w:eastAsia="Arial" w:hAnsi="Arial"/>
          <w:sz w:val="20"/>
          <w:szCs w:val="20"/>
          <w:color w:val="auto"/>
        </w:rPr>
        <w:t>” mean the United States of America.</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Person</w:t>
      </w:r>
      <w:r>
        <w:rPr>
          <w:rFonts w:ascii="Arial" w:cs="Arial" w:eastAsia="Arial" w:hAnsi="Arial"/>
          <w:sz w:val="20"/>
          <w:szCs w:val="20"/>
          <w:color w:val="auto"/>
        </w:rPr>
        <w:t>” means any Person that is a “United States Person” as defined in Section 7701(a)(30) of the Code.</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3.01(e)(ii)(B)(III)</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Wholly-Owned Subsidiary</w:t>
      </w:r>
      <w:r>
        <w:rPr>
          <w:rFonts w:ascii="Arial" w:cs="Arial" w:eastAsia="Arial" w:hAnsi="Arial"/>
          <w:sz w:val="20"/>
          <w:szCs w:val="20"/>
          <w:color w:val="auto"/>
        </w:rPr>
        <w:t>” means any corporation, limited liability company, partnership or other business association or entity organized under the laws of the United States or other country in which the Borrower or any of its Subsidiaries conducts business in which (other than directors’ qualifying shares required by law) 100% of the capital stock, membership interests, partnership interests or other equity interests, as applicable, of each class having ordinary voting power, and 100% of the capital stock, membership interests, partnership interests or other equity interests, as applicable, of every other class, in each case, at the time as of which any determination is being made, is owned, beneficially and of record, by (i) the Borrower or one or more Wholly-Owned Subsidiaries, or both, and (ii) directly or indirectly by the Borrower.</w:t>
      </w:r>
    </w:p>
    <w:p>
      <w:pPr>
        <w:spacing w:after="0" w:line="193"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4" w:lineRule="exact"/>
        <w:rPr>
          <w:sz w:val="20"/>
          <w:szCs w:val="20"/>
          <w:color w:val="auto"/>
        </w:rPr>
      </w:pPr>
    </w:p>
    <w:p>
      <w:pPr>
        <w:jc w:val="both"/>
        <w:ind w:right="20" w:firstLine="864"/>
        <w:spacing w:after="0" w:line="267" w:lineRule="auto"/>
        <w:rPr>
          <w:sz w:val="20"/>
          <w:szCs w:val="20"/>
          <w:color w:val="auto"/>
        </w:rPr>
      </w:pPr>
      <w:r>
        <w:rPr>
          <w:rFonts w:ascii="Arial" w:cs="Arial" w:eastAsia="Arial" w:hAnsi="Arial"/>
          <w:sz w:val="20"/>
          <w:szCs w:val="20"/>
          <w:b w:val="1"/>
          <w:bCs w:val="1"/>
          <w:color w:val="auto"/>
        </w:rPr>
        <w:t xml:space="preserve">1.02 Other Interpretive Provisions. </w:t>
      </w:r>
      <w:r>
        <w:rPr>
          <w:rFonts w:ascii="Arial" w:cs="Arial" w:eastAsia="Arial" w:hAnsi="Arial"/>
          <w:sz w:val="20"/>
          <w:szCs w:val="20"/>
          <w:color w:val="auto"/>
        </w:rPr>
        <w:t>With reference to this Agreement and each other Loan Document, unless otherwise</w:t>
      </w:r>
      <w:r>
        <w:rPr>
          <w:rFonts w:ascii="Arial" w:cs="Arial" w:eastAsia="Arial" w:hAnsi="Arial"/>
          <w:sz w:val="20"/>
          <w:szCs w:val="20"/>
          <w:b w:val="1"/>
          <w:bCs w:val="1"/>
          <w:color w:val="auto"/>
        </w:rPr>
        <w:t xml:space="preserve"> </w:t>
      </w:r>
      <w:r>
        <w:rPr>
          <w:rFonts w:ascii="Arial" w:cs="Arial" w:eastAsia="Arial" w:hAnsi="Arial"/>
          <w:sz w:val="20"/>
          <w:szCs w:val="20"/>
          <w:color w:val="auto"/>
        </w:rPr>
        <w:t>specified herein or in such other Loan Document:</w:t>
      </w:r>
    </w:p>
    <w:p>
      <w:pPr>
        <w:spacing w:after="0" w:line="169" w:lineRule="exact"/>
        <w:rPr>
          <w:sz w:val="20"/>
          <w:szCs w:val="20"/>
          <w:color w:val="auto"/>
        </w:rPr>
      </w:pPr>
    </w:p>
    <w:p>
      <w:pPr>
        <w:jc w:val="both"/>
        <w:ind w:left="880" w:firstLine="789"/>
        <w:spacing w:after="0" w:line="255" w:lineRule="auto"/>
        <w:tabs>
          <w:tab w:leader="none" w:pos="2766"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9"/>
          <w:szCs w:val="19"/>
          <w:u w:val="single" w:color="auto"/>
          <w:color w:val="auto"/>
        </w:rPr>
        <w:t>include</w:t>
      </w:r>
      <w:r>
        <w:rPr>
          <w:rFonts w:ascii="Arial" w:cs="Arial" w:eastAsia="Arial" w:hAnsi="Arial"/>
          <w:sz w:val="19"/>
          <w:szCs w:val="19"/>
          <w:color w:val="auto"/>
        </w:rPr>
        <w:t>,” “</w:t>
      </w:r>
      <w:r>
        <w:rPr>
          <w:rFonts w:ascii="Arial" w:cs="Arial" w:eastAsia="Arial" w:hAnsi="Arial"/>
          <w:sz w:val="19"/>
          <w:szCs w:val="19"/>
          <w:u w:val="single" w:color="auto"/>
          <w:color w:val="auto"/>
        </w:rPr>
        <w:t>includes</w:t>
      </w:r>
      <w:r>
        <w:rPr>
          <w:rFonts w:ascii="Arial" w:cs="Arial" w:eastAsia="Arial" w:hAnsi="Arial"/>
          <w:sz w:val="19"/>
          <w:szCs w:val="19"/>
          <w:color w:val="auto"/>
        </w:rPr>
        <w:t>” and “</w:t>
      </w:r>
      <w:r>
        <w:rPr>
          <w:rFonts w:ascii="Arial" w:cs="Arial" w:eastAsia="Arial" w:hAnsi="Arial"/>
          <w:sz w:val="19"/>
          <w:szCs w:val="19"/>
          <w:u w:val="single" w:color="auto"/>
          <w:color w:val="auto"/>
        </w:rPr>
        <w:t>including</w:t>
      </w:r>
      <w:r>
        <w:rPr>
          <w:rFonts w:ascii="Arial" w:cs="Arial" w:eastAsia="Arial" w:hAnsi="Arial"/>
          <w:sz w:val="19"/>
          <w:szCs w:val="19"/>
          <w:color w:val="auto"/>
        </w:rPr>
        <w:t>” shall be deemed to be followed by the phrase “without limitation.” The word “</w:t>
      </w:r>
      <w:r>
        <w:rPr>
          <w:rFonts w:ascii="Arial" w:cs="Arial" w:eastAsia="Arial" w:hAnsi="Arial"/>
          <w:sz w:val="19"/>
          <w:szCs w:val="19"/>
          <w:u w:val="single" w:color="auto"/>
          <w:color w:val="auto"/>
        </w:rPr>
        <w:t>will</w:t>
      </w:r>
      <w:r>
        <w:rPr>
          <w:rFonts w:ascii="Arial" w:cs="Arial" w:eastAsia="Arial" w:hAnsi="Arial"/>
          <w:sz w:val="19"/>
          <w:szCs w:val="19"/>
          <w:color w:val="auto"/>
        </w:rPr>
        <w:t>” shall be construed to have the same meaning and effect as the word “</w:t>
      </w:r>
      <w:r>
        <w:rPr>
          <w:rFonts w:ascii="Arial" w:cs="Arial" w:eastAsia="Arial" w:hAnsi="Arial"/>
          <w:sz w:val="19"/>
          <w:szCs w:val="19"/>
          <w:u w:val="single" w:color="auto"/>
          <w:color w:val="auto"/>
        </w:rPr>
        <w:t>shall</w:t>
      </w:r>
      <w:r>
        <w:rPr>
          <w:rFonts w:ascii="Arial" w:cs="Arial" w:eastAsia="Arial" w:hAnsi="Arial"/>
          <w:sz w:val="19"/>
          <w:szCs w:val="19"/>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Arial" w:cs="Arial" w:eastAsia="Arial" w:hAnsi="Arial"/>
          <w:sz w:val="19"/>
          <w:szCs w:val="19"/>
          <w:u w:val="single" w:color="auto"/>
          <w:color w:val="auto"/>
        </w:rPr>
        <w:t>hereto</w:t>
      </w:r>
      <w:r>
        <w:rPr>
          <w:rFonts w:ascii="Arial" w:cs="Arial" w:eastAsia="Arial" w:hAnsi="Arial"/>
          <w:sz w:val="19"/>
          <w:szCs w:val="19"/>
          <w:color w:val="auto"/>
        </w:rPr>
        <w:t>,” “</w:t>
      </w:r>
      <w:r>
        <w:rPr>
          <w:rFonts w:ascii="Arial" w:cs="Arial" w:eastAsia="Arial" w:hAnsi="Arial"/>
          <w:sz w:val="19"/>
          <w:szCs w:val="19"/>
          <w:u w:val="single" w:color="auto"/>
          <w:color w:val="auto"/>
        </w:rPr>
        <w:t>herein</w:t>
      </w:r>
      <w:r>
        <w:rPr>
          <w:rFonts w:ascii="Arial" w:cs="Arial" w:eastAsia="Arial" w:hAnsi="Arial"/>
          <w:sz w:val="19"/>
          <w:szCs w:val="19"/>
          <w:color w:val="auto"/>
        </w:rPr>
        <w:t>,” “</w:t>
      </w:r>
      <w:r>
        <w:rPr>
          <w:rFonts w:ascii="Arial" w:cs="Arial" w:eastAsia="Arial" w:hAnsi="Arial"/>
          <w:sz w:val="19"/>
          <w:szCs w:val="19"/>
          <w:u w:val="single" w:color="auto"/>
          <w:color w:val="auto"/>
        </w:rPr>
        <w:t>hereof</w:t>
      </w:r>
      <w:r>
        <w:rPr>
          <w:rFonts w:ascii="Arial" w:cs="Arial" w:eastAsia="Arial" w:hAnsi="Arial"/>
          <w:sz w:val="19"/>
          <w:szCs w:val="19"/>
          <w:color w:val="auto"/>
        </w:rPr>
        <w:t>” and “</w:t>
      </w:r>
      <w:r>
        <w:rPr>
          <w:rFonts w:ascii="Arial" w:cs="Arial" w:eastAsia="Arial" w:hAnsi="Arial"/>
          <w:sz w:val="19"/>
          <w:szCs w:val="19"/>
          <w:u w:val="single" w:color="auto"/>
          <w:color w:val="auto"/>
        </w:rPr>
        <w:t>hereunder</w:t>
      </w:r>
      <w:r>
        <w:rPr>
          <w:rFonts w:ascii="Arial" w:cs="Arial" w:eastAsia="Arial" w:hAnsi="Arial"/>
          <w:sz w:val="19"/>
          <w:szCs w:val="19"/>
          <w:color w:val="auto"/>
        </w:rPr>
        <w:t>,” and words of similar import when used in any Loan Document, shall be construed to refer to such Loan Document in its entirety and not to any particular provision thereof, (iv) all references in a Loan Document to Articles, Sections, Annexes, Exhibits and Schedules shall be construed to refer to Articles and Sections of, and Annexes, Exhibits and Schedules to, the Loan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1" w:name="page32"/>
    <w:bookmarkEnd w:id="31"/>
    <w:p>
      <w:pPr>
        <w:jc w:val="both"/>
        <w:ind w:left="880"/>
        <w:spacing w:after="0" w:line="244" w:lineRule="auto"/>
        <w:rPr>
          <w:sz w:val="20"/>
          <w:szCs w:val="20"/>
          <w:color w:val="auto"/>
        </w:rPr>
      </w:pPr>
      <w:r>
        <w:rPr>
          <w:rFonts w:ascii="Arial" w:cs="Arial" w:eastAsia="Arial" w:hAnsi="Arial"/>
          <w:sz w:val="20"/>
          <w:szCs w:val="20"/>
          <w:color w:val="auto"/>
        </w:rPr>
        <w:t>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Arial" w:cs="Arial" w:eastAsia="Arial" w:hAnsi="Arial"/>
          <w:sz w:val="20"/>
          <w:szCs w:val="20"/>
          <w:u w:val="single" w:color="auto"/>
          <w:color w:val="auto"/>
        </w:rPr>
        <w:t>asset</w:t>
      </w:r>
      <w:r>
        <w:rPr>
          <w:rFonts w:ascii="Arial" w:cs="Arial" w:eastAsia="Arial" w:hAnsi="Arial"/>
          <w:sz w:val="20"/>
          <w:szCs w:val="20"/>
          <w:color w:val="auto"/>
        </w:rPr>
        <w:t>” and “</w:t>
      </w:r>
      <w:r>
        <w:rPr>
          <w:rFonts w:ascii="Arial" w:cs="Arial" w:eastAsia="Arial" w:hAnsi="Arial"/>
          <w:sz w:val="20"/>
          <w:szCs w:val="20"/>
          <w:u w:val="single" w:color="auto"/>
          <w:color w:val="auto"/>
        </w:rPr>
        <w:t>property</w:t>
      </w:r>
      <w:r>
        <w:rPr>
          <w:rFonts w:ascii="Arial" w:cs="Arial" w:eastAsia="Arial" w:hAnsi="Arial"/>
          <w:sz w:val="20"/>
          <w:szCs w:val="20"/>
          <w:color w:val="auto"/>
        </w:rPr>
        <w:t>” shall be construed to have the same meaning and effect and to refer to any and all tangible and intangible assets and properties, including cash, securities, accounts and contract rights.</w:t>
      </w:r>
    </w:p>
    <w:p>
      <w:pPr>
        <w:spacing w:after="0" w:line="194" w:lineRule="exact"/>
        <w:rPr>
          <w:sz w:val="20"/>
          <w:szCs w:val="20"/>
          <w:color w:val="auto"/>
        </w:rPr>
      </w:pPr>
    </w:p>
    <w:p>
      <w:pPr>
        <w:jc w:val="both"/>
        <w:ind w:left="880" w:firstLine="789"/>
        <w:spacing w:after="0" w:line="250" w:lineRule="auto"/>
        <w:tabs>
          <w:tab w:leader="none" w:pos="2428" w:val="left"/>
        </w:tabs>
        <w:numPr>
          <w:ilvl w:val="0"/>
          <w:numId w:val="17"/>
        </w:numPr>
        <w:rPr>
          <w:rFonts w:ascii="Arial" w:cs="Arial" w:eastAsia="Arial" w:hAnsi="Arial"/>
          <w:sz w:val="20"/>
          <w:szCs w:val="20"/>
          <w:color w:val="auto"/>
        </w:rPr>
      </w:pPr>
      <w:r>
        <w:rPr>
          <w:rFonts w:ascii="Arial" w:cs="Arial" w:eastAsia="Arial" w:hAnsi="Arial"/>
          <w:sz w:val="20"/>
          <w:szCs w:val="20"/>
          <w:color w:val="auto"/>
        </w:rPr>
        <w:t>In the computation of periods of time from a specified date to a later specified date, the word “</w:t>
      </w:r>
      <w:r>
        <w:rPr>
          <w:rFonts w:ascii="Arial" w:cs="Arial" w:eastAsia="Arial" w:hAnsi="Arial"/>
          <w:sz w:val="20"/>
          <w:szCs w:val="20"/>
          <w:u w:val="single" w:color="auto"/>
          <w:color w:val="auto"/>
        </w:rPr>
        <w:t>from</w:t>
      </w:r>
      <w:r>
        <w:rPr>
          <w:rFonts w:ascii="Arial" w:cs="Arial" w:eastAsia="Arial" w:hAnsi="Arial"/>
          <w:sz w:val="20"/>
          <w:szCs w:val="20"/>
          <w:color w:val="auto"/>
        </w:rPr>
        <w:t>” means “</w:t>
      </w:r>
      <w:r>
        <w:rPr>
          <w:rFonts w:ascii="Arial" w:cs="Arial" w:eastAsia="Arial" w:hAnsi="Arial"/>
          <w:sz w:val="20"/>
          <w:szCs w:val="20"/>
          <w:u w:val="single" w:color="auto"/>
          <w:color w:val="auto"/>
        </w:rPr>
        <w:t>from and including</w:t>
      </w:r>
      <w:r>
        <w:rPr>
          <w:rFonts w:ascii="Arial" w:cs="Arial" w:eastAsia="Arial" w:hAnsi="Arial"/>
          <w:sz w:val="20"/>
          <w:szCs w:val="20"/>
          <w:color w:val="auto"/>
        </w:rPr>
        <w:t>;” the words “</w:t>
      </w:r>
      <w:r>
        <w:rPr>
          <w:rFonts w:ascii="Arial" w:cs="Arial" w:eastAsia="Arial" w:hAnsi="Arial"/>
          <w:sz w:val="20"/>
          <w:szCs w:val="20"/>
          <w:u w:val="single" w:color="auto"/>
          <w:color w:val="auto"/>
        </w:rPr>
        <w:t>to</w:t>
      </w:r>
      <w:r>
        <w:rPr>
          <w:rFonts w:ascii="Arial" w:cs="Arial" w:eastAsia="Arial" w:hAnsi="Arial"/>
          <w:sz w:val="20"/>
          <w:szCs w:val="20"/>
          <w:color w:val="auto"/>
        </w:rPr>
        <w:t>” and “</w:t>
      </w:r>
      <w:r>
        <w:rPr>
          <w:rFonts w:ascii="Arial" w:cs="Arial" w:eastAsia="Arial" w:hAnsi="Arial"/>
          <w:sz w:val="20"/>
          <w:szCs w:val="20"/>
          <w:u w:val="single" w:color="auto"/>
          <w:color w:val="auto"/>
        </w:rPr>
        <w:t>until</w:t>
      </w:r>
      <w:r>
        <w:rPr>
          <w:rFonts w:ascii="Arial" w:cs="Arial" w:eastAsia="Arial" w:hAnsi="Arial"/>
          <w:sz w:val="20"/>
          <w:szCs w:val="20"/>
          <w:color w:val="auto"/>
        </w:rPr>
        <w:t>” each mean “</w:t>
      </w:r>
      <w:r>
        <w:rPr>
          <w:rFonts w:ascii="Arial" w:cs="Arial" w:eastAsia="Arial" w:hAnsi="Arial"/>
          <w:sz w:val="20"/>
          <w:szCs w:val="20"/>
          <w:u w:val="single" w:color="auto"/>
          <w:color w:val="auto"/>
        </w:rPr>
        <w:t>to but excluding</w:t>
      </w:r>
      <w:r>
        <w:rPr>
          <w:rFonts w:ascii="Arial" w:cs="Arial" w:eastAsia="Arial" w:hAnsi="Arial"/>
          <w:sz w:val="20"/>
          <w:szCs w:val="20"/>
          <w:color w:val="auto"/>
        </w:rPr>
        <w:t>;” and the word “</w:t>
      </w:r>
      <w:r>
        <w:rPr>
          <w:rFonts w:ascii="Arial" w:cs="Arial" w:eastAsia="Arial" w:hAnsi="Arial"/>
          <w:sz w:val="20"/>
          <w:szCs w:val="20"/>
          <w:u w:val="single" w:color="auto"/>
          <w:color w:val="auto"/>
        </w:rPr>
        <w:t>through</w:t>
      </w:r>
      <w:r>
        <w:rPr>
          <w:rFonts w:ascii="Arial" w:cs="Arial" w:eastAsia="Arial" w:hAnsi="Arial"/>
          <w:sz w:val="20"/>
          <w:szCs w:val="20"/>
          <w:color w:val="auto"/>
        </w:rPr>
        <w:t>” means “</w:t>
      </w:r>
      <w:r>
        <w:rPr>
          <w:rFonts w:ascii="Arial" w:cs="Arial" w:eastAsia="Arial" w:hAnsi="Arial"/>
          <w:sz w:val="20"/>
          <w:szCs w:val="20"/>
          <w:u w:val="single" w:color="auto"/>
          <w:color w:val="auto"/>
        </w:rPr>
        <w:t>to and</w:t>
      </w:r>
      <w:r>
        <w:rPr>
          <w:rFonts w:ascii="Arial" w:cs="Arial" w:eastAsia="Arial" w:hAnsi="Arial"/>
          <w:sz w:val="20"/>
          <w:szCs w:val="20"/>
          <w:color w:val="auto"/>
        </w:rPr>
        <w:t xml:space="preserve"> </w:t>
      </w:r>
      <w:r>
        <w:rPr>
          <w:rFonts w:ascii="Arial" w:cs="Arial" w:eastAsia="Arial" w:hAnsi="Arial"/>
          <w:sz w:val="20"/>
          <w:szCs w:val="20"/>
          <w:u w:val="single" w:color="auto"/>
          <w:color w:val="auto"/>
        </w:rPr>
        <w:t>including</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ind w:left="880" w:firstLine="789"/>
        <w:spacing w:after="0" w:line="260" w:lineRule="auto"/>
        <w:tabs>
          <w:tab w:leader="none" w:pos="2391" w:val="left"/>
        </w:tabs>
        <w:numPr>
          <w:ilvl w:val="0"/>
          <w:numId w:val="17"/>
        </w:numPr>
        <w:rPr>
          <w:rFonts w:ascii="Arial" w:cs="Arial" w:eastAsia="Arial" w:hAnsi="Arial"/>
          <w:sz w:val="20"/>
          <w:szCs w:val="20"/>
          <w:color w:val="auto"/>
        </w:rPr>
      </w:pPr>
      <w:r>
        <w:rPr>
          <w:rFonts w:ascii="Arial" w:cs="Arial" w:eastAsia="Arial" w:hAnsi="Arial"/>
          <w:sz w:val="20"/>
          <w:szCs w:val="20"/>
          <w:color w:val="auto"/>
        </w:rPr>
        <w:t>Section headings herein and in the other Loan Documents are included for convenience of reference only and shall not affect the interpretation of this Agreement or any other Loan Document.</w:t>
      </w:r>
    </w:p>
    <w:p>
      <w:pPr>
        <w:spacing w:after="0" w:line="176" w:lineRule="exact"/>
        <w:rPr>
          <w:rFonts w:ascii="Arial" w:cs="Arial" w:eastAsia="Arial" w:hAnsi="Arial"/>
          <w:sz w:val="20"/>
          <w:szCs w:val="20"/>
          <w:color w:val="auto"/>
        </w:rPr>
      </w:pPr>
    </w:p>
    <w:p>
      <w:pPr>
        <w:jc w:val="both"/>
        <w:ind w:left="880" w:firstLine="789"/>
        <w:spacing w:after="0" w:line="276" w:lineRule="auto"/>
        <w:tabs>
          <w:tab w:leader="none" w:pos="2473"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reference herein to a merger,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59"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8"/>
          <w:szCs w:val="18"/>
          <w:b w:val="1"/>
          <w:bCs w:val="1"/>
          <w:color w:val="auto"/>
        </w:rPr>
        <w:t xml:space="preserve">1.03 Accounting Terms. </w:t>
      </w:r>
      <w:r>
        <w:rPr>
          <w:rFonts w:ascii="Arial" w:cs="Arial" w:eastAsia="Arial" w:hAnsi="Arial"/>
          <w:sz w:val="18"/>
          <w:szCs w:val="18"/>
          <w:color w:val="auto"/>
        </w:rPr>
        <w:t>(a)</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Generally</w:t>
      </w:r>
      <w:r>
        <w:rPr>
          <w:rFonts w:ascii="Arial" w:cs="Arial" w:eastAsia="Arial" w:hAnsi="Arial"/>
          <w:sz w:val="18"/>
          <w:szCs w:val="18"/>
          <w:color w:val="auto"/>
        </w:rPr>
        <w:t>. All accounting terms not specifically or completely defined herein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as otherwise specifically prescribed herein.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on financial liabilities shall be disregarded.</w:t>
      </w:r>
    </w:p>
    <w:p>
      <w:pPr>
        <w:spacing w:after="0" w:line="168" w:lineRule="exact"/>
        <w:rPr>
          <w:sz w:val="20"/>
          <w:szCs w:val="20"/>
          <w:color w:val="auto"/>
        </w:rPr>
      </w:pPr>
    </w:p>
    <w:p>
      <w:pPr>
        <w:jc w:val="both"/>
        <w:ind w:firstLine="872"/>
        <w:spacing w:after="0" w:line="271" w:lineRule="auto"/>
        <w:tabs>
          <w:tab w:leader="none" w:pos="1742"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Changes in GAAP</w:t>
      </w:r>
      <w:r>
        <w:rPr>
          <w:rFonts w:ascii="Arial" w:cs="Arial" w:eastAsia="Arial" w:hAnsi="Arial"/>
          <w:sz w:val="18"/>
          <w:szCs w:val="18"/>
          <w:color w:val="auto"/>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8"/>
          <w:szCs w:val="18"/>
          <w:u w:val="single" w:color="auto"/>
          <w:color w:val="auto"/>
        </w:rPr>
        <w:t>provided that</w:t>
      </w:r>
      <w:r>
        <w:rPr>
          <w:rFonts w:ascii="Arial" w:cs="Arial" w:eastAsia="Arial" w:hAnsi="Arial"/>
          <w:sz w:val="18"/>
          <w:szCs w:val="18"/>
          <w:color w:val="auto"/>
        </w:rPr>
        <w: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prior to adoption and effectiveness of new accounting standards related to leases for all purposes of this Agreement, notwithstanding any change in GAAP relating thereto, unless the parties hereto shall enter into a mutually acceptable amendment negotiated in good faith addressing such changes, as provided for above.</w:t>
      </w:r>
    </w:p>
    <w:p>
      <w:pPr>
        <w:spacing w:after="0" w:line="169" w:lineRule="exact"/>
        <w:rPr>
          <w:rFonts w:ascii="Arial" w:cs="Arial" w:eastAsia="Arial" w:hAnsi="Arial"/>
          <w:sz w:val="18"/>
          <w:szCs w:val="18"/>
          <w:color w:val="auto"/>
        </w:rPr>
      </w:pPr>
    </w:p>
    <w:p>
      <w:pPr>
        <w:ind w:left="1740" w:hanging="868"/>
        <w:spacing w:after="0"/>
        <w:tabs>
          <w:tab w:leader="none" w:pos="17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References herein to “fiscal year” and “fiscal quarter” refer to such fiscal periods of the Borrower.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2" w:name="page33"/>
    <w:bookmarkEnd w:id="32"/>
    <w:p>
      <w:pPr>
        <w:ind w:left="1760" w:hanging="888"/>
        <w:spacing w:after="0"/>
        <w:tabs>
          <w:tab w:leader="none" w:pos="17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With respect to any Acquisition consummated on or after the Closing Date, the following shall apply:</w:t>
      </w:r>
    </w:p>
    <w:p>
      <w:pPr>
        <w:spacing w:after="0" w:line="215" w:lineRule="exact"/>
        <w:rPr>
          <w:rFonts w:ascii="Arial" w:cs="Arial" w:eastAsia="Arial" w:hAnsi="Arial"/>
          <w:sz w:val="20"/>
          <w:szCs w:val="20"/>
          <w:color w:val="auto"/>
        </w:rPr>
      </w:pPr>
    </w:p>
    <w:p>
      <w:pPr>
        <w:jc w:val="both"/>
        <w:ind w:left="880" w:firstLine="789"/>
        <w:spacing w:after="0" w:line="282" w:lineRule="auto"/>
        <w:tabs>
          <w:tab w:leader="none" w:pos="2512" w:val="left"/>
        </w:tabs>
        <w:numPr>
          <w:ilvl w:val="1"/>
          <w:numId w:val="19"/>
        </w:numPr>
        <w:rPr>
          <w:rFonts w:ascii="Arial" w:cs="Arial" w:eastAsia="Arial" w:hAnsi="Arial"/>
          <w:sz w:val="18"/>
          <w:szCs w:val="18"/>
          <w:color w:val="auto"/>
        </w:rPr>
      </w:pPr>
      <w:r>
        <w:rPr>
          <w:rFonts w:ascii="Arial" w:cs="Arial" w:eastAsia="Arial" w:hAnsi="Arial"/>
          <w:sz w:val="18"/>
          <w:szCs w:val="18"/>
          <w:color w:val="auto"/>
        </w:rPr>
        <w:t>For each period of four fiscal quarters of the Borrower and its Subsidiaries ending next following the date of any Acquisition, Consolidated EBIT shall include the results of operations of the Person or assets so acquired on a historical pro forma basis, and which amounts may include such adjustments as are permitted under Regulation S-X of the Securities and Exchange Commission or FASB ASC 805 and, in each case, reasonably satisfactory to the Administrative Agent;</w:t>
      </w:r>
    </w:p>
    <w:p>
      <w:pPr>
        <w:spacing w:after="0" w:line="161" w:lineRule="exact"/>
        <w:rPr>
          <w:rFonts w:ascii="Arial" w:cs="Arial" w:eastAsia="Arial" w:hAnsi="Arial"/>
          <w:sz w:val="18"/>
          <w:szCs w:val="18"/>
          <w:color w:val="auto"/>
        </w:rPr>
      </w:pPr>
    </w:p>
    <w:p>
      <w:pPr>
        <w:jc w:val="both"/>
        <w:ind w:left="880" w:firstLine="789"/>
        <w:spacing w:after="0" w:line="271" w:lineRule="auto"/>
        <w:tabs>
          <w:tab w:leader="none" w:pos="2567"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For each period of four fiscal quarters of the Borrower and its Subsidiaries ending next following the date of each Acquisition, Consolidated Interest Charges shall include the results of operations of the Person or assets so acquired, which amounts shall be determined on a historical pro forma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Consolidated Interest Charges shall be adjusted on a historical pro forma basis to (A) eliminate interest expense accrued during such period on any Indebtedness repaid in connection with such Acquisition and (B) include interest expense on any Indebtedness (including Indebtedness hereunder) incurred, acquired or assumed in connection with such Acquisition (“</w:t>
      </w:r>
      <w:r>
        <w:rPr>
          <w:rFonts w:ascii="Arial" w:cs="Arial" w:eastAsia="Arial" w:hAnsi="Arial"/>
          <w:sz w:val="18"/>
          <w:szCs w:val="18"/>
          <w:u w:val="single" w:color="auto"/>
          <w:color w:val="auto"/>
        </w:rPr>
        <w:t>Incremental Debt</w:t>
      </w:r>
      <w:r>
        <w:rPr>
          <w:rFonts w:ascii="Arial" w:cs="Arial" w:eastAsia="Arial" w:hAnsi="Arial"/>
          <w:sz w:val="18"/>
          <w:szCs w:val="18"/>
          <w:color w:val="auto"/>
        </w:rPr>
        <w:t>”) calculated (I) as if all such Incremental Debt had been incurred as of the first day of such four-quarter period and (II) at the following interest rates: (x) for all periods subsequent to the date of the Acquisition and for Incremental Debt assumed or acquired in the Acquisition and in effect prior to the date of Acquisition, at the actual rates of interest applicable thereto, and (y) for all periods prior to the actual incurrence of such Incremental Debt, equal to the rate of interest actually applicable to such Incremental Debt hereunder or under other financing documents applicable thereto as at the end of each affected period of such four fiscal quarters, as the case may be.</w:t>
      </w:r>
    </w:p>
    <w:p>
      <w:pPr>
        <w:spacing w:after="0" w:line="169" w:lineRule="exact"/>
        <w:rPr>
          <w:rFonts w:ascii="Arial" w:cs="Arial" w:eastAsia="Arial" w:hAnsi="Arial"/>
          <w:sz w:val="18"/>
          <w:szCs w:val="18"/>
          <w:color w:val="auto"/>
        </w:rPr>
      </w:pPr>
    </w:p>
    <w:p>
      <w:pPr>
        <w:ind w:left="1740" w:hanging="868"/>
        <w:spacing w:after="0"/>
        <w:tabs>
          <w:tab w:leader="none" w:pos="17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With respect to any Material Disposition consummated on or after the Closing Date:</w:t>
      </w:r>
    </w:p>
    <w:p>
      <w:pPr>
        <w:spacing w:after="0" w:line="215" w:lineRule="exact"/>
        <w:rPr>
          <w:rFonts w:ascii="Arial" w:cs="Arial" w:eastAsia="Arial" w:hAnsi="Arial"/>
          <w:sz w:val="20"/>
          <w:szCs w:val="20"/>
          <w:color w:val="auto"/>
        </w:rPr>
      </w:pPr>
    </w:p>
    <w:p>
      <w:pPr>
        <w:jc w:val="both"/>
        <w:ind w:left="880" w:firstLine="789"/>
        <w:spacing w:after="0" w:line="263" w:lineRule="auto"/>
        <w:tabs>
          <w:tab w:leader="none" w:pos="2512" w:val="left"/>
        </w:tabs>
        <w:numPr>
          <w:ilvl w:val="1"/>
          <w:numId w:val="19"/>
        </w:numPr>
        <w:rPr>
          <w:rFonts w:ascii="Arial" w:cs="Arial" w:eastAsia="Arial" w:hAnsi="Arial"/>
          <w:sz w:val="19"/>
          <w:szCs w:val="19"/>
          <w:color w:val="auto"/>
        </w:rPr>
      </w:pPr>
      <w:r>
        <w:rPr>
          <w:rFonts w:ascii="Arial" w:cs="Arial" w:eastAsia="Arial" w:hAnsi="Arial"/>
          <w:sz w:val="19"/>
          <w:szCs w:val="19"/>
          <w:color w:val="auto"/>
        </w:rPr>
        <w:t>For each period of four fiscal quarters of the Borrower and its Subsidiaries ending next following the date of such Material Disposition, Consolidated EBIT for such period shall be either (A) reduced by an amount equal to the Consolidated EBIT (if positive) attributable to the property that is the subject of such Material Disposition for such period or (B) increased by an amount equal to the Consolidated EBIT (if negative) attributable to such property for such period.</w:t>
      </w:r>
    </w:p>
    <w:p>
      <w:pPr>
        <w:spacing w:after="0" w:line="176" w:lineRule="exact"/>
        <w:rPr>
          <w:rFonts w:ascii="Arial" w:cs="Arial" w:eastAsia="Arial" w:hAnsi="Arial"/>
          <w:sz w:val="19"/>
          <w:szCs w:val="19"/>
          <w:color w:val="auto"/>
        </w:rPr>
      </w:pPr>
    </w:p>
    <w:p>
      <w:pPr>
        <w:jc w:val="both"/>
        <w:ind w:left="880" w:firstLine="789"/>
        <w:spacing w:after="0" w:line="260" w:lineRule="auto"/>
        <w:tabs>
          <w:tab w:leader="none" w:pos="2567" w:val="left"/>
        </w:tabs>
        <w:numPr>
          <w:ilvl w:val="1"/>
          <w:numId w:val="19"/>
        </w:numPr>
        <w:rPr>
          <w:rFonts w:ascii="Arial" w:cs="Arial" w:eastAsia="Arial" w:hAnsi="Arial"/>
          <w:sz w:val="19"/>
          <w:szCs w:val="19"/>
          <w:color w:val="auto"/>
        </w:rPr>
      </w:pPr>
      <w:r>
        <w:rPr>
          <w:rFonts w:ascii="Arial" w:cs="Arial" w:eastAsia="Arial" w:hAnsi="Arial"/>
          <w:sz w:val="19"/>
          <w:szCs w:val="19"/>
          <w:color w:val="auto"/>
        </w:rPr>
        <w:t>For each period of four fiscal quarters of the Borrower and its Subsidiaries ending next following the date of such Material Disposition, Consolidated Interest Charges shall be reduced by an amount equal to the Consolidated Interest Charges incurred by the Borrower or Subsidiary in connection with Indebtedness which is either (x) repaid with the proceeds received by the Borrower or Subsidiary in connection with such Material Disposition or (y) assigned or transferred to, and assumed by, the Person to whom the Material Disposition is made by the Borrower or Subsidiary.</w:t>
      </w:r>
    </w:p>
    <w:p>
      <w:pPr>
        <w:spacing w:after="0" w:line="18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For the purposes of this paragraph, “</w:t>
      </w:r>
      <w:r>
        <w:rPr>
          <w:rFonts w:ascii="Arial" w:cs="Arial" w:eastAsia="Arial" w:hAnsi="Arial"/>
          <w:sz w:val="18"/>
          <w:szCs w:val="18"/>
          <w:u w:val="single" w:color="auto"/>
          <w:color w:val="auto"/>
        </w:rPr>
        <w:t>Material Disposition</w:t>
      </w:r>
      <w:r>
        <w:rPr>
          <w:rFonts w:ascii="Arial" w:cs="Arial" w:eastAsia="Arial" w:hAnsi="Arial"/>
          <w:sz w:val="18"/>
          <w:szCs w:val="18"/>
          <w:color w:val="auto"/>
        </w:rPr>
        <w:t>” means any Disposition, or series of related Dispositions, by the Borrower and its Subsidiaries of real or personal property that has a gross book value, as determined in accordance with GAAP, equal to or greater than 10% of consolidated total assets of the Borrower and its Subsidiaries determined as of the last day of the immediately preceding fiscal quarter of the Borrower, and “Disposition” means the sale, transfer, license or other disposition (including any sale and leaseback transaction) of any property by any Person, other than pursuant to or in connection with a Receivables Purchase Facility.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3" w:name="page34"/>
    <w:bookmarkEnd w:id="33"/>
    <w:p>
      <w:pPr>
        <w:jc w:val="both"/>
        <w:ind w:firstLine="872"/>
        <w:spacing w:after="0" w:line="263" w:lineRule="auto"/>
        <w:tabs>
          <w:tab w:leader="none" w:pos="1709"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Consolidation of Variable Interest Entities</w:t>
      </w:r>
      <w:r>
        <w:rPr>
          <w:rFonts w:ascii="Arial" w:cs="Arial" w:eastAsia="Arial" w:hAnsi="Arial"/>
          <w:sz w:val="19"/>
          <w:szCs w:val="19"/>
          <w:color w:val="auto"/>
        </w:rPr>
        <w:t>. All references herein to consolidated financial statements of the Borrower and its Subsidiaries or to the determination of any amount for the Borrower and its Subsidiaries on a consolidated basis or any similar reference shall, in each case, be deemed to include each variable interest entity that the Borrower or a Subsidiary is required to consolidate pursuant to FASB ASC 810 as if such variable interest entity were a Subsidiary as defined herein.</w:t>
      </w:r>
    </w:p>
    <w:p>
      <w:pPr>
        <w:spacing w:after="0" w:line="170"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 xml:space="preserve">1.04 Times of Day. </w:t>
      </w:r>
      <w:r>
        <w:rPr>
          <w:rFonts w:ascii="Arial" w:cs="Arial" w:eastAsia="Arial" w:hAnsi="Arial"/>
          <w:sz w:val="20"/>
          <w:szCs w:val="20"/>
          <w:color w:val="auto"/>
        </w:rPr>
        <w:t>Unless otherwise specified, all references herein to times of day shall be references to Central time</w:t>
      </w:r>
      <w:r>
        <w:rPr>
          <w:rFonts w:ascii="Arial" w:cs="Arial" w:eastAsia="Arial" w:hAnsi="Arial"/>
          <w:sz w:val="20"/>
          <w:szCs w:val="20"/>
          <w:b w:val="1"/>
          <w:bCs w:val="1"/>
          <w:color w:val="auto"/>
        </w:rPr>
        <w:t xml:space="preserve"> </w:t>
      </w:r>
      <w:r>
        <w:rPr>
          <w:rFonts w:ascii="Arial" w:cs="Arial" w:eastAsia="Arial" w:hAnsi="Arial"/>
          <w:sz w:val="20"/>
          <w:szCs w:val="20"/>
          <w:color w:val="auto"/>
        </w:rPr>
        <w:t>(daylight or standard, as applicable).</w:t>
      </w:r>
    </w:p>
    <w:p>
      <w:pPr>
        <w:spacing w:after="0" w:line="163"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b w:val="1"/>
          <w:bCs w:val="1"/>
          <w:color w:val="auto"/>
        </w:rPr>
        <w:t xml:space="preserve">1.05 Rounding. </w:t>
      </w:r>
      <w:r>
        <w:rPr>
          <w:rFonts w:ascii="Arial" w:cs="Arial" w:eastAsia="Arial" w:hAnsi="Arial"/>
          <w:sz w:val="20"/>
          <w:szCs w:val="20"/>
          <w:color w:val="auto"/>
        </w:rPr>
        <w:t>Any financial ratios required to be maintained by the Borrower pursuant to this Agreement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83"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8"/>
          <w:szCs w:val="18"/>
          <w:b w:val="1"/>
          <w:bCs w:val="1"/>
          <w:color w:val="auto"/>
        </w:rPr>
        <w:t xml:space="preserve">1.06 Interest Rates. </w:t>
      </w:r>
      <w:r>
        <w:rPr>
          <w:rFonts w:ascii="Arial" w:cs="Arial" w:eastAsia="Arial" w:hAnsi="Arial"/>
          <w:sz w:val="18"/>
          <w:szCs w:val="18"/>
          <w:color w:val="auto"/>
        </w:rPr>
        <w:t>The Administrative Agent does not warrant, nor accept responsibility, nor shall the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Agent have any liability with respect to the administration, submission or any other matter related to the rates in the definition of “Eurodollar Rate” or with respect to any rate that is an alternative or replacement for or successor to any of such rate (including, without limitation, any LIBOR Successor Rate) or the effect of any of the foregoing, or of any LIBOR Successor Rate Conforming Changes.</w:t>
      </w:r>
    </w:p>
    <w:p>
      <w:pPr>
        <w:spacing w:after="0" w:line="258"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9680" w:type="dxa"/>
            <w:vAlign w:val="bottom"/>
          </w:tcPr>
          <w:p>
            <w:pPr>
              <w:jc w:val="center"/>
              <w:ind w:right="1401"/>
              <w:spacing w:after="0"/>
              <w:rPr>
                <w:sz w:val="20"/>
                <w:szCs w:val="20"/>
                <w:color w:val="auto"/>
              </w:rPr>
            </w:pPr>
            <w:r>
              <w:rPr>
                <w:rFonts w:ascii="Arial" w:cs="Arial" w:eastAsia="Arial" w:hAnsi="Arial"/>
                <w:sz w:val="20"/>
                <w:szCs w:val="20"/>
                <w:b w:val="1"/>
                <w:bCs w:val="1"/>
                <w:color w:val="auto"/>
              </w:rPr>
              <w:t>ARTICLE II.</w:t>
            </w:r>
          </w:p>
        </w:tc>
      </w:tr>
      <w:tr>
        <w:trPr>
          <w:trHeight w:val="256"/>
        </w:trPr>
        <w:tc>
          <w:tcPr>
            <w:tcW w:w="660" w:type="dxa"/>
            <w:vAlign w:val="bottom"/>
          </w:tcPr>
          <w:p>
            <w:pPr>
              <w:spacing w:after="0"/>
              <w:rPr>
                <w:sz w:val="22"/>
                <w:szCs w:val="22"/>
                <w:color w:val="auto"/>
              </w:rPr>
            </w:pPr>
          </w:p>
        </w:tc>
        <w:tc>
          <w:tcPr>
            <w:tcW w:w="9680" w:type="dxa"/>
            <w:vAlign w:val="bottom"/>
          </w:tcPr>
          <w:p>
            <w:pPr>
              <w:jc w:val="center"/>
              <w:ind w:right="1401"/>
              <w:spacing w:after="0"/>
              <w:rPr>
                <w:sz w:val="20"/>
                <w:szCs w:val="20"/>
                <w:color w:val="auto"/>
              </w:rPr>
            </w:pPr>
            <w:r>
              <w:rPr>
                <w:rFonts w:ascii="Arial" w:cs="Arial" w:eastAsia="Arial" w:hAnsi="Arial"/>
                <w:sz w:val="20"/>
                <w:szCs w:val="20"/>
                <w:b w:val="1"/>
                <w:bCs w:val="1"/>
                <w:color w:val="auto"/>
              </w:rPr>
              <w:t>THE COMMITMENTS AND THE TERM LOAN</w:t>
            </w:r>
          </w:p>
        </w:tc>
      </w:tr>
      <w:tr>
        <w:trPr>
          <w:trHeight w:val="441"/>
        </w:trPr>
        <w:tc>
          <w:tcPr>
            <w:tcW w:w="660" w:type="dxa"/>
            <w:vAlign w:val="bottom"/>
          </w:tcPr>
          <w:p>
            <w:pPr>
              <w:jc w:val="right"/>
              <w:ind w:right="221"/>
              <w:spacing w:after="0"/>
              <w:rPr>
                <w:sz w:val="20"/>
                <w:szCs w:val="20"/>
                <w:color w:val="auto"/>
              </w:rPr>
            </w:pPr>
            <w:r>
              <w:rPr>
                <w:rFonts w:ascii="Arial" w:cs="Arial" w:eastAsia="Arial" w:hAnsi="Arial"/>
                <w:sz w:val="20"/>
                <w:szCs w:val="20"/>
                <w:b w:val="1"/>
                <w:bCs w:val="1"/>
                <w:color w:val="auto"/>
                <w:w w:val="82"/>
              </w:rPr>
              <w:t>2.01</w:t>
            </w:r>
          </w:p>
        </w:tc>
        <w:tc>
          <w:tcPr>
            <w:tcW w:w="9680" w:type="dxa"/>
            <w:vAlign w:val="bottom"/>
          </w:tcPr>
          <w:p>
            <w:pPr>
              <w:ind w:left="320"/>
              <w:spacing w:after="0"/>
              <w:rPr>
                <w:sz w:val="20"/>
                <w:szCs w:val="20"/>
                <w:color w:val="auto"/>
              </w:rPr>
            </w:pPr>
            <w:r>
              <w:rPr>
                <w:rFonts w:ascii="Arial" w:cs="Arial" w:eastAsia="Arial" w:hAnsi="Arial"/>
                <w:sz w:val="20"/>
                <w:szCs w:val="20"/>
                <w:b w:val="1"/>
                <w:bCs w:val="1"/>
                <w:color w:val="auto"/>
                <w:w w:val="89"/>
              </w:rPr>
              <w:t xml:space="preserve">Term Loans. </w:t>
            </w:r>
            <w:r>
              <w:rPr>
                <w:rFonts w:ascii="Arial" w:cs="Arial" w:eastAsia="Arial" w:hAnsi="Arial"/>
                <w:sz w:val="20"/>
                <w:szCs w:val="20"/>
                <w:color w:val="auto"/>
                <w:w w:val="89"/>
              </w:rPr>
              <w:t>Subject to the terms and conditions set forth herein, each Lender severally agrees to make a single loan</w:t>
            </w:r>
          </w:p>
        </w:tc>
      </w:tr>
    </w:tbl>
    <w:p>
      <w:pPr>
        <w:jc w:val="both"/>
        <w:spacing w:after="0" w:line="241" w:lineRule="auto"/>
        <w:rPr>
          <w:sz w:val="20"/>
          <w:szCs w:val="20"/>
          <w:color w:val="auto"/>
        </w:rPr>
      </w:pPr>
      <w:r>
        <w:rPr>
          <w:rFonts w:ascii="Arial" w:cs="Arial" w:eastAsia="Arial" w:hAnsi="Arial"/>
          <w:sz w:val="20"/>
          <w:szCs w:val="20"/>
          <w:color w:val="auto"/>
        </w:rPr>
        <w:t>(the “</w:t>
      </w:r>
      <w:r>
        <w:rPr>
          <w:rFonts w:ascii="Arial" w:cs="Arial" w:eastAsia="Arial" w:hAnsi="Arial"/>
          <w:sz w:val="20"/>
          <w:szCs w:val="20"/>
          <w:u w:val="single" w:color="auto"/>
          <w:color w:val="auto"/>
        </w:rPr>
        <w:t>Loan</w:t>
      </w:r>
      <w:r>
        <w:rPr>
          <w:rFonts w:ascii="Arial" w:cs="Arial" w:eastAsia="Arial" w:hAnsi="Arial"/>
          <w:sz w:val="20"/>
          <w:szCs w:val="20"/>
          <w:color w:val="auto"/>
        </w:rPr>
        <w:t>”) to the Borrower in Dollars on April 1, 2020 (the “</w:t>
      </w:r>
      <w:r>
        <w:rPr>
          <w:rFonts w:ascii="Arial" w:cs="Arial" w:eastAsia="Arial" w:hAnsi="Arial"/>
          <w:sz w:val="20"/>
          <w:szCs w:val="20"/>
          <w:u w:val="single" w:color="auto"/>
          <w:color w:val="auto"/>
        </w:rPr>
        <w:t>Funding Date</w:t>
      </w:r>
      <w:r>
        <w:rPr>
          <w:rFonts w:ascii="Arial" w:cs="Arial" w:eastAsia="Arial" w:hAnsi="Arial"/>
          <w:sz w:val="20"/>
          <w:szCs w:val="20"/>
          <w:color w:val="auto"/>
        </w:rPr>
        <w:t xml:space="preserve">”) in an amount not to exceed </w:t>
      </w:r>
      <w:r>
        <w:rPr>
          <w:rFonts w:ascii="Arial" w:cs="Arial" w:eastAsia="Arial" w:hAnsi="Arial"/>
          <w:sz w:val="20"/>
          <w:szCs w:val="20"/>
          <w:color w:val="191919"/>
        </w:rPr>
        <w:t>such Lender</w:t>
      </w:r>
      <w:r>
        <w:rPr>
          <w:rFonts w:ascii="Arial" w:cs="Arial" w:eastAsia="Arial" w:hAnsi="Arial"/>
          <w:sz w:val="20"/>
          <w:szCs w:val="20"/>
          <w:color w:val="auto"/>
        </w:rPr>
        <w:t xml:space="preserve">’s Commitment and at the Eurodollar Rate with an Interest Period of one month. The Borrowing shall consist of the Loan made by the Lenders in accordance with their respective Applicable Percentage. Amounts borrowed under this </w:t>
      </w:r>
      <w:r>
        <w:rPr>
          <w:rFonts w:ascii="Arial" w:cs="Arial" w:eastAsia="Arial" w:hAnsi="Arial"/>
          <w:sz w:val="20"/>
          <w:szCs w:val="20"/>
          <w:u w:val="single" w:color="auto"/>
          <w:color w:val="auto"/>
        </w:rPr>
        <w:t>Section 2.01</w:t>
      </w:r>
      <w:r>
        <w:rPr>
          <w:rFonts w:ascii="Arial" w:cs="Arial" w:eastAsia="Arial" w:hAnsi="Arial"/>
          <w:sz w:val="20"/>
          <w:szCs w:val="20"/>
          <w:color w:val="auto"/>
        </w:rPr>
        <w:t xml:space="preserve"> and repaid or prepaid may not be reborrowed. Loans may be Base Rate Loans or Eurodollar Rate Loans, as further provided herein.</w:t>
      </w:r>
    </w:p>
    <w:p>
      <w:pPr>
        <w:spacing w:after="0" w:line="188"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2.02</w:t>
      </w:r>
      <w:r>
        <w:rPr>
          <w:sz w:val="20"/>
          <w:szCs w:val="20"/>
          <w:color w:val="auto"/>
        </w:rPr>
        <w:tab/>
      </w:r>
      <w:r>
        <w:rPr>
          <w:rFonts w:ascii="Arial" w:cs="Arial" w:eastAsia="Arial" w:hAnsi="Arial"/>
          <w:sz w:val="16"/>
          <w:szCs w:val="16"/>
          <w:b w:val="1"/>
          <w:bCs w:val="1"/>
          <w:color w:val="auto"/>
        </w:rPr>
        <w:t>Borrowings, Conversions and Continuations of Term Loan.</w:t>
      </w:r>
    </w:p>
    <w:p>
      <w:pPr>
        <w:spacing w:after="0" w:line="222" w:lineRule="exact"/>
        <w:rPr>
          <w:sz w:val="20"/>
          <w:szCs w:val="20"/>
          <w:color w:val="auto"/>
        </w:rPr>
      </w:pPr>
    </w:p>
    <w:p>
      <w:pPr>
        <w:ind w:left="880"/>
        <w:spacing w:after="0"/>
        <w:tabs>
          <w:tab w:leader="none" w:pos="2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Each Borrowing, each conversion of Loans from one Type to the other, and each continuation of Eurodollar</w:t>
      </w:r>
    </w:p>
    <w:p>
      <w:pPr>
        <w:spacing w:after="0" w:line="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Rate Loans shall be made upon the Borrower’s irrevocable notice to the Administrative Agent, which may be given by (A) telephone or (B) a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telephonic notice must be confirmed immediately by delivery to the Administrative Agent of a Loan Notice. Each such Loan Notice (other than the Loan Notice in connection with the funding of the Loan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must be received by the Administrative Agent not later than 12:00 noon (i) three (3) Business Days prior to the requested date of any Borrowing of, conversion to or continuation of Eurodollar Rate Loans or of any conversion of Eurodollar Rate Loans to Base Rate Loans, and (ii) on the requested date of any Borrowing of Base Rate Loans. Each Borrowing of, conversion to or continuation of Eurodollar Rate Loans shall be in a principal amount of $5,000,000 or a whole multiple of $1,000,000 in excess thereof. Each Borrowing of or conversion to Base Rate Loans shall be in a principal amount of $500,000 or a whole multiple of $100,000 in excess thereof. Each Loan Notice shall specify (i) whether the Borrower is requesting a conversion of Loans from one Type to the other, or a continuation of Eurodollar Rate Loans, (ii) the requested date of the Borrowing,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 If the Borrower fails to specify a Type of Loan in a Loan Notice or if the Borrower fails to give a timely notice requesting a conversion or continuation, then the applicable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4" w:name="page35"/>
    <w:bookmarkEnd w:id="34"/>
    <w:p>
      <w:pPr>
        <w:jc w:val="both"/>
        <w:spacing w:after="0" w:line="246" w:lineRule="auto"/>
        <w:rPr>
          <w:sz w:val="20"/>
          <w:szCs w:val="20"/>
          <w:color w:val="auto"/>
        </w:rPr>
      </w:pPr>
      <w:r>
        <w:rPr>
          <w:rFonts w:ascii="Arial" w:cs="Arial" w:eastAsia="Arial" w:hAnsi="Arial"/>
          <w:sz w:val="20"/>
          <w:szCs w:val="20"/>
          <w:color w:val="auto"/>
        </w:rPr>
        <w:t>Loans shall be made as, or converted to, Base Rate Loans. Any automatic conversion to Base Rate Loans shall be effective as of the last day of the Interest Period then in effect with respect to the applicable Eurodollar Rate Loans. If the Borrower requests a Borrowing of, conversion to, or continuation of Eurodollar Rate Loans in any such Loan Notice, but fails to specify an Interest Period, it will be deemed to have specified an Interest Period of one month.</w:t>
      </w:r>
    </w:p>
    <w:p>
      <w:pPr>
        <w:spacing w:after="0" w:line="191"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8"/>
          <w:szCs w:val="18"/>
          <w:color w:val="auto"/>
        </w:rPr>
        <w:t xml:space="preserve">(b) Following receipt of a Loan Notice, the Administrative Agent shall promptly notify each Lender of the amount of its Applicable Percentage, and if no timely notice of a conversion or continuation is provided by the Borrower, the Administrative Agent shall notify each Lender of the details of any automatic conversion to Base Rate Loans as described in the preceding subsection. Each Lender shall make the amount of its Loan available to the Administrative Agent in immediately available funds at the Administrative Agent’s Office not later than 2:00 p.m. on the Business Day specified in the applicable Loan Notice. Upon satisfaction of the applicable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the Administrative Agent shall make all funds so received available to the Borrower in like funds as received by the Administrative Agent either by (i) crediting the account of the Borrower on the books of Bank of America with the amount of such funds or</w:t>
      </w:r>
    </w:p>
    <w:p>
      <w:pPr>
        <w:spacing w:after="0" w:line="5" w:lineRule="exact"/>
        <w:rPr>
          <w:sz w:val="20"/>
          <w:szCs w:val="20"/>
          <w:color w:val="auto"/>
        </w:rPr>
      </w:pPr>
    </w:p>
    <w:p>
      <w:pPr>
        <w:ind w:firstLine="8"/>
        <w:spacing w:after="0" w:line="244" w:lineRule="auto"/>
        <w:tabs>
          <w:tab w:leader="none" w:pos="306" w:val="left"/>
        </w:tabs>
        <w:numPr>
          <w:ilvl w:val="0"/>
          <w:numId w:val="21"/>
        </w:numPr>
        <w:rPr>
          <w:rFonts w:ascii="Arial" w:cs="Arial" w:eastAsia="Arial" w:hAnsi="Arial"/>
          <w:sz w:val="20"/>
          <w:szCs w:val="20"/>
          <w:color w:val="auto"/>
        </w:rPr>
      </w:pPr>
      <w:r>
        <w:rPr>
          <w:rFonts w:ascii="Arial" w:cs="Arial" w:eastAsia="Arial" w:hAnsi="Arial"/>
          <w:sz w:val="20"/>
          <w:szCs w:val="20"/>
          <w:color w:val="auto"/>
        </w:rPr>
        <w:t>wire transfer of such funds, in each case in accordance with instructions provided to (and reasonably acceptable to) the Administrative Agent by the Borrower.</w:t>
      </w:r>
    </w:p>
    <w:p>
      <w:pPr>
        <w:spacing w:after="0" w:line="191" w:lineRule="exact"/>
        <w:rPr>
          <w:rFonts w:ascii="Arial" w:cs="Arial" w:eastAsia="Arial" w:hAnsi="Arial"/>
          <w:sz w:val="20"/>
          <w:szCs w:val="20"/>
          <w:color w:val="auto"/>
        </w:rPr>
      </w:pPr>
    </w:p>
    <w:p>
      <w:pPr>
        <w:jc w:val="both"/>
        <w:ind w:firstLine="872"/>
        <w:spacing w:after="0" w:line="250" w:lineRule="auto"/>
        <w:tabs>
          <w:tab w:leader="none" w:pos="1731" w:val="left"/>
        </w:tabs>
        <w:numPr>
          <w:ilvl w:val="1"/>
          <w:numId w:val="21"/>
        </w:numPr>
        <w:rPr>
          <w:rFonts w:ascii="Arial" w:cs="Arial" w:eastAsia="Arial" w:hAnsi="Arial"/>
          <w:sz w:val="20"/>
          <w:szCs w:val="20"/>
          <w:color w:val="auto"/>
        </w:rPr>
      </w:pPr>
      <w:r>
        <w:rPr>
          <w:rFonts w:ascii="Arial" w:cs="Arial" w:eastAsia="Arial" w:hAnsi="Arial"/>
          <w:sz w:val="20"/>
          <w:szCs w:val="20"/>
          <w:color w:val="auto"/>
        </w:rPr>
        <w:t>Except as otherwise provided herein, a Eurodollar Rate Loan may be continued or converted only on the last day of an Interest Period for such Eurodollar Rate Loan. During the existence of a Default, no Loans may be requested as, converted to or continued as Eurodollar Rate Loans without the consent of the Required Lenders.</w:t>
      </w:r>
    </w:p>
    <w:p>
      <w:pPr>
        <w:spacing w:after="0" w:line="185" w:lineRule="exact"/>
        <w:rPr>
          <w:rFonts w:ascii="Arial" w:cs="Arial" w:eastAsia="Arial" w:hAnsi="Arial"/>
          <w:sz w:val="20"/>
          <w:szCs w:val="20"/>
          <w:color w:val="auto"/>
        </w:rPr>
      </w:pPr>
    </w:p>
    <w:p>
      <w:pPr>
        <w:jc w:val="both"/>
        <w:ind w:firstLine="872"/>
        <w:spacing w:after="0" w:line="246" w:lineRule="auto"/>
        <w:tabs>
          <w:tab w:leader="none" w:pos="1742" w:val="left"/>
        </w:tabs>
        <w:numPr>
          <w:ilvl w:val="1"/>
          <w:numId w:val="21"/>
        </w:numPr>
        <w:rPr>
          <w:rFonts w:ascii="Arial" w:cs="Arial" w:eastAsia="Arial" w:hAnsi="Arial"/>
          <w:sz w:val="20"/>
          <w:szCs w:val="20"/>
          <w:color w:val="auto"/>
        </w:rPr>
      </w:pPr>
      <w:r>
        <w:rPr>
          <w:rFonts w:ascii="Arial" w:cs="Arial" w:eastAsia="Arial" w:hAnsi="Arial"/>
          <w:sz w:val="20"/>
          <w:szCs w:val="20"/>
          <w:color w:val="auto"/>
        </w:rPr>
        <w:t>The Administrative Agent shall promptly notify the Borrower and the Lenders of the interest rate applicable to any Interest Period for Eurodollar Rate Loans upon determination of such interest rate. At any time that Base Rate Loans are outstanding, the Administrative Agent shall notify the Borrower and the Lenders of any change in Bank of America’s prime rate used in determining the Base Rate promptly following the public announcement of such change.</w:t>
      </w:r>
    </w:p>
    <w:p>
      <w:pPr>
        <w:spacing w:after="0" w:line="191" w:lineRule="exact"/>
        <w:rPr>
          <w:rFonts w:ascii="Arial" w:cs="Arial" w:eastAsia="Arial" w:hAnsi="Arial"/>
          <w:sz w:val="20"/>
          <w:szCs w:val="20"/>
          <w:color w:val="auto"/>
        </w:rPr>
      </w:pPr>
    </w:p>
    <w:p>
      <w:pPr>
        <w:ind w:firstLine="872"/>
        <w:spacing w:after="0" w:line="260" w:lineRule="auto"/>
        <w:tabs>
          <w:tab w:leader="none" w:pos="1731" w:val="left"/>
        </w:tabs>
        <w:numPr>
          <w:ilvl w:val="1"/>
          <w:numId w:val="21"/>
        </w:numPr>
        <w:rPr>
          <w:rFonts w:ascii="Arial" w:cs="Arial" w:eastAsia="Arial" w:hAnsi="Arial"/>
          <w:sz w:val="20"/>
          <w:szCs w:val="20"/>
          <w:color w:val="auto"/>
        </w:rPr>
      </w:pPr>
      <w:r>
        <w:rPr>
          <w:rFonts w:ascii="Arial" w:cs="Arial" w:eastAsia="Arial" w:hAnsi="Arial"/>
          <w:sz w:val="20"/>
          <w:szCs w:val="20"/>
          <w:color w:val="auto"/>
        </w:rPr>
        <w:t>After giving effect to the Borrowings, all conversions of Loans from one Type to the other, and all continuations of Loans as the same Type, there shall not be more than 4 Interest Periods in effect with respect to Loans.</w:t>
      </w:r>
    </w:p>
    <w:p>
      <w:pPr>
        <w:spacing w:after="0" w:line="171"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b w:val="1"/>
          <w:bCs w:val="1"/>
          <w:color w:val="auto"/>
        </w:rPr>
        <w:t xml:space="preserve">2.03 Prepayments. </w:t>
      </w:r>
      <w:r>
        <w:rPr>
          <w:rFonts w:ascii="Arial" w:cs="Arial" w:eastAsia="Arial" w:hAnsi="Arial"/>
          <w:sz w:val="18"/>
          <w:szCs w:val="18"/>
          <w:color w:val="auto"/>
        </w:rPr>
        <w:t>The Borrower may, upon notice from the Borrower to the Administrative Agent, at any time or from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time to time voluntarily prepay Loans in whole or in part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notice must be in a form reasonably acceptable to the Administrative Agent and be received by the Administrative Agent not later than 12:00 noon (A) three (3) Business Days prior to any date of prepayment of Eurodollar Rate Loans and (B) on the date of prepayment of Base Rate Loans; (ii) any prepayment of Eurodollar Rate Loans shall be in a principal amount of $5,000,000 or a whole multiple of $1,000,000 in excess thereof; and</w:t>
      </w:r>
    </w:p>
    <w:p>
      <w:pPr>
        <w:spacing w:after="0" w:line="1" w:lineRule="exact"/>
        <w:rPr>
          <w:sz w:val="20"/>
          <w:szCs w:val="20"/>
          <w:color w:val="auto"/>
        </w:rPr>
      </w:pPr>
    </w:p>
    <w:p>
      <w:pPr>
        <w:jc w:val="both"/>
        <w:ind w:firstLine="8"/>
        <w:spacing w:after="0"/>
        <w:tabs>
          <w:tab w:leader="none" w:pos="353" w:val="left"/>
        </w:tabs>
        <w:numPr>
          <w:ilvl w:val="0"/>
          <w:numId w:val="22"/>
        </w:numPr>
        <w:rPr>
          <w:rFonts w:ascii="Arial" w:cs="Arial" w:eastAsia="Arial" w:hAnsi="Arial"/>
          <w:sz w:val="20"/>
          <w:szCs w:val="20"/>
          <w:color w:val="auto"/>
        </w:rPr>
      </w:pPr>
      <w:r>
        <w:rPr>
          <w:rFonts w:ascii="Arial" w:cs="Arial" w:eastAsia="Arial" w:hAnsi="Arial"/>
          <w:sz w:val="20"/>
          <w:szCs w:val="20"/>
          <w:color w:val="auto"/>
        </w:rPr>
        <w:t xml:space="preserve">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of Loans to be prepaid and, if Eurodollar Rate Loans are to be prepaid, the Interest Period(s) of such Loans. The Administrative Agent will promptly notify each Lender of its receipt of each such notice, and of the amount of such Lender’s ratable portion of such prepayment (based on such Lender’s Applicable Percentage). Once such notice is given, the Borrower shall make such prepayment and the payment amount specified in such notice shall be due and payable on the date specified therein. Any prepayment of a Eurodollar Rate Loan shall be accompanied by all accrued interest on the amount prepaid, together with any additional amounts required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3.05</w:t>
      </w:r>
      <w:r>
        <w:rPr>
          <w:rFonts w:ascii="Arial" w:cs="Arial" w:eastAsia="Arial" w:hAnsi="Arial"/>
          <w:sz w:val="20"/>
          <w:szCs w:val="20"/>
          <w:color w:val="auto"/>
        </w:rPr>
        <w:t xml:space="preserve">. Each prepayment of the outstanding Loans pursuant to this </w:t>
      </w:r>
      <w:r>
        <w:rPr>
          <w:rFonts w:ascii="Arial" w:cs="Arial" w:eastAsia="Arial" w:hAnsi="Arial"/>
          <w:sz w:val="20"/>
          <w:szCs w:val="20"/>
          <w:u w:val="single" w:color="auto"/>
          <w:color w:val="auto"/>
        </w:rPr>
        <w:t>Section 2.03</w:t>
      </w:r>
      <w:r>
        <w:rPr>
          <w:rFonts w:ascii="Arial" w:cs="Arial" w:eastAsia="Arial" w:hAnsi="Arial"/>
          <w:sz w:val="20"/>
          <w:szCs w:val="20"/>
          <w:color w:val="auto"/>
        </w:rPr>
        <w:t xml:space="preserve"> shall be applied to the principal installments thereof as directed by the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5" w:name="page36"/>
    <w:bookmarkEnd w:id="35"/>
    <w:p>
      <w:pPr>
        <w:ind w:right="20"/>
        <w:spacing w:after="0" w:line="260" w:lineRule="auto"/>
        <w:rPr>
          <w:sz w:val="20"/>
          <w:szCs w:val="20"/>
          <w:color w:val="auto"/>
        </w:rPr>
      </w:pPr>
      <w:r>
        <w:rPr>
          <w:rFonts w:ascii="Arial" w:cs="Arial" w:eastAsia="Arial" w:hAnsi="Arial"/>
          <w:sz w:val="20"/>
          <w:szCs w:val="20"/>
          <w:color w:val="auto"/>
        </w:rPr>
        <w:t xml:space="preserve">Borrower. Subject to </w:t>
      </w:r>
      <w:r>
        <w:rPr>
          <w:rFonts w:ascii="Arial" w:cs="Arial" w:eastAsia="Arial" w:hAnsi="Arial"/>
          <w:sz w:val="20"/>
          <w:szCs w:val="20"/>
          <w:u w:val="single" w:color="auto"/>
          <w:color w:val="auto"/>
        </w:rPr>
        <w:t>Section 2.12</w:t>
      </w:r>
      <w:r>
        <w:rPr>
          <w:rFonts w:ascii="Arial" w:cs="Arial" w:eastAsia="Arial" w:hAnsi="Arial"/>
          <w:sz w:val="20"/>
          <w:szCs w:val="20"/>
          <w:color w:val="auto"/>
        </w:rPr>
        <w:t>, each such prepayment shall be applied to the Loans of the Lenders in accordance with their respective Applicable Percentage.</w:t>
      </w:r>
    </w:p>
    <w:p>
      <w:pPr>
        <w:spacing w:after="0" w:line="171"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2.04</w:t>
      </w:r>
      <w:r>
        <w:rPr>
          <w:sz w:val="20"/>
          <w:szCs w:val="20"/>
          <w:color w:val="auto"/>
        </w:rPr>
        <w:tab/>
      </w:r>
      <w:r>
        <w:rPr>
          <w:rFonts w:ascii="Arial" w:cs="Arial" w:eastAsia="Arial" w:hAnsi="Arial"/>
          <w:sz w:val="16"/>
          <w:szCs w:val="16"/>
          <w:b w:val="1"/>
          <w:bCs w:val="1"/>
          <w:color w:val="auto"/>
        </w:rPr>
        <w:t>Reduction of Commitments.</w:t>
      </w:r>
    </w:p>
    <w:p>
      <w:pPr>
        <w:spacing w:after="0" w:line="222" w:lineRule="exact"/>
        <w:rPr>
          <w:sz w:val="20"/>
          <w:szCs w:val="20"/>
          <w:color w:val="auto"/>
        </w:rPr>
      </w:pPr>
    </w:p>
    <w:p>
      <w:pPr>
        <w:jc w:val="both"/>
        <w:ind w:firstLine="872"/>
        <w:spacing w:after="0" w:line="259" w:lineRule="auto"/>
        <w:tabs>
          <w:tab w:leader="none" w:pos="1731"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Optional</w:t>
      </w:r>
      <w:r>
        <w:rPr>
          <w:rFonts w:ascii="Arial" w:cs="Arial" w:eastAsia="Arial" w:hAnsi="Arial"/>
          <w:sz w:val="19"/>
          <w:szCs w:val="19"/>
          <w:color w:val="auto"/>
        </w:rPr>
        <w:t xml:space="preserve">. The Borrower may, upon notice to the Administrative Agent, from time to time terminate (in whole or in part) the unused portion of the aggregate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notice shall be received by the Administrative Agent not later than 12:00 noon five Business Days prior to the date of termination or reduction. The Administrative Agent will promptly notify the Lenders of any termination or reduction of the unused portion of the aggregate Commitments under this </w:t>
      </w:r>
      <w:r>
        <w:rPr>
          <w:rFonts w:ascii="Arial" w:cs="Arial" w:eastAsia="Arial" w:hAnsi="Arial"/>
          <w:sz w:val="19"/>
          <w:szCs w:val="19"/>
          <w:u w:val="single" w:color="auto"/>
          <w:color w:val="auto"/>
        </w:rPr>
        <w:t>Section 2.04</w:t>
      </w:r>
      <w:r>
        <w:rPr>
          <w:rFonts w:ascii="Arial" w:cs="Arial" w:eastAsia="Arial" w:hAnsi="Arial"/>
          <w:sz w:val="19"/>
          <w:szCs w:val="19"/>
          <w:color w:val="auto"/>
        </w:rPr>
        <w:t>. Any reduction of the aggregate Commitments shall be applied to the Commitment of each Lender in according to its Applicable Percentage. All fees accrued until the effective date of any termination shall be paid on the effective date of such termination.</w:t>
      </w:r>
    </w:p>
    <w:p>
      <w:pPr>
        <w:spacing w:after="0" w:line="178" w:lineRule="exact"/>
        <w:rPr>
          <w:rFonts w:ascii="Arial" w:cs="Arial" w:eastAsia="Arial" w:hAnsi="Arial"/>
          <w:sz w:val="19"/>
          <w:szCs w:val="19"/>
          <w:color w:val="auto"/>
        </w:rPr>
      </w:pPr>
    </w:p>
    <w:p>
      <w:pPr>
        <w:ind w:left="1760" w:hanging="888"/>
        <w:spacing w:after="0"/>
        <w:tabs>
          <w:tab w:leader="none" w:pos="1760"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Mandatory</w:t>
      </w:r>
      <w:r>
        <w:rPr>
          <w:rFonts w:ascii="Arial" w:cs="Arial" w:eastAsia="Arial" w:hAnsi="Arial"/>
          <w:sz w:val="20"/>
          <w:szCs w:val="20"/>
          <w:color w:val="auto"/>
        </w:rPr>
        <w:t>.</w:t>
      </w:r>
      <w:r>
        <w:rPr>
          <w:rFonts w:ascii="Arial" w:cs="Arial" w:eastAsia="Arial" w:hAnsi="Arial"/>
          <w:sz w:val="19"/>
          <w:szCs w:val="19"/>
          <w:color w:val="auto"/>
        </w:rPr>
        <w:t>Any unused portion of the Commitments shall be automatically terminated upon the Funding</w:t>
      </w:r>
    </w:p>
    <w:p>
      <w:pPr>
        <w:spacing w:after="0" w:line="15"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Date.</w:t>
      </w:r>
    </w:p>
    <w:p>
      <w:pPr>
        <w:spacing w:after="0" w:line="194"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9"/>
          <w:szCs w:val="19"/>
          <w:b w:val="1"/>
          <w:bCs w:val="1"/>
          <w:color w:val="auto"/>
        </w:rPr>
        <w:t xml:space="preserve">2.05 Repayment of Loans. </w:t>
      </w:r>
      <w:r>
        <w:rPr>
          <w:rFonts w:ascii="Arial" w:cs="Arial" w:eastAsia="Arial" w:hAnsi="Arial"/>
          <w:sz w:val="19"/>
          <w:szCs w:val="19"/>
          <w:color w:val="auto"/>
        </w:rPr>
        <w:t>The Borrower shall repay to the Lenders on the last Business Day of each March, June,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September and December of each year (commencing on the last Business Day of March 2021), an aggregate principal amount equal to (i) 5.0% for the first four payments and (ii) 7.5% thereafter, in each case, of the aggregate principal amount of the Loan outstanding on the Funding Date (which amounts shall be reduced as a result of the application of prepayments in accordance with the order of priority set forth in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final principal repayment installment of the Loan shall be repaid on the Maturity Date and in any event shall be in an amount equal to the aggregate principal amount of all Loans outstanding on such date.</w:t>
      </w:r>
    </w:p>
    <w:p>
      <w:pPr>
        <w:spacing w:after="0" w:line="173"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b w:val="1"/>
          <w:bCs w:val="1"/>
          <w:color w:val="auto"/>
        </w:rPr>
        <w:t xml:space="preserve">2.06 Interest. </w:t>
      </w:r>
      <w:r>
        <w:rPr>
          <w:rFonts w:ascii="Arial" w:cs="Arial" w:eastAsia="Arial" w:hAnsi="Arial"/>
          <w:sz w:val="20"/>
          <w:szCs w:val="20"/>
          <w:color w:val="auto"/>
        </w:rPr>
        <w:t>(a) Subject to the provisions of</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subsection (b)</w:t>
      </w:r>
      <w:r>
        <w:rPr>
          <w:rFonts w:ascii="Arial" w:cs="Arial" w:eastAsia="Arial" w:hAnsi="Arial"/>
          <w:sz w:val="20"/>
          <w:szCs w:val="20"/>
          <w:b w:val="1"/>
          <w:bCs w:val="1"/>
          <w:color w:val="auto"/>
        </w:rPr>
        <w:t xml:space="preserve"> </w:t>
      </w:r>
      <w:r>
        <w:rPr>
          <w:rFonts w:ascii="Arial" w:cs="Arial" w:eastAsia="Arial" w:hAnsi="Arial"/>
          <w:sz w:val="20"/>
          <w:szCs w:val="20"/>
          <w:color w:val="auto"/>
        </w:rPr>
        <w:t>below, (i) each Eurodollar Rate Loan shall bear interest on the</w:t>
      </w:r>
      <w:r>
        <w:rPr>
          <w:rFonts w:ascii="Arial" w:cs="Arial" w:eastAsia="Arial" w:hAnsi="Arial"/>
          <w:sz w:val="20"/>
          <w:szCs w:val="20"/>
          <w:b w:val="1"/>
          <w:bCs w:val="1"/>
          <w:color w:val="auto"/>
        </w:rPr>
        <w:t xml:space="preserve"> </w:t>
      </w:r>
      <w:r>
        <w:rPr>
          <w:rFonts w:ascii="Arial" w:cs="Arial" w:eastAsia="Arial" w:hAnsi="Arial"/>
          <w:sz w:val="20"/>
          <w:szCs w:val="20"/>
          <w:color w:val="auto"/>
        </w:rPr>
        <w:t>outstanding principal amount thereof for each Interest Period at a rate per annum equal to the Eurodollar Rate for such Interest Period plus the Applicable Rate; and (ii) each Base Rate Loan shall bear interest on the outstanding principal amount thereof from the applicable borrowing date at a rate per annum equal to the Base Rate plus the Applicable Rate.</w:t>
      </w:r>
    </w:p>
    <w:p>
      <w:pPr>
        <w:spacing w:after="0" w:line="189" w:lineRule="exact"/>
        <w:rPr>
          <w:sz w:val="20"/>
          <w:szCs w:val="20"/>
          <w:color w:val="auto"/>
        </w:rPr>
      </w:pPr>
    </w:p>
    <w:p>
      <w:pPr>
        <w:jc w:val="both"/>
        <w:ind w:left="880" w:firstLine="77"/>
        <w:spacing w:after="0" w:line="269" w:lineRule="auto"/>
        <w:tabs>
          <w:tab w:leader="none" w:pos="1844" w:val="left"/>
        </w:tabs>
        <w:numPr>
          <w:ilvl w:val="0"/>
          <w:numId w:val="24"/>
        </w:numPr>
        <w:rPr>
          <w:rFonts w:ascii="Arial" w:cs="Arial" w:eastAsia="Arial" w:hAnsi="Arial"/>
          <w:sz w:val="19"/>
          <w:szCs w:val="19"/>
          <w:color w:val="auto"/>
        </w:rPr>
      </w:pPr>
      <w:r>
        <w:rPr>
          <w:rFonts w:ascii="Arial" w:cs="Arial" w:eastAsia="Arial" w:hAnsi="Arial"/>
          <w:sz w:val="19"/>
          <w:szCs w:val="19"/>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69" w:lineRule="exact"/>
        <w:rPr>
          <w:rFonts w:ascii="Arial" w:cs="Arial" w:eastAsia="Arial" w:hAnsi="Arial"/>
          <w:sz w:val="19"/>
          <w:szCs w:val="19"/>
          <w:color w:val="auto"/>
        </w:rPr>
      </w:pPr>
    </w:p>
    <w:p>
      <w:pPr>
        <w:jc w:val="both"/>
        <w:ind w:left="880" w:firstLine="789"/>
        <w:spacing w:after="0" w:line="263" w:lineRule="auto"/>
        <w:tabs>
          <w:tab w:leader="none" w:pos="2567" w:val="left"/>
        </w:tabs>
        <w:numPr>
          <w:ilvl w:val="1"/>
          <w:numId w:val="24"/>
        </w:numPr>
        <w:rPr>
          <w:rFonts w:ascii="Arial" w:cs="Arial" w:eastAsia="Arial" w:hAnsi="Arial"/>
          <w:sz w:val="19"/>
          <w:szCs w:val="19"/>
          <w:color w:val="auto"/>
        </w:rPr>
      </w:pPr>
      <w:r>
        <w:rPr>
          <w:rFonts w:ascii="Arial" w:cs="Arial" w:eastAsia="Arial" w:hAnsi="Arial"/>
          <w:sz w:val="19"/>
          <w:szCs w:val="19"/>
          <w:color w:val="auto"/>
        </w:rPr>
        <w:t>If any amount (other than principal of any Loan) payable by the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76" w:lineRule="exact"/>
        <w:rPr>
          <w:rFonts w:ascii="Arial" w:cs="Arial" w:eastAsia="Arial" w:hAnsi="Arial"/>
          <w:sz w:val="19"/>
          <w:szCs w:val="19"/>
          <w:color w:val="auto"/>
        </w:rPr>
      </w:pPr>
    </w:p>
    <w:p>
      <w:pPr>
        <w:jc w:val="both"/>
        <w:ind w:left="880" w:firstLine="789"/>
        <w:spacing w:after="0" w:line="269" w:lineRule="auto"/>
        <w:tabs>
          <w:tab w:leader="none" w:pos="2622" w:val="left"/>
        </w:tabs>
        <w:numPr>
          <w:ilvl w:val="1"/>
          <w:numId w:val="24"/>
        </w:numPr>
        <w:rPr>
          <w:rFonts w:ascii="Arial" w:cs="Arial" w:eastAsia="Arial" w:hAnsi="Arial"/>
          <w:sz w:val="19"/>
          <w:szCs w:val="19"/>
          <w:color w:val="auto"/>
        </w:rPr>
      </w:pPr>
      <w:r>
        <w:rPr>
          <w:rFonts w:ascii="Arial" w:cs="Arial" w:eastAsia="Arial" w:hAnsi="Arial"/>
          <w:sz w:val="19"/>
          <w:szCs w:val="19"/>
          <w:color w:val="auto"/>
        </w:rPr>
        <w:t xml:space="preserve">Upon the request of the Required Lenders, while any Event of Default exists (other than as set forth in </w:t>
      </w:r>
      <w:r>
        <w:rPr>
          <w:rFonts w:ascii="Arial" w:cs="Arial" w:eastAsia="Arial" w:hAnsi="Arial"/>
          <w:sz w:val="19"/>
          <w:szCs w:val="19"/>
          <w:u w:val="single" w:color="auto"/>
          <w:color w:val="auto"/>
        </w:rPr>
        <w:t>clauses (b)(i)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(b)(ii)</w:t>
      </w:r>
      <w:r>
        <w:rPr>
          <w:rFonts w:ascii="Arial" w:cs="Arial" w:eastAsia="Arial" w:hAnsi="Arial"/>
          <w:sz w:val="19"/>
          <w:szCs w:val="19"/>
          <w:color w:val="auto"/>
        </w:rPr>
        <w:t xml:space="preserve"> above), the Borrower shall pay interest on the principal amount of all outstanding Obligations at a fluctuating interest rate per annum at all times equal to the Default Rate to the fullest extent permitted by Applicable Laws.</w:t>
      </w:r>
    </w:p>
    <w:p>
      <w:pPr>
        <w:spacing w:after="0" w:line="169" w:lineRule="exact"/>
        <w:rPr>
          <w:rFonts w:ascii="Arial" w:cs="Arial" w:eastAsia="Arial" w:hAnsi="Arial"/>
          <w:sz w:val="19"/>
          <w:szCs w:val="19"/>
          <w:color w:val="auto"/>
        </w:rPr>
      </w:pPr>
    </w:p>
    <w:p>
      <w:pPr>
        <w:ind w:left="880" w:right="20" w:firstLine="789"/>
        <w:spacing w:after="0" w:line="260" w:lineRule="auto"/>
        <w:tabs>
          <w:tab w:leader="none" w:pos="2611" w:val="left"/>
        </w:tabs>
        <w:numPr>
          <w:ilvl w:val="1"/>
          <w:numId w:val="24"/>
        </w:numPr>
        <w:rPr>
          <w:rFonts w:ascii="Arial" w:cs="Arial" w:eastAsia="Arial" w:hAnsi="Arial"/>
          <w:sz w:val="20"/>
          <w:szCs w:val="20"/>
          <w:color w:val="auto"/>
        </w:rPr>
      </w:pPr>
      <w:r>
        <w:rPr>
          <w:rFonts w:ascii="Arial" w:cs="Arial" w:eastAsia="Arial" w:hAnsi="Arial"/>
          <w:sz w:val="20"/>
          <w:szCs w:val="20"/>
          <w:color w:val="auto"/>
        </w:rPr>
        <w:t>Accrued and unpaid interest on past due amounts (including interest on past due interest) shall be due and payable upon demand.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6" w:name="page37"/>
    <w:bookmarkEnd w:id="36"/>
    <w:p>
      <w:pPr>
        <w:jc w:val="both"/>
        <w:ind w:firstLine="872"/>
        <w:spacing w:after="0" w:line="269" w:lineRule="auto"/>
        <w:tabs>
          <w:tab w:leader="none" w:pos="1731" w:val="left"/>
        </w:tabs>
        <w:numPr>
          <w:ilvl w:val="0"/>
          <w:numId w:val="25"/>
        </w:numPr>
        <w:rPr>
          <w:rFonts w:ascii="Arial" w:cs="Arial" w:eastAsia="Arial" w:hAnsi="Arial"/>
          <w:sz w:val="19"/>
          <w:szCs w:val="19"/>
          <w:color w:val="auto"/>
        </w:rPr>
      </w:pPr>
      <w:r>
        <w:rPr>
          <w:rFonts w:ascii="Arial" w:cs="Arial" w:eastAsia="Arial" w:hAnsi="Arial"/>
          <w:sz w:val="19"/>
          <w:szCs w:val="19"/>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6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2.07</w:t>
      </w:r>
      <w:r>
        <w:rPr>
          <w:sz w:val="20"/>
          <w:szCs w:val="20"/>
          <w:color w:val="auto"/>
        </w:rPr>
        <w:tab/>
      </w:r>
      <w:r>
        <w:rPr>
          <w:rFonts w:ascii="Arial" w:cs="Arial" w:eastAsia="Arial" w:hAnsi="Arial"/>
          <w:sz w:val="16"/>
          <w:szCs w:val="16"/>
          <w:b w:val="1"/>
          <w:bCs w:val="1"/>
          <w:color w:val="auto"/>
        </w:rPr>
        <w:t>Fees.</w:t>
      </w:r>
    </w:p>
    <w:p>
      <w:pPr>
        <w:spacing w:after="0" w:line="222" w:lineRule="exact"/>
        <w:rPr>
          <w:sz w:val="20"/>
          <w:szCs w:val="20"/>
          <w:color w:val="auto"/>
        </w:rPr>
      </w:pPr>
    </w:p>
    <w:p>
      <w:pPr>
        <w:jc w:val="both"/>
        <w:ind w:firstLine="872"/>
        <w:spacing w:after="0" w:line="250" w:lineRule="auto"/>
        <w:tabs>
          <w:tab w:leader="none" w:pos="1731"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Borrower shall pay to the Arranger and the Administrative Agent for their own respective accounts, in Dollars, fees in the amounts and at the times specified in the Fee Letters. Such fees shall be fully earned when paid and shall not be refundable for any reason whatsoever.</w:t>
      </w:r>
    </w:p>
    <w:p>
      <w:pPr>
        <w:spacing w:after="0" w:line="185" w:lineRule="exact"/>
        <w:rPr>
          <w:rFonts w:ascii="Arial" w:cs="Arial" w:eastAsia="Arial" w:hAnsi="Arial"/>
          <w:sz w:val="20"/>
          <w:szCs w:val="20"/>
          <w:color w:val="auto"/>
        </w:rPr>
      </w:pPr>
    </w:p>
    <w:p>
      <w:pPr>
        <w:ind w:firstLine="872"/>
        <w:spacing w:after="0" w:line="316" w:lineRule="auto"/>
        <w:tabs>
          <w:tab w:leader="none" w:pos="174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Borrower shall pay to the Lenders, in Dollars, such fees as shall have been separately agreed upon in writing in the amounts and at the times so specified. Such fees shall be fully earned when paid and shall not be refundable for any reason whatsoever.</w:t>
      </w:r>
    </w:p>
    <w:p>
      <w:pPr>
        <w:spacing w:after="0" w:line="124"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9"/>
          <w:szCs w:val="19"/>
          <w:b w:val="1"/>
          <w:bCs w:val="1"/>
          <w:color w:val="auto"/>
        </w:rPr>
        <w:t xml:space="preserve">2.08 Computation of Interest and Fees; Retroactive Adjustments of Applicable Rate. </w:t>
      </w:r>
      <w:r>
        <w:rPr>
          <w:rFonts w:ascii="Arial" w:cs="Arial" w:eastAsia="Arial" w:hAnsi="Arial"/>
          <w:sz w:val="19"/>
          <w:szCs w:val="19"/>
          <w:color w:val="auto"/>
        </w:rPr>
        <w:t>(a) All computations of interest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for Base Rate Loans (including Base Rate Loans determined by reference to the Eurodollar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Loan that is repaid on the same day on which it is made shall, subject to </w:t>
      </w:r>
      <w:r>
        <w:rPr>
          <w:rFonts w:ascii="Arial" w:cs="Arial" w:eastAsia="Arial" w:hAnsi="Arial"/>
          <w:sz w:val="19"/>
          <w:szCs w:val="19"/>
          <w:u w:val="single" w:color="auto"/>
          <w:color w:val="auto"/>
        </w:rPr>
        <w:t>Section 2.10(a)</w:t>
      </w:r>
      <w:r>
        <w:rPr>
          <w:rFonts w:ascii="Arial" w:cs="Arial" w:eastAsia="Arial" w:hAnsi="Arial"/>
          <w:sz w:val="19"/>
          <w:szCs w:val="19"/>
          <w:color w:val="auto"/>
        </w:rPr>
        <w:t>, bear interest for one day. Each determination by the Administrative Agent of an interest rate or fee hereunder shall be conclusive and binding for all purposes, absent manifest error.</w:t>
      </w:r>
    </w:p>
    <w:p>
      <w:pPr>
        <w:spacing w:after="0" w:line="179" w:lineRule="exact"/>
        <w:rPr>
          <w:sz w:val="20"/>
          <w:szCs w:val="20"/>
          <w:color w:val="auto"/>
        </w:rPr>
      </w:pPr>
    </w:p>
    <w:p>
      <w:pPr>
        <w:jc w:val="both"/>
        <w:ind w:firstLine="872"/>
        <w:spacing w:after="0" w:line="271" w:lineRule="auto"/>
        <w:tabs>
          <w:tab w:leader="none" w:pos="1742"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If, as a result of any restatement of or other adjustment to the financial statements of the Borrower or for any other reason, the Borrower or the Lenders determine that (i) the Leverage Ratio as calculated by the Borrower as of any applicable date was inaccurate and (ii) a proper calculation of the Leverage Ratio would have resulted in higher pricing for such period, the Borrower shall immediately and retroactively be obligated to pay to the Administrative Agent for the account of the applicable Lenders, as the case may be, promptly on demand by the Administrative Agent (or, after the occurrence of an actual or deemed entry of an order for relief with respect to the Borrower under the Bankruptcy Code of the United States, automatically and without further action by the Administrative Agent or any Lender), an amount equal to the excess of the amount of interest and fees that should have been paid for such period over the amount of interest and fees actually paid for such period. This paragraph shall not limit the rights of the Administrative Agent or any Lender, as the case may be, under </w:t>
      </w:r>
      <w:r>
        <w:rPr>
          <w:rFonts w:ascii="Arial" w:cs="Arial" w:eastAsia="Arial" w:hAnsi="Arial"/>
          <w:sz w:val="18"/>
          <w:szCs w:val="18"/>
          <w:u w:val="single" w:color="auto"/>
          <w:color w:val="auto"/>
        </w:rPr>
        <w:t>Section 2.06(b)</w:t>
      </w:r>
      <w:r>
        <w:rPr>
          <w:rFonts w:ascii="Arial" w:cs="Arial" w:eastAsia="Arial" w:hAnsi="Arial"/>
          <w:sz w:val="18"/>
          <w:szCs w:val="18"/>
          <w:color w:val="auto"/>
        </w:rPr>
        <w:t xml:space="preserve"> or under </w:t>
      </w:r>
      <w:r>
        <w:rPr>
          <w:rFonts w:ascii="Arial" w:cs="Arial" w:eastAsia="Arial" w:hAnsi="Arial"/>
          <w:sz w:val="18"/>
          <w:szCs w:val="18"/>
          <w:u w:val="single" w:color="auto"/>
          <w:color w:val="auto"/>
        </w:rPr>
        <w:t>Article VIII</w:t>
      </w:r>
      <w:r>
        <w:rPr>
          <w:rFonts w:ascii="Arial" w:cs="Arial" w:eastAsia="Arial" w:hAnsi="Arial"/>
          <w:sz w:val="18"/>
          <w:szCs w:val="18"/>
          <w:color w:val="auto"/>
        </w:rPr>
        <w:t>. The Borrower’s obligations under this paragraph shall survive the termination of the Aggregate Commitments and the repayment of all other Obligations hereunder.</w:t>
      </w:r>
    </w:p>
    <w:p>
      <w:pPr>
        <w:spacing w:after="0" w:line="168"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b w:val="1"/>
          <w:bCs w:val="1"/>
          <w:color w:val="auto"/>
        </w:rPr>
        <w:t xml:space="preserve">2.09 Evidence of Debt. </w:t>
      </w:r>
      <w:r>
        <w:rPr>
          <w:rFonts w:ascii="Arial" w:cs="Arial" w:eastAsia="Arial" w:hAnsi="Arial"/>
          <w:sz w:val="19"/>
          <w:szCs w:val="19"/>
          <w:color w:val="auto"/>
        </w:rPr>
        <w:t>The Loans made by each Lender shall be evidenced by one or more accounts or records</w:t>
      </w:r>
      <w:r>
        <w:rPr>
          <w:rFonts w:ascii="Arial" w:cs="Arial" w:eastAsia="Arial" w:hAnsi="Arial"/>
          <w:sz w:val="19"/>
          <w:szCs w:val="19"/>
          <w:b w:val="1"/>
          <w:bCs w:val="1"/>
          <w:color w:val="auto"/>
        </w:rPr>
        <w:t xml:space="preserve"> </w:t>
      </w:r>
      <w:r>
        <w:rPr>
          <w:rFonts w:ascii="Arial" w:cs="Arial" w:eastAsia="Arial" w:hAnsi="Arial"/>
          <w:sz w:val="19"/>
          <w:szCs w:val="19"/>
          <w:color w:val="auto"/>
        </w:rPr>
        <w:t>maintained by such Lender and by the Administrative Agent in the ordinary course of business. The accounts or records maintained by the Administrative Agent and each Lender shall be conclusive absent manifest error of the amount of the Loans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to the Borrower made through the Administrative Agent, the Borrower shall execute and deliver to such Lender (through the Administrative Agent) a Note, which shall evidence such Lender’s Loans to the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7" w:name="page38"/>
    <w:bookmarkEnd w:id="37"/>
    <w:p>
      <w:pPr>
        <w:jc w:val="both"/>
        <w:spacing w:after="0" w:line="260" w:lineRule="auto"/>
        <w:rPr>
          <w:sz w:val="20"/>
          <w:szCs w:val="20"/>
          <w:color w:val="auto"/>
        </w:rPr>
      </w:pPr>
      <w:r>
        <w:rPr>
          <w:rFonts w:ascii="Arial" w:cs="Arial" w:eastAsia="Arial" w:hAnsi="Arial"/>
          <w:sz w:val="20"/>
          <w:szCs w:val="20"/>
          <w:color w:val="auto"/>
        </w:rPr>
        <w:t>Borrower in addition to such accounts or records. Each Lender may attach schedules to a Note and endorse thereon the date, Type (if applicable), amount and maturity of its Loans and payments with respect thereto.</w:t>
      </w:r>
    </w:p>
    <w:p>
      <w:pPr>
        <w:spacing w:after="0" w:line="171"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b w:val="1"/>
          <w:bCs w:val="1"/>
          <w:color w:val="auto"/>
        </w:rPr>
        <w:t>2.10 Payments Generally; Administrative Agent’s Clawback</w:t>
      </w:r>
      <w:r>
        <w:rPr>
          <w:rFonts w:ascii="Arial" w:cs="Arial" w:eastAsia="Arial" w:hAnsi="Arial"/>
          <w:sz w:val="20"/>
          <w:szCs w:val="20"/>
          <w:color w:val="auto"/>
        </w:rPr>
        <w:t>. (a) All payments to be made by the Borrower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made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3:00 p.m. on the date specified herein.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3:00 p.m. shall be deemed received on the next succeeding Business Day and any applicable interest or fee shall continue to accrue.</w:t>
      </w:r>
    </w:p>
    <w:p>
      <w:pPr>
        <w:spacing w:after="0" w:line="195"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52" w:lineRule="exact"/>
        <w:rPr>
          <w:sz w:val="20"/>
          <w:szCs w:val="20"/>
          <w:color w:val="auto"/>
        </w:rPr>
      </w:pPr>
    </w:p>
    <w:p>
      <w:pPr>
        <w:jc w:val="both"/>
        <w:ind w:firstLine="872"/>
        <w:spacing w:after="0" w:line="307" w:lineRule="auto"/>
        <w:tabs>
          <w:tab w:leader="none" w:pos="1742"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Funding by Lenders; Presumption by Administrative Agent</w:t>
      </w:r>
      <w:r>
        <w:rPr>
          <w:rFonts w:ascii="Arial" w:cs="Arial" w:eastAsia="Arial" w:hAnsi="Arial"/>
          <w:sz w:val="16"/>
          <w:szCs w:val="16"/>
          <w:color w:val="auto"/>
        </w:rPr>
        <w:t xml:space="preserve">. (i) Unless the Administrative Agent shall have received notice from a Lender prior to the proposed date of any Borrowing of Eurodollar Rate Loans (or, in the case of any Borrowing of Base Rate Loans, prior to 1:00 p.m.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in the case of a Borrowing of Base Rate Loans, that such Lender has made such share available in accordance with and at the time required by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administrative, processing or similar fees customarily charged by the Administrative Agent in connection with the foregoing, and</w:t>
      </w:r>
    </w:p>
    <w:p>
      <w:pPr>
        <w:spacing w:after="0" w:line="181" w:lineRule="exact"/>
        <w:rPr>
          <w:rFonts w:ascii="Arial" w:cs="Arial" w:eastAsia="Arial" w:hAnsi="Arial"/>
          <w:sz w:val="16"/>
          <w:szCs w:val="16"/>
          <w:color w:val="auto"/>
        </w:rPr>
      </w:pPr>
    </w:p>
    <w:p>
      <w:pPr>
        <w:jc w:val="both"/>
        <w:ind w:firstLine="8"/>
        <w:spacing w:after="0"/>
        <w:tabs>
          <w:tab w:leader="none" w:pos="322" w:val="left"/>
        </w:tabs>
        <w:numPr>
          <w:ilvl w:val="0"/>
          <w:numId w:val="29"/>
        </w:numPr>
        <w:rPr>
          <w:rFonts w:ascii="Arial" w:cs="Arial" w:eastAsia="Arial" w:hAnsi="Arial"/>
          <w:sz w:val="20"/>
          <w:szCs w:val="20"/>
          <w:color w:val="auto"/>
        </w:rPr>
      </w:pPr>
      <w:r>
        <w:rPr>
          <w:rFonts w:ascii="Arial" w:cs="Arial" w:eastAsia="Arial" w:hAnsi="Arial"/>
          <w:sz w:val="20"/>
          <w:szCs w:val="20"/>
          <w:color w:val="auto"/>
        </w:rPr>
        <w:t>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97" w:lineRule="exact"/>
        <w:rPr>
          <w:rFonts w:ascii="Arial" w:cs="Arial" w:eastAsia="Arial" w:hAnsi="Arial"/>
          <w:sz w:val="20"/>
          <w:szCs w:val="20"/>
          <w:color w:val="auto"/>
        </w:rPr>
      </w:pPr>
    </w:p>
    <w:p>
      <w:pPr>
        <w:jc w:val="both"/>
        <w:ind w:left="880" w:firstLine="1586"/>
        <w:spacing w:after="0" w:line="274" w:lineRule="auto"/>
        <w:tabs>
          <w:tab w:leader="none" w:pos="3364" w:val="left"/>
        </w:tabs>
        <w:numPr>
          <w:ilvl w:val="2"/>
          <w:numId w:val="29"/>
        </w:numPr>
        <w:rPr>
          <w:rFonts w:ascii="Arial" w:cs="Arial" w:eastAsia="Arial" w:hAnsi="Arial"/>
          <w:sz w:val="18"/>
          <w:szCs w:val="18"/>
          <w:color w:val="auto"/>
        </w:rPr>
      </w:pPr>
      <w:r>
        <w:rPr>
          <w:rFonts w:ascii="Arial" w:cs="Arial" w:eastAsia="Arial" w:hAnsi="Arial"/>
          <w:sz w:val="18"/>
          <w:szCs w:val="18"/>
          <w:u w:val="single" w:color="auto"/>
          <w:color w:val="auto"/>
        </w:rPr>
        <w:t>Payments by Borrower; Presumptions by Administrative Agent</w:t>
      </w:r>
      <w:r>
        <w:rPr>
          <w:rFonts w:ascii="Arial" w:cs="Arial" w:eastAsia="Arial" w:hAnsi="Arial"/>
          <w:sz w:val="18"/>
          <w:szCs w:val="18"/>
          <w:color w:val="auto"/>
        </w:rPr>
        <w:t>. 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in immediately available funds with interest thereon, for each day from and including the date such amount is distributed to it to but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8" w:name="page39"/>
    <w:bookmarkEnd w:id="38"/>
    <w:p>
      <w:pPr>
        <w:ind w:left="880" w:right="20"/>
        <w:spacing w:after="0" w:line="260" w:lineRule="auto"/>
        <w:rPr>
          <w:sz w:val="20"/>
          <w:szCs w:val="20"/>
          <w:color w:val="auto"/>
        </w:rPr>
      </w:pPr>
      <w:r>
        <w:rPr>
          <w:rFonts w:ascii="Arial" w:cs="Arial" w:eastAsia="Arial" w:hAnsi="Arial"/>
          <w:sz w:val="20"/>
          <w:szCs w:val="20"/>
          <w:color w:val="auto"/>
        </w:rPr>
        <w:t>excluding the date of payment to the Administrative Agent, at the greater of the Federal Funds Rate and a rate determined by the Administrative Agent in accordance with banking industry rules on interbank compensation.</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9"/>
          <w:szCs w:val="19"/>
          <w:color w:val="auto"/>
        </w:rPr>
        <w:t xml:space="preserve">A notice of the Administrative Agent to any Lender or the Borrower with respect to any amount owing under this </w:t>
      </w:r>
      <w:r>
        <w:rPr>
          <w:rFonts w:ascii="Arial" w:cs="Arial" w:eastAsia="Arial" w:hAnsi="Arial"/>
          <w:sz w:val="19"/>
          <w:szCs w:val="19"/>
          <w:u w:val="single" w:color="auto"/>
          <w:color w:val="auto"/>
        </w:rPr>
        <w:t>subsection</w:t>
      </w:r>
    </w:p>
    <w:p>
      <w:pPr>
        <w:spacing w:after="0" w:line="27" w:lineRule="exact"/>
        <w:rPr>
          <w:sz w:val="20"/>
          <w:szCs w:val="20"/>
          <w:color w:val="auto"/>
        </w:rPr>
      </w:pPr>
    </w:p>
    <w:p>
      <w:pPr>
        <w:ind w:left="280" w:hanging="272"/>
        <w:spacing w:after="0"/>
        <w:tabs>
          <w:tab w:leader="none" w:pos="280" w:val="left"/>
        </w:tabs>
        <w:numPr>
          <w:ilvl w:val="0"/>
          <w:numId w:val="30"/>
        </w:numPr>
        <w:rPr>
          <w:rFonts w:ascii="Arial" w:cs="Arial" w:eastAsia="Arial" w:hAnsi="Arial"/>
          <w:sz w:val="20"/>
          <w:szCs w:val="20"/>
          <w:u w:val="single" w:color="auto"/>
          <w:color w:val="auto"/>
        </w:rPr>
      </w:pPr>
      <w:r>
        <w:rPr>
          <w:rFonts w:ascii="Arial" w:cs="Arial" w:eastAsia="Arial" w:hAnsi="Arial"/>
          <w:sz w:val="20"/>
          <w:szCs w:val="20"/>
          <w:color w:val="auto"/>
        </w:rPr>
        <w:t>shall be conclusive, absent manifest error.</w:t>
      </w:r>
    </w:p>
    <w:p>
      <w:pPr>
        <w:spacing w:after="0" w:line="199" w:lineRule="exact"/>
        <w:rPr>
          <w:rFonts w:ascii="Arial" w:cs="Arial" w:eastAsia="Arial" w:hAnsi="Arial"/>
          <w:sz w:val="20"/>
          <w:szCs w:val="20"/>
          <w:u w:val="single" w:color="auto"/>
          <w:color w:val="auto"/>
        </w:rPr>
      </w:pPr>
    </w:p>
    <w:p>
      <w:pPr>
        <w:jc w:val="both"/>
        <w:ind w:firstLine="872"/>
        <w:spacing w:after="0" w:line="244" w:lineRule="auto"/>
        <w:tabs>
          <w:tab w:leader="none" w:pos="1731" w:val="left"/>
        </w:tabs>
        <w:numPr>
          <w:ilvl w:val="1"/>
          <w:numId w:val="30"/>
        </w:numPr>
        <w:rPr>
          <w:rFonts w:ascii="Arial" w:cs="Arial" w:eastAsia="Arial" w:hAnsi="Arial"/>
          <w:sz w:val="20"/>
          <w:szCs w:val="20"/>
          <w:color w:val="auto"/>
        </w:rPr>
      </w:pPr>
      <w:r>
        <w:rPr>
          <w:rFonts w:ascii="Arial" w:cs="Arial" w:eastAsia="Arial" w:hAnsi="Arial"/>
          <w:sz w:val="20"/>
          <w:szCs w:val="20"/>
          <w:u w:val="single" w:color="auto"/>
          <w:color w:val="auto"/>
        </w:rPr>
        <w:t>Failure to Satisfy Conditions Precedent</w:t>
      </w:r>
      <w:r>
        <w:rPr>
          <w:rFonts w:ascii="Arial" w:cs="Arial" w:eastAsia="Arial" w:hAnsi="Arial"/>
          <w:sz w:val="20"/>
          <w:szCs w:val="20"/>
          <w:color w:val="auto"/>
        </w:rPr>
        <w:t xml:space="preserve">. If any Lender makes available to the Administrative Agent funds for any Loan to be made by such Lender to the Borrower as provided in the foregoing provisions of this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and such funds are not made available to the Borrower by the Administrative Agent because the conditions to the applicable Borrowing set forth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are not satisfied or waived in accordance with the terms hereof, the Administrative Agent shall return such funds (in like funds as received from such Lender) to such Lender, without interest.</w:t>
      </w:r>
    </w:p>
    <w:p>
      <w:pPr>
        <w:spacing w:after="0" w:line="194" w:lineRule="exact"/>
        <w:rPr>
          <w:rFonts w:ascii="Arial" w:cs="Arial" w:eastAsia="Arial" w:hAnsi="Arial"/>
          <w:sz w:val="20"/>
          <w:szCs w:val="20"/>
          <w:color w:val="auto"/>
        </w:rPr>
      </w:pPr>
    </w:p>
    <w:p>
      <w:pPr>
        <w:jc w:val="both"/>
        <w:ind w:firstLine="872"/>
        <w:spacing w:after="0" w:line="282" w:lineRule="auto"/>
        <w:tabs>
          <w:tab w:leader="none" w:pos="1742"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Obligations of Lenders Several</w:t>
      </w:r>
      <w:r>
        <w:rPr>
          <w:rFonts w:ascii="Arial" w:cs="Arial" w:eastAsia="Arial" w:hAnsi="Arial"/>
          <w:sz w:val="18"/>
          <w:szCs w:val="18"/>
          <w:color w:val="auto"/>
        </w:rPr>
        <w:t xml:space="preserve">. The obligations of the Lenders hereunder to make Loans and to make payments pursuant to </w:t>
      </w:r>
      <w:r>
        <w:rPr>
          <w:rFonts w:ascii="Arial" w:cs="Arial" w:eastAsia="Arial" w:hAnsi="Arial"/>
          <w:sz w:val="18"/>
          <w:szCs w:val="18"/>
          <w:u w:val="single" w:color="auto"/>
          <w:color w:val="auto"/>
        </w:rPr>
        <w:t>Section 10.04(c)</w:t>
      </w:r>
      <w:r>
        <w:rPr>
          <w:rFonts w:ascii="Arial" w:cs="Arial" w:eastAsia="Arial" w:hAnsi="Arial"/>
          <w:sz w:val="18"/>
          <w:szCs w:val="18"/>
          <w:color w:val="auto"/>
        </w:rPr>
        <w:t xml:space="preserve"> are several and not joint. The failure of any Lender to make any Loan or to make any payment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10.04(c)</w:t>
      </w:r>
      <w:r>
        <w:rPr>
          <w:rFonts w:ascii="Arial" w:cs="Arial" w:eastAsia="Arial" w:hAnsi="Arial"/>
          <w:sz w:val="18"/>
          <w:szCs w:val="18"/>
          <w:color w:val="auto"/>
        </w:rPr>
        <w:t xml:space="preserve"> on any date required hereunder shall not relieve any other Lender of its corresponding obligation to do so on such date, and no Lender shall be responsible for the failure of any other Lender to so make its Loan or to make its payments under </w:t>
      </w:r>
      <w:r>
        <w:rPr>
          <w:rFonts w:ascii="Arial" w:cs="Arial" w:eastAsia="Arial" w:hAnsi="Arial"/>
          <w:sz w:val="18"/>
          <w:szCs w:val="18"/>
          <w:u w:val="single" w:color="auto"/>
          <w:color w:val="auto"/>
        </w:rPr>
        <w:t>Section 10.04(c)</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jc w:val="both"/>
        <w:ind w:firstLine="872"/>
        <w:spacing w:after="0" w:line="250" w:lineRule="auto"/>
        <w:tabs>
          <w:tab w:leader="none" w:pos="1731" w:val="left"/>
        </w:tabs>
        <w:numPr>
          <w:ilvl w:val="1"/>
          <w:numId w:val="30"/>
        </w:numPr>
        <w:rPr>
          <w:rFonts w:ascii="Arial" w:cs="Arial" w:eastAsia="Arial" w:hAnsi="Arial"/>
          <w:sz w:val="20"/>
          <w:szCs w:val="20"/>
          <w:color w:val="auto"/>
        </w:rPr>
      </w:pPr>
      <w:r>
        <w:rPr>
          <w:rFonts w:ascii="Arial" w:cs="Arial" w:eastAsia="Arial" w:hAnsi="Arial"/>
          <w:sz w:val="20"/>
          <w:szCs w:val="20"/>
          <w:u w:val="single" w:color="auto"/>
          <w:color w:val="auto"/>
        </w:rPr>
        <w:t>Funding Source</w:t>
      </w:r>
      <w:r>
        <w:rPr>
          <w:rFonts w:ascii="Arial" w:cs="Arial" w:eastAsia="Arial" w:hAnsi="Arial"/>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80"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8"/>
          <w:szCs w:val="18"/>
          <w:b w:val="1"/>
          <w:bCs w:val="1"/>
          <w:color w:val="auto"/>
        </w:rPr>
        <w:t xml:space="preserve">2.11 Sharing of Payments by Lenders. </w:t>
      </w:r>
      <w:r>
        <w:rPr>
          <w:rFonts w:ascii="Arial" w:cs="Arial" w:eastAsia="Arial" w:hAnsi="Arial"/>
          <w:sz w:val="18"/>
          <w:szCs w:val="18"/>
          <w:color w:val="auto"/>
        </w:rPr>
        <w:t>If any Lender shall, by exercising any right of setoff or counterclaim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otherwise, obtain payment in respect of (a) Obligations due and payable to such Lender hereunder and under the other Loan Documents at such time in excess of its ratable share (according to the proportion of (i) the amount of such Obligations due and payable to such Lender at such time to (ii) the aggregate amount of the Obligations due and payable to all Lenders hereunder and under the other Loan Documents at such time) of payments on account of the Obligations due and payable to all Lenders hereunder and under the other Loan Documents at such time obtained by all the Lenders at such time or (b) Obligations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owing (but not due and payable) to all Lenders hereunder and under the other Loan Documents at such time) of payment on account of the Obligations owing (but not due and payable) to all Lenders hereunder and under the other Loan Documents at such time obtained by all of the Lenders at such time then the Lender receiving such greater proportion shall (a) notify the Administrative Agent of such fact, and (b) purchase (for cash at face value) participations in the Loans of the other Lenders, or make such other adjustments as shall be equitable, so that the benefit of all such payments shall be shared by the Lenders ratably in accordance with the aggregate amount of Obligations then due and payable to the Lenders or owing (but not due and payable) to the Lenders,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75" w:lineRule="exact"/>
        <w:rPr>
          <w:sz w:val="20"/>
          <w:szCs w:val="20"/>
          <w:color w:val="auto"/>
        </w:rPr>
      </w:pPr>
    </w:p>
    <w:p>
      <w:pPr>
        <w:ind w:left="880" w:firstLine="789"/>
        <w:spacing w:after="0" w:line="316" w:lineRule="auto"/>
        <w:tabs>
          <w:tab w:leader="none" w:pos="2512"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129" w:lineRule="exact"/>
        <w:rPr>
          <w:rFonts w:ascii="Arial" w:cs="Arial" w:eastAsia="Arial" w:hAnsi="Arial"/>
          <w:sz w:val="18"/>
          <w:szCs w:val="18"/>
          <w:color w:val="auto"/>
        </w:rPr>
      </w:pPr>
    </w:p>
    <w:p>
      <w:pPr>
        <w:jc w:val="both"/>
        <w:ind w:left="880" w:firstLine="789"/>
        <w:spacing w:after="0" w:line="250" w:lineRule="auto"/>
        <w:tabs>
          <w:tab w:leader="none" w:pos="2567"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provisions of this Section shall not be construed to apply to (x) any payment made by the Borrower pursuant to and in accordance with the express terms of this Agreement (including the application of funds arising from the existence of a Defaulting Lender) or (y) 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9" w:name="page40"/>
    <w:bookmarkEnd w:id="39"/>
    <w:p>
      <w:pPr>
        <w:ind w:left="880"/>
        <w:spacing w:after="0" w:line="287" w:lineRule="auto"/>
        <w:rPr>
          <w:sz w:val="20"/>
          <w:szCs w:val="20"/>
          <w:color w:val="auto"/>
        </w:rPr>
      </w:pPr>
      <w:r>
        <w:rPr>
          <w:rFonts w:ascii="Arial" w:cs="Arial" w:eastAsia="Arial" w:hAnsi="Arial"/>
          <w:sz w:val="19"/>
          <w:szCs w:val="19"/>
          <w:color w:val="auto"/>
        </w:rPr>
        <w:t>payment obtained by a Lender as consideration for the assignment of or sale of a participation in any of its Loans to any assignee or participant, other than to the Borrower or any Subsidiary (as to which the provisions of this Section shall apply).</w:t>
      </w:r>
    </w:p>
    <w:p>
      <w:pPr>
        <w:spacing w:after="0" w:line="152"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8"/>
          <w:szCs w:val="18"/>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46"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2.12 Defaulting Lenders</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Adjustments</w:t>
      </w:r>
      <w:r>
        <w:rPr>
          <w:rFonts w:ascii="Arial" w:cs="Arial" w:eastAsia="Arial" w:hAnsi="Arial"/>
          <w:sz w:val="20"/>
          <w:szCs w:val="20"/>
          <w:color w:val="auto"/>
        </w:rPr>
        <w:t>. Notwithstanding anything to the contrary contained in this Agreement, if any</w:t>
      </w:r>
      <w:r>
        <w:rPr>
          <w:rFonts w:ascii="Arial" w:cs="Arial" w:eastAsia="Arial" w:hAnsi="Arial"/>
          <w:sz w:val="20"/>
          <w:szCs w:val="20"/>
          <w:b w:val="1"/>
          <w:bCs w:val="1"/>
          <w:color w:val="auto"/>
        </w:rPr>
        <w:t xml:space="preserve"> </w:t>
      </w:r>
      <w:r>
        <w:rPr>
          <w:rFonts w:ascii="Arial" w:cs="Arial" w:eastAsia="Arial" w:hAnsi="Arial"/>
          <w:sz w:val="20"/>
          <w:szCs w:val="20"/>
          <w:color w:val="auto"/>
        </w:rPr>
        <w:t>Lender becomes a Defaulting Lender, then, until such time as that Lender is no longer a Defaulting Lender, to the extent permitted by Applicable Law:</w:t>
      </w:r>
    </w:p>
    <w:p>
      <w:pPr>
        <w:spacing w:after="0" w:line="183" w:lineRule="exact"/>
        <w:rPr>
          <w:sz w:val="20"/>
          <w:szCs w:val="20"/>
          <w:color w:val="auto"/>
        </w:rPr>
      </w:pPr>
    </w:p>
    <w:p>
      <w:pPr>
        <w:jc w:val="both"/>
        <w:ind w:left="880" w:firstLine="789"/>
        <w:spacing w:after="0" w:line="250" w:lineRule="auto"/>
        <w:tabs>
          <w:tab w:leader="none" w:pos="2512" w:val="left"/>
        </w:tabs>
        <w:numPr>
          <w:ilvl w:val="1"/>
          <w:numId w:val="32"/>
        </w:numPr>
        <w:rPr>
          <w:rFonts w:ascii="Arial" w:cs="Arial" w:eastAsia="Arial" w:hAnsi="Arial"/>
          <w:sz w:val="20"/>
          <w:szCs w:val="20"/>
          <w:color w:val="auto"/>
        </w:rPr>
      </w:pPr>
      <w:r>
        <w:rPr>
          <w:rFonts w:ascii="Arial" w:cs="Arial" w:eastAsia="Arial" w:hAnsi="Arial"/>
          <w:sz w:val="20"/>
          <w:szCs w:val="20"/>
          <w:u w:val="single" w:color="auto"/>
          <w:color w:val="auto"/>
        </w:rPr>
        <w:t>Waivers and Amendments</w:t>
      </w:r>
      <w:r>
        <w:rPr>
          <w:rFonts w:ascii="Arial" w:cs="Arial" w:eastAsia="Arial" w:hAnsi="Arial"/>
          <w:sz w:val="20"/>
          <w:szCs w:val="20"/>
          <w:color w:val="auto"/>
        </w:rPr>
        <w:t xml:space="preserve">. Such Defaulting Lender’s right to approve or disapprove any amendment, waiver or consent with respect to this Agreement shall be restricted as set forth in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and in the definition of “Required Lenders”.</w:t>
      </w:r>
    </w:p>
    <w:p>
      <w:pPr>
        <w:spacing w:after="0" w:line="185" w:lineRule="exact"/>
        <w:rPr>
          <w:rFonts w:ascii="Arial" w:cs="Arial" w:eastAsia="Arial" w:hAnsi="Arial"/>
          <w:sz w:val="20"/>
          <w:szCs w:val="20"/>
          <w:color w:val="auto"/>
        </w:rPr>
      </w:pPr>
    </w:p>
    <w:p>
      <w:pPr>
        <w:jc w:val="both"/>
        <w:ind w:left="880" w:firstLine="789"/>
        <w:spacing w:after="0" w:line="267" w:lineRule="auto"/>
        <w:tabs>
          <w:tab w:leader="none" w:pos="2567"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Defaulting Lender Waterfall</w:t>
      </w:r>
      <w:r>
        <w:rPr>
          <w:rFonts w:ascii="Arial" w:cs="Arial" w:eastAsia="Arial" w:hAnsi="Arial"/>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VIII</w:t>
      </w:r>
      <w:r>
        <w:rPr>
          <w:rFonts w:ascii="Arial" w:cs="Arial" w:eastAsia="Arial" w:hAnsi="Arial"/>
          <w:sz w:val="18"/>
          <w:szCs w:val="18"/>
          <w:color w:val="auto"/>
        </w:rPr>
        <w:t xml:space="preserve"> or otherwise) or received by the Administrative Agent from a Defaulting Lender pursuant to </w:t>
      </w:r>
      <w:r>
        <w:rPr>
          <w:rFonts w:ascii="Arial" w:cs="Arial" w:eastAsia="Arial" w:hAnsi="Arial"/>
          <w:sz w:val="18"/>
          <w:szCs w:val="18"/>
          <w:u w:val="single" w:color="auto"/>
          <w:color w:val="auto"/>
        </w:rPr>
        <w:t>Section 10.09</w:t>
      </w:r>
      <w:r>
        <w:rPr>
          <w:rFonts w:ascii="Arial" w:cs="Arial" w:eastAsia="Arial" w:hAnsi="Arial"/>
          <w:sz w:val="18"/>
          <w:szCs w:val="18"/>
          <w:color w:val="auto"/>
        </w:rPr>
        <w:t xml:space="preserve"> shall be applied at such time or times as may be determined by the Administrative Agent as follows: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the payment of any amounts owing by such Defaulting Lender to the Administrative Agent hereunder; </w:t>
      </w:r>
      <w:r>
        <w:rPr>
          <w:rFonts w:ascii="Arial" w:cs="Arial" w:eastAsia="Arial" w:hAnsi="Arial"/>
          <w:sz w:val="18"/>
          <w:szCs w:val="18"/>
          <w:i w:val="1"/>
          <w:iCs w:val="1"/>
          <w:color w:val="auto"/>
        </w:rPr>
        <w:t>second</w:t>
      </w:r>
      <w:r>
        <w:rPr>
          <w:rFonts w:ascii="Arial" w:cs="Arial" w:eastAsia="Arial" w:hAnsi="Arial"/>
          <w:sz w:val="18"/>
          <w:szCs w:val="18"/>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8"/>
          <w:szCs w:val="18"/>
          <w:i w:val="1"/>
          <w:iCs w:val="1"/>
          <w:color w:val="auto"/>
        </w:rPr>
        <w:t>third</w:t>
      </w:r>
      <w:r>
        <w:rPr>
          <w:rFonts w:ascii="Arial" w:cs="Arial" w:eastAsia="Arial" w:hAnsi="Arial"/>
          <w:sz w:val="18"/>
          <w:szCs w:val="18"/>
          <w:color w:val="auto"/>
        </w:rPr>
        <w:t xml:space="preserve">, if so determined by the Administrative Agent and the Borrower, to be held in a deposit account and released pro rata in order to satisfy such Defaulting Lender’s potential future funding obligations with respect to Loans under this Agreement; </w:t>
      </w:r>
      <w:r>
        <w:rPr>
          <w:rFonts w:ascii="Arial" w:cs="Arial" w:eastAsia="Arial" w:hAnsi="Arial"/>
          <w:sz w:val="18"/>
          <w:szCs w:val="18"/>
          <w:i w:val="1"/>
          <w:iCs w:val="1"/>
          <w:color w:val="auto"/>
        </w:rPr>
        <w:t>fourth</w:t>
      </w:r>
      <w:r>
        <w:rPr>
          <w:rFonts w:ascii="Arial" w:cs="Arial" w:eastAsia="Arial" w:hAnsi="Arial"/>
          <w:sz w:val="18"/>
          <w:szCs w:val="18"/>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Arial" w:cs="Arial" w:eastAsia="Arial" w:hAnsi="Arial"/>
          <w:sz w:val="18"/>
          <w:szCs w:val="18"/>
          <w:i w:val="1"/>
          <w:iCs w:val="1"/>
          <w:color w:val="auto"/>
        </w:rPr>
        <w:t>fifth</w:t>
      </w:r>
      <w:r>
        <w:rPr>
          <w:rFonts w:ascii="Arial" w:cs="Arial" w:eastAsia="Arial" w:hAnsi="Arial"/>
          <w:sz w:val="18"/>
          <w:szCs w:val="18"/>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8"/>
          <w:szCs w:val="18"/>
          <w:i w:val="1"/>
          <w:iCs w:val="1"/>
          <w:color w:val="auto"/>
        </w:rPr>
        <w:t>sixth</w:t>
      </w:r>
      <w:r>
        <w:rPr>
          <w:rFonts w:ascii="Arial" w:cs="Arial" w:eastAsia="Arial" w:hAnsi="Arial"/>
          <w:sz w:val="18"/>
          <w:szCs w:val="18"/>
          <w:color w:val="auto"/>
        </w:rPr>
        <w:t xml:space="preserve">, to such Defaulting Lender or as otherwise directed by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w:t>
      </w:r>
    </w:p>
    <w:p>
      <w:pPr>
        <w:spacing w:after="0" w:line="5" w:lineRule="exact"/>
        <w:rPr>
          <w:rFonts w:ascii="Arial" w:cs="Arial" w:eastAsia="Arial" w:hAnsi="Arial"/>
          <w:sz w:val="18"/>
          <w:szCs w:val="18"/>
          <w:color w:val="auto"/>
        </w:rPr>
      </w:pPr>
    </w:p>
    <w:p>
      <w:pPr>
        <w:jc w:val="both"/>
        <w:ind w:left="880" w:hanging="8"/>
        <w:spacing w:after="0" w:line="270" w:lineRule="auto"/>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such payment is a payment of the principal amount of any Loans in respect of which such Defaulting Lender has not fully funded its appropriate share, and (y) such Loans were made at a time when the conditions set forth in </w:t>
      </w:r>
      <w:r>
        <w:rPr>
          <w:rFonts w:ascii="Arial" w:cs="Arial" w:eastAsia="Arial" w:hAnsi="Arial"/>
          <w:sz w:val="18"/>
          <w:szCs w:val="18"/>
          <w:u w:val="single" w:color="auto"/>
          <w:color w:val="auto"/>
        </w:rPr>
        <w:t>Sections 4.01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4.02</w:t>
      </w:r>
      <w:r>
        <w:rPr>
          <w:rFonts w:ascii="Arial" w:cs="Arial" w:eastAsia="Arial" w:hAnsi="Arial"/>
          <w:sz w:val="18"/>
          <w:szCs w:val="18"/>
          <w:color w:val="auto"/>
        </w:rPr>
        <w:t xml:space="preserve"> were satisfied or waived, such payment shall be applied solely to pay the Loans of all Non-Defaulting Lenders on a pro rata basis (and ratably among all applicable Facilities computed in accordance with the Defaulting Lenders’ respective funding deficiencies) prior to being applied to the payment of any Loans of such Defaulting Lender until such time as all Loans are held by the Lenders pro rata in accordance with the Commitments hereunder. Any payments, prepayments or other amounts paid or payable to a Defaulting Lender that are applied (or held) to pay amounts owed by a Defaulting Lender shall be deemed paid to and redirected by such Defaulting Lender, and each Lender irrevocably consents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6855460</wp:posOffset>
            </wp:positionH>
            <wp:positionV relativeFrom="paragraph">
              <wp:posOffset>-667385</wp:posOffset>
            </wp:positionV>
            <wp:extent cx="311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153" w:lineRule="exact"/>
        <w:rPr>
          <w:sz w:val="20"/>
          <w:szCs w:val="20"/>
          <w:color w:val="auto"/>
        </w:rPr>
      </w:pPr>
    </w:p>
    <w:p>
      <w:pPr>
        <w:jc w:val="both"/>
        <w:ind w:firstLine="872"/>
        <w:spacing w:after="0" w:line="246" w:lineRule="auto"/>
        <w:tabs>
          <w:tab w:leader="none" w:pos="1742"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Defaulting Lender Cure</w:t>
      </w:r>
      <w:r>
        <w:rPr>
          <w:rFonts w:ascii="Arial" w:cs="Arial" w:eastAsia="Arial" w:hAnsi="Arial"/>
          <w:sz w:val="20"/>
          <w:szCs w:val="20"/>
          <w:color w:val="auto"/>
        </w:rPr>
        <w:t>. If the Borrower and the Administrative Agent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that Lender will, to the extent applicable, purchase at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0" w:name="page41"/>
    <w:bookmarkEnd w:id="40"/>
    <w:p>
      <w:pPr>
        <w:jc w:val="both"/>
        <w:spacing w:after="0" w:line="259" w:lineRule="auto"/>
        <w:rPr>
          <w:sz w:val="20"/>
          <w:szCs w:val="20"/>
          <w:color w:val="auto"/>
        </w:rPr>
      </w:pPr>
      <w:r>
        <w:rPr>
          <w:rFonts w:ascii="Arial" w:cs="Arial" w:eastAsia="Arial" w:hAnsi="Arial"/>
          <w:sz w:val="19"/>
          <w:szCs w:val="19"/>
          <w:color w:val="auto"/>
        </w:rPr>
        <w:t xml:space="preserve">par that portion of outstanding Loans of the other Lenders or take such other actions as the Administrative Agent may determine to be necessary to cause the Loans to be held on a pro rata basis by the Lenders in accordance with their Applicable Percentages, whereupon that Lender will cease to be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9"/>
          <w:szCs w:val="19"/>
          <w:u w:val="single" w:color="auto"/>
          <w:color w:val="auto"/>
        </w:rPr>
        <w:t>provided</w:t>
      </w:r>
      <w:r>
        <w:rPr>
          <w:rFonts w:ascii="Arial" w:cs="Arial" w:eastAsia="Arial" w:hAnsi="Arial"/>
          <w:sz w:val="19"/>
          <w:szCs w:val="19"/>
          <w:color w:val="auto"/>
        </w:rPr>
        <w:t>, further,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TAXES, YIELD PROTECTION AND ILLEGALITY</w:t>
      </w:r>
    </w:p>
    <w:p>
      <w:pPr>
        <w:spacing w:after="0" w:line="19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3.01</w:t>
      </w:r>
      <w:r>
        <w:rPr>
          <w:sz w:val="20"/>
          <w:szCs w:val="20"/>
          <w:color w:val="auto"/>
        </w:rPr>
        <w:tab/>
      </w:r>
      <w:r>
        <w:rPr>
          <w:rFonts w:ascii="Arial" w:cs="Arial" w:eastAsia="Arial" w:hAnsi="Arial"/>
          <w:sz w:val="16"/>
          <w:szCs w:val="16"/>
          <w:b w:val="1"/>
          <w:bCs w:val="1"/>
          <w:color w:val="auto"/>
        </w:rPr>
        <w:t>Taxes.</w:t>
      </w:r>
    </w:p>
    <w:p>
      <w:pPr>
        <w:spacing w:after="0" w:line="222" w:lineRule="exact"/>
        <w:rPr>
          <w:sz w:val="20"/>
          <w:szCs w:val="20"/>
          <w:color w:val="auto"/>
        </w:rPr>
      </w:pPr>
    </w:p>
    <w:p>
      <w:pPr>
        <w:ind w:left="1740" w:hanging="868"/>
        <w:spacing w:after="0"/>
        <w:tabs>
          <w:tab w:leader="none" w:pos="1740"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Payments Free of Taxes; Obligation to Withhold; Payments on Account of Taxes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880" w:firstLine="789"/>
        <w:spacing w:after="0" w:line="243" w:lineRule="auto"/>
        <w:tabs>
          <w:tab w:leader="none" w:pos="2512" w:val="left"/>
        </w:tabs>
        <w:numPr>
          <w:ilvl w:val="1"/>
          <w:numId w:val="35"/>
        </w:numPr>
        <w:rPr>
          <w:rFonts w:ascii="Arial" w:cs="Arial" w:eastAsia="Arial" w:hAnsi="Arial"/>
          <w:sz w:val="20"/>
          <w:szCs w:val="20"/>
          <w:color w:val="auto"/>
        </w:rPr>
      </w:pPr>
      <w:r>
        <w:rPr>
          <w:rFonts w:ascii="Arial" w:cs="Arial" w:eastAsia="Arial" w:hAnsi="Arial"/>
          <w:sz w:val="20"/>
          <w:szCs w:val="20"/>
          <w:color w:val="auto"/>
        </w:rPr>
        <w:t xml:space="preserve">Any and all payments by or on account of any obligation of the Borrower hereunder or under any Loan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the Borrower, then the Administrative Agent or the Borrower shall be entitled to make such deduction or withholding, upon the basis of the information and documentation to be delivered pursuant to </w:t>
      </w:r>
      <w:r>
        <w:rPr>
          <w:rFonts w:ascii="Arial" w:cs="Arial" w:eastAsia="Arial" w:hAnsi="Arial"/>
          <w:sz w:val="20"/>
          <w:szCs w:val="20"/>
          <w:u w:val="single" w:color="auto"/>
          <w:color w:val="auto"/>
        </w:rPr>
        <w:t>subsection (e)</w:t>
      </w:r>
      <w:r>
        <w:rPr>
          <w:rFonts w:ascii="Arial" w:cs="Arial" w:eastAsia="Arial" w:hAnsi="Arial"/>
          <w:sz w:val="20"/>
          <w:szCs w:val="20"/>
          <w:color w:val="auto"/>
        </w:rPr>
        <w:t xml:space="preserve"> below.</w:t>
      </w:r>
    </w:p>
    <w:p>
      <w:pPr>
        <w:spacing w:after="0" w:line="195" w:lineRule="exact"/>
        <w:rPr>
          <w:rFonts w:ascii="Arial" w:cs="Arial" w:eastAsia="Arial" w:hAnsi="Arial"/>
          <w:sz w:val="20"/>
          <w:szCs w:val="20"/>
          <w:color w:val="auto"/>
        </w:rPr>
      </w:pPr>
    </w:p>
    <w:p>
      <w:pPr>
        <w:jc w:val="both"/>
        <w:ind w:left="880" w:firstLine="789"/>
        <w:spacing w:after="0" w:line="256" w:lineRule="auto"/>
        <w:tabs>
          <w:tab w:leader="none" w:pos="2567" w:val="left"/>
        </w:tabs>
        <w:numPr>
          <w:ilvl w:val="1"/>
          <w:numId w:val="35"/>
        </w:numPr>
        <w:rPr>
          <w:rFonts w:ascii="Arial" w:cs="Arial" w:eastAsia="Arial" w:hAnsi="Arial"/>
          <w:sz w:val="19"/>
          <w:szCs w:val="19"/>
          <w:color w:val="auto"/>
        </w:rPr>
      </w:pPr>
      <w:r>
        <w:rPr>
          <w:rFonts w:ascii="Arial" w:cs="Arial" w:eastAsia="Arial" w:hAnsi="Arial"/>
          <w:sz w:val="19"/>
          <w:szCs w:val="19"/>
          <w:color w:val="auto"/>
        </w:rPr>
        <w:t xml:space="preserve">If the Borrower or the Administrative Agent shall be required by the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Arial" w:cs="Arial" w:eastAsia="Arial" w:hAnsi="Arial"/>
          <w:sz w:val="19"/>
          <w:szCs w:val="19"/>
          <w:u w:val="single" w:color="auto"/>
          <w:color w:val="auto"/>
        </w:rPr>
        <w:t>subsection (e)</w:t>
      </w:r>
      <w:r>
        <w:rPr>
          <w:rFonts w:ascii="Arial" w:cs="Arial" w:eastAsia="Arial" w:hAnsi="Arial"/>
          <w:sz w:val="19"/>
          <w:szCs w:val="19"/>
          <w:color w:val="auto"/>
        </w:rPr>
        <w:t xml:space="preserve"> below, (B) the Administrative Agent shall timely pay the full amount so withheld or deducted by it to the relevant Governmental Authority in accordance with the Code, and (C) to the extent that the withholding or deduction is made on account of Indemnified Taxes, the sum payable by the Borrower shall be increased as necessary so that after any required withholding or the making of all required deductions (including deductions applicable to additional sums payable under this </w:t>
      </w:r>
      <w:r>
        <w:rPr>
          <w:rFonts w:ascii="Arial" w:cs="Arial" w:eastAsia="Arial" w:hAnsi="Arial"/>
          <w:sz w:val="19"/>
          <w:szCs w:val="19"/>
          <w:u w:val="single" w:color="auto"/>
          <w:color w:val="auto"/>
        </w:rPr>
        <w:t>Section 3.01</w:t>
      </w:r>
      <w:r>
        <w:rPr>
          <w:rFonts w:ascii="Arial" w:cs="Arial" w:eastAsia="Arial" w:hAnsi="Arial"/>
          <w:sz w:val="19"/>
          <w:szCs w:val="19"/>
          <w:color w:val="auto"/>
        </w:rPr>
        <w:t>) the applicable Recipient receives an amount equal to the sum it would have received had no such withholding or deduction been made.</w:t>
      </w:r>
    </w:p>
    <w:p>
      <w:pPr>
        <w:spacing w:after="0" w:line="184" w:lineRule="exact"/>
        <w:rPr>
          <w:rFonts w:ascii="Arial" w:cs="Arial" w:eastAsia="Arial" w:hAnsi="Arial"/>
          <w:sz w:val="19"/>
          <w:szCs w:val="19"/>
          <w:color w:val="auto"/>
        </w:rPr>
      </w:pPr>
    </w:p>
    <w:p>
      <w:pPr>
        <w:jc w:val="both"/>
        <w:ind w:left="880" w:firstLine="789"/>
        <w:spacing w:after="0" w:line="255" w:lineRule="auto"/>
        <w:tabs>
          <w:tab w:leader="none" w:pos="2622" w:val="left"/>
        </w:tabs>
        <w:numPr>
          <w:ilvl w:val="1"/>
          <w:numId w:val="35"/>
        </w:numPr>
        <w:rPr>
          <w:rFonts w:ascii="Arial" w:cs="Arial" w:eastAsia="Arial" w:hAnsi="Arial"/>
          <w:sz w:val="19"/>
          <w:szCs w:val="19"/>
          <w:color w:val="auto"/>
        </w:rPr>
      </w:pPr>
      <w:r>
        <w:rPr>
          <w:rFonts w:ascii="Arial" w:cs="Arial" w:eastAsia="Arial" w:hAnsi="Arial"/>
          <w:sz w:val="19"/>
          <w:szCs w:val="19"/>
          <w:color w:val="auto"/>
        </w:rPr>
        <w:t xml:space="preserve">If the Borrower or the Administrative Agent shall be required by any Applicable Laws other than the Code to withhold or deduct any Taxes from any payment, then (A) the Borrower or the Administrative Agent, as required by such Laws, shall withhold or make such deductions as are determined by it to be required based upon the information and documentation it has received pursuant to </w:t>
      </w:r>
      <w:r>
        <w:rPr>
          <w:rFonts w:ascii="Arial" w:cs="Arial" w:eastAsia="Arial" w:hAnsi="Arial"/>
          <w:sz w:val="19"/>
          <w:szCs w:val="19"/>
          <w:u w:val="single" w:color="auto"/>
          <w:color w:val="auto"/>
        </w:rPr>
        <w:t>subsection (e)</w:t>
      </w:r>
      <w:r>
        <w:rPr>
          <w:rFonts w:ascii="Arial" w:cs="Arial" w:eastAsia="Arial" w:hAnsi="Arial"/>
          <w:sz w:val="19"/>
          <w:szCs w:val="19"/>
          <w:color w:val="auto"/>
        </w:rPr>
        <w:t xml:space="preserve"> below, (B) the Borrower or the Administrative Agent, to the extent required by such Laws, shall make such deductions and shall timely pay the full amount so withheld or deducted by it to the relevant Governmental Authority in accordance with such Laws, and (C) to the extent that the withholding or deduction is made on account of Indemnified Taxes, the sum payable by the Borrower shall be increased as necessary so that after any required withholding or the making of all required deductions (including deductions applicable to additional sums payable under this </w:t>
      </w:r>
      <w:r>
        <w:rPr>
          <w:rFonts w:ascii="Arial" w:cs="Arial" w:eastAsia="Arial" w:hAnsi="Arial"/>
          <w:sz w:val="19"/>
          <w:szCs w:val="19"/>
          <w:u w:val="single" w:color="auto"/>
          <w:color w:val="auto"/>
        </w:rPr>
        <w:t>Section 3.01</w:t>
      </w:r>
      <w:r>
        <w:rPr>
          <w:rFonts w:ascii="Arial" w:cs="Arial" w:eastAsia="Arial" w:hAnsi="Arial"/>
          <w:sz w:val="19"/>
          <w:szCs w:val="19"/>
          <w:color w:val="auto"/>
        </w:rPr>
        <w:t>) the applicable Recipient receives an amount equal to the sum it would have received had no such withholding or deduction been made.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1" w:name="page42"/>
    <w:bookmarkEnd w:id="41"/>
    <w:p>
      <w:pPr>
        <w:jc w:val="both"/>
        <w:ind w:firstLine="872"/>
        <w:spacing w:after="0" w:line="250" w:lineRule="auto"/>
        <w:tabs>
          <w:tab w:leader="none" w:pos="1742"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Payment of Other Taxes by the Borrower</w:t>
      </w:r>
      <w:r>
        <w:rPr>
          <w:rFonts w:ascii="Arial" w:cs="Arial" w:eastAsia="Arial" w:hAnsi="Arial"/>
          <w:sz w:val="20"/>
          <w:szCs w:val="20"/>
          <w:color w:val="auto"/>
        </w:rPr>
        <w:t xml:space="preserve">. Without limiting the provisions of </w:t>
      </w:r>
      <w:r>
        <w:rPr>
          <w:rFonts w:ascii="Arial" w:cs="Arial" w:eastAsia="Arial" w:hAnsi="Arial"/>
          <w:sz w:val="20"/>
          <w:szCs w:val="20"/>
          <w:u w:val="single" w:color="auto"/>
          <w:color w:val="auto"/>
        </w:rPr>
        <w:t>subsection (a)</w:t>
      </w:r>
      <w:r>
        <w:rPr>
          <w:rFonts w:ascii="Arial" w:cs="Arial" w:eastAsia="Arial" w:hAnsi="Arial"/>
          <w:sz w:val="20"/>
          <w:szCs w:val="20"/>
          <w:color w:val="auto"/>
        </w:rPr>
        <w:t xml:space="preserve"> above, the Borrower shall timely pay to the relevant Governmental Authority in accordance with Applicable Laws, or at the option of the Administrative Agent timely reimburse it for the payment of, any Other Taxes.</w:t>
      </w:r>
    </w:p>
    <w:p>
      <w:pPr>
        <w:spacing w:after="0" w:line="185" w:lineRule="exact"/>
        <w:rPr>
          <w:rFonts w:ascii="Arial" w:cs="Arial" w:eastAsia="Arial" w:hAnsi="Arial"/>
          <w:sz w:val="20"/>
          <w:szCs w:val="20"/>
          <w:color w:val="auto"/>
        </w:rPr>
      </w:pPr>
    </w:p>
    <w:p>
      <w:pPr>
        <w:ind w:left="1740" w:hanging="868"/>
        <w:spacing w:after="0"/>
        <w:tabs>
          <w:tab w:leader="none" w:pos="1740"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Tax Indemnifications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880" w:firstLine="789"/>
        <w:spacing w:after="0" w:line="309" w:lineRule="auto"/>
        <w:tabs>
          <w:tab w:leader="none" w:pos="2512" w:val="left"/>
        </w:tabs>
        <w:numPr>
          <w:ilvl w:val="1"/>
          <w:numId w:val="36"/>
        </w:numPr>
        <w:rPr>
          <w:rFonts w:ascii="Arial" w:cs="Arial" w:eastAsia="Arial" w:hAnsi="Arial"/>
          <w:sz w:val="16"/>
          <w:szCs w:val="16"/>
          <w:color w:val="auto"/>
        </w:rPr>
      </w:pPr>
      <w:r>
        <w:rPr>
          <w:rFonts w:ascii="Arial" w:cs="Arial" w:eastAsia="Arial" w:hAnsi="Arial"/>
          <w:sz w:val="16"/>
          <w:szCs w:val="16"/>
          <w:color w:val="auto"/>
        </w:rPr>
        <w:t xml:space="preserve">Without limiting the provisions of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the Borrower shall, and does hereby, indemnify each Recipient, and shall make payment in respect thereof within 30 days after demand therefor, for the full amount of any Indemnified Taxes (including Indemnified Taxes imposed or asserted on or attributable to amounts payable under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3.01</w:t>
      </w:r>
      <w:r>
        <w:rPr>
          <w:rFonts w:ascii="Arial" w:cs="Arial" w:eastAsia="Arial" w:hAnsi="Arial"/>
          <w:sz w:val="16"/>
          <w:szCs w:val="16"/>
          <w:color w:val="auto"/>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The Borrower shall, and does hereby, indemnify the Administrative Agent, and shall make payment in respect thereof within 30 days after demand therefor, for any amount which a Lender for any reason fails to pay indefeasibly to the Administrative Agent as required pursuant to </w:t>
      </w:r>
      <w:r>
        <w:rPr>
          <w:rFonts w:ascii="Arial" w:cs="Arial" w:eastAsia="Arial" w:hAnsi="Arial"/>
          <w:sz w:val="16"/>
          <w:szCs w:val="16"/>
          <w:u w:val="single" w:color="auto"/>
          <w:color w:val="auto"/>
        </w:rPr>
        <w:t>Section 3.01(c)(ii)</w:t>
      </w:r>
      <w:r>
        <w:rPr>
          <w:rFonts w:ascii="Arial" w:cs="Arial" w:eastAsia="Arial" w:hAnsi="Arial"/>
          <w:sz w:val="16"/>
          <w:szCs w:val="16"/>
          <w:color w:val="auto"/>
        </w:rPr>
        <w:t xml:space="preserve"> below.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379" w:lineRule="exact"/>
        <w:rPr>
          <w:rFonts w:ascii="Arial" w:cs="Arial" w:eastAsia="Arial" w:hAnsi="Arial"/>
          <w:sz w:val="16"/>
          <w:szCs w:val="16"/>
          <w:color w:val="auto"/>
        </w:rPr>
      </w:pPr>
    </w:p>
    <w:p>
      <w:pPr>
        <w:jc w:val="both"/>
        <w:ind w:left="880" w:firstLine="789"/>
        <w:spacing w:after="0" w:line="270" w:lineRule="auto"/>
        <w:tabs>
          <w:tab w:leader="none" w:pos="2567"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Without limiting the provisions of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each Lender shall, and does hereby, severally indemnify, and shall make payment in respect thereof within 30 days after demand therefor, (x) the Administrative Agent against any Indemnified Taxes attributable to such Lender (but only to the extent that the Borrower has not already indemnified the Administrative Agent for such Indemnified Taxes and without limiting the obligation of the Borrower to do so), (y) the Administrative Agent and the Borrower, as applicable, against any Taxes attributable to such Lender’s failure to comply with the provisions of </w:t>
      </w:r>
      <w:r>
        <w:rPr>
          <w:rFonts w:ascii="Arial" w:cs="Arial" w:eastAsia="Arial" w:hAnsi="Arial"/>
          <w:sz w:val="18"/>
          <w:szCs w:val="18"/>
          <w:u w:val="single" w:color="auto"/>
          <w:color w:val="auto"/>
        </w:rPr>
        <w:t>Section 10.06(d)</w:t>
      </w:r>
      <w:r>
        <w:rPr>
          <w:rFonts w:ascii="Arial" w:cs="Arial" w:eastAsia="Arial" w:hAnsi="Arial"/>
          <w:sz w:val="18"/>
          <w:szCs w:val="18"/>
          <w:color w:val="auto"/>
        </w:rPr>
        <w:t xml:space="preserve"> relating to the maintenance of a Participant Register and (z) the Administrative Agent and the Borrower, as applicable, against any Excluded Taxes attributable to such Lender, in each case, that are payable or paid by the Administrative Agent or the Borrower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as the case may be, under this Agreement or any other Loan Document against any amount due to the Administrative Agent under this </w:t>
      </w:r>
      <w:r>
        <w:rPr>
          <w:rFonts w:ascii="Arial" w:cs="Arial" w:eastAsia="Arial" w:hAnsi="Arial"/>
          <w:sz w:val="18"/>
          <w:szCs w:val="18"/>
          <w:u w:val="single" w:color="auto"/>
          <w:color w:val="auto"/>
        </w:rPr>
        <w:t>clause (ii)</w:t>
      </w:r>
      <w:r>
        <w:rPr>
          <w:rFonts w:ascii="Arial" w:cs="Arial" w:eastAsia="Arial" w:hAnsi="Arial"/>
          <w:sz w:val="18"/>
          <w:szCs w:val="18"/>
          <w:color w:val="auto"/>
        </w:rPr>
        <w:t>.</w:t>
      </w:r>
    </w:p>
    <w:p>
      <w:pPr>
        <w:spacing w:after="0" w:line="172" w:lineRule="exact"/>
        <w:rPr>
          <w:rFonts w:ascii="Arial" w:cs="Arial" w:eastAsia="Arial" w:hAnsi="Arial"/>
          <w:sz w:val="18"/>
          <w:szCs w:val="18"/>
          <w:color w:val="auto"/>
        </w:rPr>
      </w:pPr>
    </w:p>
    <w:p>
      <w:pPr>
        <w:jc w:val="both"/>
        <w:ind w:firstLine="872"/>
        <w:spacing w:after="0" w:line="260" w:lineRule="auto"/>
        <w:tabs>
          <w:tab w:leader="none" w:pos="1742"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Evidence of Payments</w:t>
      </w:r>
      <w:r>
        <w:rPr>
          <w:rFonts w:ascii="Arial" w:cs="Arial" w:eastAsia="Arial" w:hAnsi="Arial"/>
          <w:sz w:val="19"/>
          <w:szCs w:val="19"/>
          <w:color w:val="auto"/>
        </w:rPr>
        <w:t xml:space="preserve">. As soon as practicable, after any payment of Taxes by the Borrower or by the Administrative Agent to a Governmental Authority as provided in this </w:t>
      </w:r>
      <w:r>
        <w:rPr>
          <w:rFonts w:ascii="Arial" w:cs="Arial" w:eastAsia="Arial" w:hAnsi="Arial"/>
          <w:sz w:val="19"/>
          <w:szCs w:val="19"/>
          <w:u w:val="single" w:color="auto"/>
          <w:color w:val="auto"/>
        </w:rPr>
        <w:t>Section 3.01</w:t>
      </w:r>
      <w:r>
        <w:rPr>
          <w:rFonts w:ascii="Arial" w:cs="Arial" w:eastAsia="Arial" w:hAnsi="Arial"/>
          <w:sz w:val="19"/>
          <w:szCs w:val="19"/>
          <w:color w:val="auto"/>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180" w:lineRule="exact"/>
        <w:rPr>
          <w:rFonts w:ascii="Arial" w:cs="Arial" w:eastAsia="Arial" w:hAnsi="Arial"/>
          <w:sz w:val="19"/>
          <w:szCs w:val="19"/>
          <w:color w:val="auto"/>
        </w:rPr>
      </w:pPr>
    </w:p>
    <w:p>
      <w:pPr>
        <w:ind w:left="1740" w:hanging="868"/>
        <w:spacing w:after="0"/>
        <w:tabs>
          <w:tab w:leader="none" w:pos="1740"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Status of Lenders; Tax Documentation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880" w:firstLine="789"/>
        <w:spacing w:after="0" w:line="260" w:lineRule="auto"/>
        <w:tabs>
          <w:tab w:leader="none" w:pos="2512" w:val="left"/>
        </w:tabs>
        <w:numPr>
          <w:ilvl w:val="1"/>
          <w:numId w:val="36"/>
        </w:numPr>
        <w:rPr>
          <w:rFonts w:ascii="Arial" w:cs="Arial" w:eastAsia="Arial" w:hAnsi="Arial"/>
          <w:sz w:val="20"/>
          <w:szCs w:val="20"/>
          <w:color w:val="auto"/>
        </w:rPr>
      </w:pPr>
      <w:r>
        <w:rPr>
          <w:rFonts w:ascii="Arial" w:cs="Arial" w:eastAsia="Arial" w:hAnsi="Arial"/>
          <w:sz w:val="20"/>
          <w:szCs w:val="20"/>
          <w:color w:val="auto"/>
        </w:rPr>
        <w:t>Any Lender that is entitled to an exemption from or reduction of withholding Tax with respect to payments made under any Loan Document shall deliver to the Borrower and to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2" w:name="page43"/>
    <w:bookmarkEnd w:id="42"/>
    <w:p>
      <w:pPr>
        <w:jc w:val="both"/>
        <w:spacing w:after="0" w:line="255" w:lineRule="auto"/>
        <w:rPr>
          <w:sz w:val="20"/>
          <w:szCs w:val="20"/>
          <w:color w:val="auto"/>
        </w:rPr>
      </w:pPr>
      <w:r>
        <w:rPr>
          <w:rFonts w:ascii="Arial" w:cs="Arial" w:eastAsia="Arial" w:hAnsi="Arial"/>
          <w:sz w:val="19"/>
          <w:szCs w:val="19"/>
          <w:color w:val="auto"/>
        </w:rPr>
        <w:t xml:space="preserve">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9"/>
          <w:szCs w:val="19"/>
          <w:u w:val="single" w:color="auto"/>
          <w:color w:val="auto"/>
        </w:rPr>
        <w:t>Section 3.01(e)(ii)(A)</w:t>
      </w:r>
      <w:r>
        <w:rPr>
          <w:rFonts w:ascii="Arial" w:cs="Arial" w:eastAsia="Arial" w:hAnsi="Arial"/>
          <w:sz w:val="19"/>
          <w:szCs w:val="19"/>
          <w:color w:val="auto"/>
        </w:rPr>
        <w:t xml:space="preserve">, </w:t>
      </w:r>
      <w:r>
        <w:rPr>
          <w:rFonts w:ascii="Arial" w:cs="Arial" w:eastAsia="Arial" w:hAnsi="Arial"/>
          <w:sz w:val="19"/>
          <w:szCs w:val="19"/>
          <w:u w:val="single" w:color="auto"/>
          <w:color w:val="auto"/>
        </w:rPr>
        <w:t>(ii)(B)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(ii)(D)</w:t>
      </w:r>
      <w:r>
        <w:rPr>
          <w:rFonts w:ascii="Arial" w:cs="Arial" w:eastAsia="Arial" w:hAnsi="Arial"/>
          <w:sz w:val="19"/>
          <w:szCs w:val="19"/>
          <w:color w:val="auto"/>
        </w:rPr>
        <w:t>)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0" w:lineRule="exact"/>
        <w:rPr>
          <w:sz w:val="20"/>
          <w:szCs w:val="20"/>
          <w:color w:val="auto"/>
        </w:rPr>
      </w:pPr>
    </w:p>
    <w:p>
      <w:pPr>
        <w:ind w:left="1680" w:hanging="891"/>
        <w:spacing w:after="0"/>
        <w:tabs>
          <w:tab w:leader="none" w:pos="16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Without limiting the generality of the foregoing, in the event that the Borrower is a U.S. Person,</w:t>
      </w:r>
    </w:p>
    <w:p>
      <w:pPr>
        <w:spacing w:after="0" w:line="229" w:lineRule="exact"/>
        <w:rPr>
          <w:rFonts w:ascii="Arial" w:cs="Arial" w:eastAsia="Arial" w:hAnsi="Arial"/>
          <w:sz w:val="20"/>
          <w:szCs w:val="20"/>
          <w:color w:val="auto"/>
        </w:rPr>
      </w:pPr>
    </w:p>
    <w:p>
      <w:pPr>
        <w:jc w:val="both"/>
        <w:ind w:left="860" w:firstLine="726"/>
        <w:spacing w:after="0" w:line="238" w:lineRule="auto"/>
        <w:tabs>
          <w:tab w:leader="none" w:pos="2539" w:val="left"/>
        </w:tabs>
        <w:numPr>
          <w:ilvl w:val="1"/>
          <w:numId w:val="37"/>
        </w:numPr>
        <w:rPr>
          <w:rFonts w:ascii="Arial" w:cs="Arial" w:eastAsia="Arial" w:hAnsi="Arial"/>
          <w:sz w:val="22"/>
          <w:szCs w:val="22"/>
          <w:color w:val="auto"/>
        </w:rPr>
      </w:pPr>
      <w:r>
        <w:rPr>
          <w:rFonts w:ascii="Arial" w:cs="Arial" w:eastAsia="Arial" w:hAnsi="Arial"/>
          <w:sz w:val="20"/>
          <w:szCs w:val="20"/>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212" w:lineRule="exact"/>
        <w:rPr>
          <w:rFonts w:ascii="Arial" w:cs="Arial" w:eastAsia="Arial" w:hAnsi="Arial"/>
          <w:sz w:val="22"/>
          <w:szCs w:val="22"/>
          <w:color w:val="auto"/>
        </w:rPr>
      </w:pPr>
    </w:p>
    <w:p>
      <w:pPr>
        <w:jc w:val="both"/>
        <w:ind w:left="860" w:firstLine="726"/>
        <w:spacing w:after="0" w:line="277" w:lineRule="auto"/>
        <w:tabs>
          <w:tab w:leader="none" w:pos="2527" w:val="left"/>
        </w:tabs>
        <w:numPr>
          <w:ilvl w:val="1"/>
          <w:numId w:val="37"/>
        </w:numPr>
        <w:rPr>
          <w:rFonts w:ascii="Arial" w:cs="Arial" w:eastAsia="Arial" w:hAnsi="Arial"/>
          <w:sz w:val="19"/>
          <w:szCs w:val="19"/>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65" w:lineRule="exact"/>
        <w:rPr>
          <w:rFonts w:ascii="Arial" w:cs="Arial" w:eastAsia="Arial" w:hAnsi="Arial"/>
          <w:sz w:val="19"/>
          <w:szCs w:val="19"/>
          <w:color w:val="auto"/>
        </w:rPr>
      </w:pPr>
    </w:p>
    <w:p>
      <w:pPr>
        <w:jc w:val="both"/>
        <w:ind w:left="1720" w:firstLine="691"/>
        <w:spacing w:after="0" w:line="257" w:lineRule="auto"/>
        <w:tabs>
          <w:tab w:leader="none" w:pos="3249" w:val="left"/>
        </w:tabs>
        <w:numPr>
          <w:ilvl w:val="2"/>
          <w:numId w:val="37"/>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an income tax treaty to which the United States is a party (x) with respect to payments of interest under any Loan Document, executed originals of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185" w:lineRule="exact"/>
        <w:rPr>
          <w:sz w:val="20"/>
          <w:szCs w:val="20"/>
          <w:color w:val="auto"/>
        </w:rPr>
      </w:pPr>
    </w:p>
    <w:p>
      <w:pPr>
        <w:ind w:left="3300" w:hanging="916"/>
        <w:spacing w:after="0"/>
        <w:tabs>
          <w:tab w:leader="none" w:pos="33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executed originals of IRS Form W-8ECI,</w:t>
      </w:r>
    </w:p>
    <w:p>
      <w:pPr>
        <w:spacing w:after="0" w:line="216" w:lineRule="exact"/>
        <w:rPr>
          <w:sz w:val="20"/>
          <w:szCs w:val="20"/>
          <w:color w:val="auto"/>
        </w:rPr>
      </w:pPr>
    </w:p>
    <w:p>
      <w:pPr>
        <w:ind w:left="3360" w:hanging="976"/>
        <w:spacing w:after="0"/>
        <w:tabs>
          <w:tab w:leader="none" w:pos="3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executed originals of IRS Form W-8IMY and all required supporting documentation,</w:t>
      </w:r>
    </w:p>
    <w:p>
      <w:pPr>
        <w:spacing w:after="0" w:line="239" w:lineRule="exact"/>
        <w:rPr>
          <w:sz w:val="20"/>
          <w:szCs w:val="20"/>
          <w:color w:val="auto"/>
        </w:rPr>
      </w:pPr>
    </w:p>
    <w:p>
      <w:pPr>
        <w:jc w:val="both"/>
        <w:ind w:left="1720" w:firstLine="664"/>
        <w:spacing w:after="0" w:line="244" w:lineRule="auto"/>
        <w:rPr>
          <w:sz w:val="20"/>
          <w:szCs w:val="20"/>
          <w:color w:val="auto"/>
        </w:rPr>
      </w:pPr>
      <w:r>
        <w:rPr>
          <w:rFonts w:ascii="Arial" w:cs="Arial" w:eastAsia="Arial" w:hAnsi="Arial"/>
          <w:sz w:val="20"/>
          <w:szCs w:val="20"/>
          <w:color w:val="auto"/>
        </w:rPr>
        <w:t xml:space="preserve">(IV) in the case of a Foreign Lender claiming the benefits of the exemption for portfolio interest under Section 881(c) of the Code, (x) a certificate substantially in the form of </w:t>
      </w:r>
      <w:r>
        <w:rPr>
          <w:rFonts w:ascii="Arial" w:cs="Arial" w:eastAsia="Arial" w:hAnsi="Arial"/>
          <w:sz w:val="20"/>
          <w:szCs w:val="20"/>
          <w:u w:val="single" w:color="auto"/>
          <w:color w:val="auto"/>
        </w:rPr>
        <w:t>Exhibit E-1</w:t>
      </w:r>
      <w:r>
        <w:rPr>
          <w:rFonts w:ascii="Arial" w:cs="Arial" w:eastAsia="Arial" w:hAnsi="Arial"/>
          <w:sz w:val="20"/>
          <w:szCs w:val="20"/>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w:t>
      </w:r>
    </w:p>
    <w:p>
      <w:pPr>
        <w:spacing w:after="0" w:line="190"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170180</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39" w:right="339" w:bottom="1440" w:gutter="0" w:footer="0" w:header="0"/>
        </w:sectPr>
      </w:pPr>
    </w:p>
    <w:bookmarkStart w:id="43" w:name="page44"/>
    <w:bookmarkEnd w:id="43"/>
    <w:p>
      <w:pPr>
        <w:ind w:left="2600"/>
        <w:spacing w:after="0" w:line="260" w:lineRule="auto"/>
        <w:rPr>
          <w:sz w:val="20"/>
          <w:szCs w:val="20"/>
          <w:color w:val="auto"/>
        </w:rPr>
      </w:pPr>
      <w:r>
        <w:rPr>
          <w:rFonts w:ascii="Arial" w:cs="Arial" w:eastAsia="Arial" w:hAnsi="Arial"/>
          <w:sz w:val="20"/>
          <w:szCs w:val="20"/>
          <w:color w:val="auto"/>
        </w:rPr>
        <w:t>the Code (a “</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and (y) executed originals of IRS Form W-8BEN or W-8BEN-E, as applicable, or</w:t>
      </w:r>
    </w:p>
    <w:p>
      <w:pPr>
        <w:spacing w:after="0" w:line="177" w:lineRule="exact"/>
        <w:rPr>
          <w:sz w:val="20"/>
          <w:szCs w:val="20"/>
          <w:color w:val="auto"/>
        </w:rPr>
      </w:pPr>
    </w:p>
    <w:p>
      <w:pPr>
        <w:jc w:val="both"/>
        <w:ind w:left="2600" w:firstLine="664"/>
        <w:spacing w:after="0" w:line="257" w:lineRule="auto"/>
        <w:tabs>
          <w:tab w:leader="none" w:pos="4187" w:val="left"/>
        </w:tabs>
        <w:numPr>
          <w:ilvl w:val="3"/>
          <w:numId w:val="40"/>
        </w:numPr>
        <w:rPr>
          <w:rFonts w:ascii="Arial" w:cs="Arial" w:eastAsia="Arial" w:hAnsi="Arial"/>
          <w:sz w:val="19"/>
          <w:szCs w:val="19"/>
          <w:color w:val="auto"/>
        </w:rPr>
      </w:pPr>
      <w:r>
        <w:rPr>
          <w:rFonts w:ascii="Arial" w:cs="Arial" w:eastAsia="Arial" w:hAnsi="Arial"/>
          <w:sz w:val="19"/>
          <w:szCs w:val="19"/>
          <w:color w:val="auto"/>
        </w:rPr>
        <w:t xml:space="preserve">to the extent a Foreign Lender is not the beneficial owner, executed originals of IRS Form W-8IMY, accompanied by IRS Form W-8ECI, IRS Form W-8BEN or W-8BEN-E, as applicable, a U.S. Tax Compliance Certificate substantially in the form of </w:t>
      </w:r>
      <w:r>
        <w:rPr>
          <w:rFonts w:ascii="Arial" w:cs="Arial" w:eastAsia="Arial" w:hAnsi="Arial"/>
          <w:sz w:val="19"/>
          <w:szCs w:val="19"/>
          <w:u w:val="single" w:color="auto"/>
          <w:color w:val="auto"/>
        </w:rPr>
        <w:t>Exhibit E-2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Exhibit E-3</w:t>
      </w:r>
      <w:r>
        <w:rPr>
          <w:rFonts w:ascii="Arial" w:cs="Arial" w:eastAsia="Arial" w:hAnsi="Arial"/>
          <w:sz w:val="19"/>
          <w:szCs w:val="19"/>
          <w:color w:val="auto"/>
        </w:rPr>
        <w:t xml:space="preserve">, IRS Form W-9, and/or other certification documents from each beneficial owner,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9"/>
          <w:szCs w:val="19"/>
          <w:u w:val="single" w:color="auto"/>
          <w:color w:val="auto"/>
        </w:rPr>
        <w:t>Exhibit E-4</w:t>
      </w:r>
      <w:r>
        <w:rPr>
          <w:rFonts w:ascii="Arial" w:cs="Arial" w:eastAsia="Arial" w:hAnsi="Arial"/>
          <w:sz w:val="19"/>
          <w:szCs w:val="19"/>
          <w:color w:val="auto"/>
        </w:rPr>
        <w:t xml:space="preserve"> on behalf of each such direct and indirect partner.</w:t>
      </w:r>
    </w:p>
    <w:p>
      <w:pPr>
        <w:spacing w:after="0" w:line="198" w:lineRule="exact"/>
        <w:rPr>
          <w:rFonts w:ascii="Arial" w:cs="Arial" w:eastAsia="Arial" w:hAnsi="Arial"/>
          <w:sz w:val="19"/>
          <w:szCs w:val="19"/>
          <w:color w:val="auto"/>
        </w:rPr>
      </w:pPr>
    </w:p>
    <w:p>
      <w:pPr>
        <w:jc w:val="both"/>
        <w:ind w:left="1740" w:firstLine="726"/>
        <w:spacing w:after="0" w:line="271" w:lineRule="auto"/>
        <w:tabs>
          <w:tab w:leader="none" w:pos="3407" w:val="left"/>
        </w:tabs>
        <w:numPr>
          <w:ilvl w:val="2"/>
          <w:numId w:val="41"/>
        </w:numPr>
        <w:rPr>
          <w:rFonts w:ascii="Arial" w:cs="Arial" w:eastAsia="Arial" w:hAnsi="Arial"/>
          <w:sz w:val="19"/>
          <w:szCs w:val="19"/>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additional forms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86" w:lineRule="exact"/>
        <w:rPr>
          <w:rFonts w:ascii="Arial" w:cs="Arial" w:eastAsia="Arial" w:hAnsi="Arial"/>
          <w:sz w:val="19"/>
          <w:szCs w:val="19"/>
          <w:color w:val="auto"/>
        </w:rPr>
      </w:pPr>
    </w:p>
    <w:p>
      <w:pPr>
        <w:jc w:val="both"/>
        <w:ind w:left="1740" w:firstLine="726"/>
        <w:spacing w:after="0" w:line="270" w:lineRule="auto"/>
        <w:tabs>
          <w:tab w:leader="none" w:pos="3419" w:val="left"/>
        </w:tabs>
        <w:numPr>
          <w:ilvl w:val="2"/>
          <w:numId w:val="41"/>
        </w:numPr>
        <w:rPr>
          <w:rFonts w:ascii="Arial" w:cs="Arial" w:eastAsia="Arial" w:hAnsi="Arial"/>
          <w:sz w:val="19"/>
          <w:szCs w:val="19"/>
          <w:color w:val="auto"/>
        </w:rPr>
      </w:pPr>
      <w:r>
        <w:rPr>
          <w:rFonts w:ascii="Arial" w:cs="Arial" w:eastAsia="Arial" w:hAnsi="Arial"/>
          <w:sz w:val="18"/>
          <w:szCs w:val="18"/>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18"/>
          <w:szCs w:val="18"/>
          <w:u w:val="single" w:color="auto"/>
          <w:color w:val="auto"/>
        </w:rPr>
        <w:t>clause (D)</w:t>
      </w:r>
      <w:r>
        <w:rPr>
          <w:rFonts w:ascii="Arial" w:cs="Arial" w:eastAsia="Arial" w:hAnsi="Arial"/>
          <w:sz w:val="18"/>
          <w:szCs w:val="18"/>
          <w:color w:val="auto"/>
        </w:rPr>
        <w:t>, “FATCA” shall include any amendments made to FATCA after the date of this Agreement.</w:t>
      </w:r>
    </w:p>
    <w:p>
      <w:pPr>
        <w:spacing w:after="0" w:line="169" w:lineRule="exact"/>
        <w:rPr>
          <w:rFonts w:ascii="Arial" w:cs="Arial" w:eastAsia="Arial" w:hAnsi="Arial"/>
          <w:sz w:val="19"/>
          <w:szCs w:val="19"/>
          <w:color w:val="auto"/>
        </w:rPr>
      </w:pPr>
    </w:p>
    <w:p>
      <w:pPr>
        <w:jc w:val="both"/>
        <w:ind w:left="880" w:firstLine="789"/>
        <w:spacing w:after="0" w:line="250" w:lineRule="auto"/>
        <w:tabs>
          <w:tab w:leader="none" w:pos="2622" w:val="left"/>
        </w:tabs>
        <w:numPr>
          <w:ilvl w:val="1"/>
          <w:numId w:val="42"/>
        </w:numPr>
        <w:rPr>
          <w:rFonts w:ascii="Arial" w:cs="Arial" w:eastAsia="Arial" w:hAnsi="Arial"/>
          <w:sz w:val="20"/>
          <w:szCs w:val="20"/>
          <w:color w:val="auto"/>
        </w:rPr>
      </w:pPr>
      <w:r>
        <w:rPr>
          <w:rFonts w:ascii="Arial" w:cs="Arial" w:eastAsia="Arial" w:hAnsi="Arial"/>
          <w:sz w:val="20"/>
          <w:szCs w:val="20"/>
          <w:color w:val="auto"/>
        </w:rPr>
        <w:t xml:space="preserve">Each Lender agrees that if any form or certification it previously delivered pursuant to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185" w:lineRule="exact"/>
        <w:rPr>
          <w:rFonts w:ascii="Arial" w:cs="Arial" w:eastAsia="Arial" w:hAnsi="Arial"/>
          <w:sz w:val="20"/>
          <w:szCs w:val="20"/>
          <w:color w:val="auto"/>
        </w:rPr>
      </w:pPr>
    </w:p>
    <w:p>
      <w:pPr>
        <w:jc w:val="both"/>
        <w:ind w:firstLine="872"/>
        <w:spacing w:after="0" w:line="259" w:lineRule="auto"/>
        <w:tabs>
          <w:tab w:leader="none" w:pos="1709"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If any party determines, in its sole discretion exercised in good faith, that it has received a refund of any Taxes as to which it has been indemnified pursuant to this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(including by the payment of additional amounts pursuant to this </w:t>
      </w:r>
      <w:r>
        <w:rPr>
          <w:rFonts w:ascii="Arial" w:cs="Arial" w:eastAsia="Arial" w:hAnsi="Arial"/>
          <w:sz w:val="19"/>
          <w:szCs w:val="19"/>
          <w:u w:val="single" w:color="auto"/>
          <w:color w:val="auto"/>
        </w:rPr>
        <w:t>Section 3.01</w:t>
      </w:r>
      <w:r>
        <w:rPr>
          <w:rFonts w:ascii="Arial" w:cs="Arial" w:eastAsia="Arial" w:hAnsi="Arial"/>
          <w:sz w:val="19"/>
          <w:szCs w:val="19"/>
          <w:color w:val="auto"/>
        </w:rPr>
        <w:t>),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4" w:name="page45"/>
    <w:bookmarkEnd w:id="44"/>
    <w:p>
      <w:pPr>
        <w:jc w:val="both"/>
        <w:spacing w:after="0" w:line="273" w:lineRule="auto"/>
        <w:rPr>
          <w:sz w:val="20"/>
          <w:szCs w:val="20"/>
          <w:color w:val="auto"/>
        </w:rPr>
      </w:pPr>
      <w:r>
        <w:rPr>
          <w:rFonts w:ascii="Arial" w:cs="Arial" w:eastAsia="Arial" w:hAnsi="Arial"/>
          <w:sz w:val="18"/>
          <w:szCs w:val="18"/>
          <w:color w:val="auto"/>
        </w:rPr>
        <w:t xml:space="preserve">repay to such indemnified party the amount paid over pursuant to this </w:t>
      </w:r>
      <w:r>
        <w:rPr>
          <w:rFonts w:ascii="Arial" w:cs="Arial" w:eastAsia="Arial" w:hAnsi="Arial"/>
          <w:sz w:val="18"/>
          <w:szCs w:val="18"/>
          <w:u w:val="single" w:color="auto"/>
          <w:color w:val="auto"/>
        </w:rPr>
        <w:t>paragraph (f)</w:t>
      </w:r>
      <w:r>
        <w:rPr>
          <w:rFonts w:ascii="Arial" w:cs="Arial" w:eastAsia="Arial" w:hAnsi="Arial"/>
          <w:sz w:val="18"/>
          <w:szCs w:val="18"/>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Arial" w:cs="Arial" w:eastAsia="Arial" w:hAnsi="Arial"/>
          <w:sz w:val="18"/>
          <w:szCs w:val="18"/>
          <w:u w:val="single" w:color="auto"/>
          <w:color w:val="auto"/>
        </w:rPr>
        <w:t>paragraph (f)</w:t>
      </w:r>
      <w:r>
        <w:rPr>
          <w:rFonts w:ascii="Arial" w:cs="Arial" w:eastAsia="Arial" w:hAnsi="Arial"/>
          <w:sz w:val="18"/>
          <w:szCs w:val="18"/>
          <w:color w:val="auto"/>
        </w:rPr>
        <w:t xml:space="preserve">, in no event will the indemnified party be required to pay any amount to an indemnifying party pursuant to this </w:t>
      </w:r>
      <w:r>
        <w:rPr>
          <w:rFonts w:ascii="Arial" w:cs="Arial" w:eastAsia="Arial" w:hAnsi="Arial"/>
          <w:sz w:val="18"/>
          <w:szCs w:val="18"/>
          <w:u w:val="single" w:color="auto"/>
          <w:color w:val="auto"/>
        </w:rPr>
        <w:t>paragraph (f)</w:t>
      </w:r>
      <w:r>
        <w:rPr>
          <w:rFonts w:ascii="Arial" w:cs="Arial" w:eastAsia="Arial" w:hAnsi="Arial"/>
          <w:sz w:val="18"/>
          <w:szCs w:val="18"/>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68" w:lineRule="exact"/>
        <w:rPr>
          <w:sz w:val="20"/>
          <w:szCs w:val="20"/>
          <w:color w:val="auto"/>
        </w:rPr>
      </w:pPr>
    </w:p>
    <w:p>
      <w:pPr>
        <w:jc w:val="both"/>
        <w:ind w:firstLine="872"/>
        <w:spacing w:after="0" w:line="250" w:lineRule="auto"/>
        <w:tabs>
          <w:tab w:leader="none" w:pos="1742"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Each party’s obligations under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shall survive the resignation or replacement of the Administrative Agent or any assignment of rights by, or the replacement of, a Lender, the termination of the Commitments and the repayment, satisfaction or discharge of all other Obligations.</w:t>
      </w:r>
    </w:p>
    <w:p>
      <w:pPr>
        <w:spacing w:after="0" w:line="185" w:lineRule="exact"/>
        <w:rPr>
          <w:rFonts w:ascii="Arial" w:cs="Arial" w:eastAsia="Arial" w:hAnsi="Arial"/>
          <w:sz w:val="20"/>
          <w:szCs w:val="20"/>
          <w:color w:val="auto"/>
        </w:rPr>
      </w:pPr>
    </w:p>
    <w:p>
      <w:pPr>
        <w:ind w:left="1760" w:hanging="888"/>
        <w:spacing w:after="0"/>
        <w:tabs>
          <w:tab w:leader="none" w:pos="1760"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xml:space="preserve">. For purposes of this </w:t>
      </w:r>
      <w:r>
        <w:rPr>
          <w:rFonts w:ascii="Arial" w:cs="Arial" w:eastAsia="Arial" w:hAnsi="Arial"/>
          <w:sz w:val="20"/>
          <w:szCs w:val="20"/>
          <w:u w:val="single" w:color="auto"/>
          <w:color w:val="auto"/>
        </w:rPr>
        <w:t>Section 3.01</w:t>
      </w:r>
      <w:r>
        <w:rPr>
          <w:rFonts w:ascii="Arial" w:cs="Arial" w:eastAsia="Arial" w:hAnsi="Arial"/>
          <w:sz w:val="20"/>
          <w:szCs w:val="20"/>
          <w:color w:val="auto"/>
        </w:rPr>
        <w:t>, the term “</w:t>
      </w:r>
      <w:r>
        <w:rPr>
          <w:rFonts w:ascii="Arial" w:cs="Arial" w:eastAsia="Arial" w:hAnsi="Arial"/>
          <w:sz w:val="20"/>
          <w:szCs w:val="20"/>
          <w:u w:val="single" w:color="auto"/>
          <w:color w:val="auto"/>
        </w:rPr>
        <w:t>Applicable Law</w:t>
      </w:r>
      <w:r>
        <w:rPr>
          <w:rFonts w:ascii="Arial" w:cs="Arial" w:eastAsia="Arial" w:hAnsi="Arial"/>
          <w:sz w:val="20"/>
          <w:szCs w:val="20"/>
          <w:color w:val="auto"/>
        </w:rPr>
        <w:t>” includes FATCA.</w:t>
      </w:r>
    </w:p>
    <w:p>
      <w:pPr>
        <w:spacing w:after="0" w:line="210"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8"/>
          <w:szCs w:val="18"/>
          <w:b w:val="1"/>
          <w:bCs w:val="1"/>
          <w:color w:val="auto"/>
        </w:rPr>
        <w:t xml:space="preserve">3.02 Illegality. </w:t>
      </w:r>
      <w:r>
        <w:rPr>
          <w:rFonts w:ascii="Arial" w:cs="Arial" w:eastAsia="Arial" w:hAnsi="Arial"/>
          <w:sz w:val="18"/>
          <w:szCs w:val="18"/>
          <w:color w:val="auto"/>
        </w:rPr>
        <w:t>If any Lender determines that any Law has made it unlawful, or that any Governmental Authority has</w:t>
      </w:r>
      <w:r>
        <w:rPr>
          <w:rFonts w:ascii="Arial" w:cs="Arial" w:eastAsia="Arial" w:hAnsi="Arial"/>
          <w:sz w:val="18"/>
          <w:szCs w:val="18"/>
          <w:b w:val="1"/>
          <w:bCs w:val="1"/>
          <w:color w:val="auto"/>
        </w:rPr>
        <w:t xml:space="preserve"> </w:t>
      </w:r>
      <w:r>
        <w:rPr>
          <w:rFonts w:ascii="Arial" w:cs="Arial" w:eastAsia="Arial" w:hAnsi="Arial"/>
          <w:sz w:val="18"/>
          <w:szCs w:val="18"/>
          <w:color w:val="auto"/>
        </w:rPr>
        <w:t>asserted that it is unlawful, for any Lender or its applicable Lending Office to make, maintain or fund Loans whose interest is determined by reference to the Eurodollar Rate, or to determine or charge interest rates based upon the Eurodollar Rate (including in regards to the Base Rate), or any Governmental Authority has imposed material restrictions on the authority of such Lender to purchase or sell, or to take deposits of, Dollars in the London interbank market, then, on notice thereof by such Lender to the Borrower through the Administrative Agent, (i) any obligation of such Lender to make or continue Eurodollar Rate Loans or to convert Base Rate Loans to Eurodollar Rate Loans shall be suspended, and (ii) if such notice asserts the illegality of such Lender making or maintaining Base Rate Loans the interest rate on which is determined by reference to the Eurodollar Rate component of the Base Rate, the interest rate on which Base Rate Loans of such Lender shall, if necessary to avoid such illegality, be determined by the Administrative Agent without reference to the Eurodollar Rate component of the Base Rate, in each case until such Lender notifies the Administrative Agent and the Borrower that the circumstances giving rise to such determination no longer exist. Upon receipt of such notice, (x) the Borrower shall, upon demand from such Lender (with a copy to the Administrative Agent), prepay or, if applicable, convert all Eurodollar Rate Loans of such Lender to Base Rate Loans (the interest rate on which Base Rate Loans of such Lender shall, if necessary to avoid such illegality, be determined by the Administrative Agent without reference to the Eurodollar Rate component of the Base Rate), either on the last day of the Interest Period therefor, if such Lender may lawfully continue to maintain such Eurodollar Rate Loans to such day, or immediately, if such Lender may not lawfully continue to maintain such Eurodollar Rate Loans and (y) if such notice asserts the illegality of such Lender determining or charging interest rates based upon the Eurodollar Rate, the Administrative Agent shall during the period of such suspension compute the Base Rate applicable to such Lender without reference to the Eurodollar Rate component thereof until the Administrative Agent is advised in writing by such Lender that it is no longer illegal for such Lender to determine or charge interest rates based upon the Eurodollar Rate. Upon any such prepayment or conversion, the Borrower shall also pay accrued interest on the amount so prepaid or converted.</w:t>
      </w:r>
    </w:p>
    <w:p>
      <w:pPr>
        <w:spacing w:after="0" w:line="16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3.03</w:t>
      </w:r>
      <w:r>
        <w:rPr>
          <w:sz w:val="20"/>
          <w:szCs w:val="20"/>
          <w:color w:val="auto"/>
        </w:rPr>
        <w:tab/>
      </w:r>
      <w:r>
        <w:rPr>
          <w:rFonts w:ascii="Arial" w:cs="Arial" w:eastAsia="Arial" w:hAnsi="Arial"/>
          <w:sz w:val="18"/>
          <w:szCs w:val="18"/>
          <w:b w:val="1"/>
          <w:bCs w:val="1"/>
          <w:color w:val="auto"/>
        </w:rPr>
        <w:t>Inability to Determine Rates.</w:t>
      </w:r>
    </w:p>
    <w:p>
      <w:pPr>
        <w:spacing w:after="0" w:line="222" w:lineRule="exact"/>
        <w:rPr>
          <w:sz w:val="20"/>
          <w:szCs w:val="20"/>
          <w:color w:val="auto"/>
        </w:rPr>
      </w:pPr>
    </w:p>
    <w:p>
      <w:pPr>
        <w:ind w:firstLine="872"/>
        <w:spacing w:after="0" w:line="260" w:lineRule="auto"/>
        <w:tabs>
          <w:tab w:leader="none" w:pos="1731" w:val="left"/>
        </w:tabs>
        <w:numPr>
          <w:ilvl w:val="0"/>
          <w:numId w:val="45"/>
        </w:numPr>
        <w:rPr>
          <w:rFonts w:ascii="Arial" w:cs="Arial" w:eastAsia="Arial" w:hAnsi="Arial"/>
          <w:sz w:val="20"/>
          <w:szCs w:val="20"/>
          <w:color w:val="auto"/>
        </w:rPr>
      </w:pPr>
      <w:r>
        <w:rPr>
          <w:rFonts w:ascii="Arial" w:cs="Arial" w:eastAsia="Arial" w:hAnsi="Arial"/>
          <w:sz w:val="20"/>
          <w:szCs w:val="20"/>
          <w:color w:val="auto"/>
        </w:rPr>
        <w:t>If in connection with any request for a Eurodollar Rate Loan or a conversion to or continuation thereof, (i) the Administrative Agent determines that (A) Dollar deposits are not being offered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5" w:name="page46"/>
    <w:bookmarkEnd w:id="45"/>
    <w:p>
      <w:pPr>
        <w:spacing w:after="0"/>
        <w:rPr>
          <w:sz w:val="20"/>
          <w:szCs w:val="20"/>
          <w:color w:val="auto"/>
        </w:rPr>
      </w:pPr>
      <w:r>
        <w:rPr>
          <w:rFonts w:ascii="Arial" w:cs="Arial" w:eastAsia="Arial" w:hAnsi="Arial"/>
          <w:sz w:val="19"/>
          <w:szCs w:val="19"/>
          <w:color w:val="auto"/>
        </w:rPr>
        <w:t>to banks in the London interbank Eurodollar market for the applicable amount and Interest Period of such Eurodollar Rate Loan, or</w:t>
      </w:r>
    </w:p>
    <w:p>
      <w:pPr>
        <w:spacing w:after="0" w:line="27" w:lineRule="exact"/>
        <w:rPr>
          <w:sz w:val="20"/>
          <w:szCs w:val="20"/>
          <w:color w:val="auto"/>
        </w:rPr>
      </w:pPr>
    </w:p>
    <w:p>
      <w:pPr>
        <w:jc w:val="both"/>
        <w:ind w:firstLine="8"/>
        <w:spacing w:after="0" w:line="268" w:lineRule="auto"/>
        <w:tabs>
          <w:tab w:leader="none" w:pos="327"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(x) adequate and reasonable means do not exist for determining the Eurodollar Rate for any requested Interest Period with respect to a proposed Eurodollar Rate Loan or in connection with an existing or proposed Base Rate Loan and (y) the circumstances described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3.03(c)(i)</w:t>
      </w:r>
      <w:r>
        <w:rPr>
          <w:rFonts w:ascii="Arial" w:cs="Arial" w:eastAsia="Arial" w:hAnsi="Arial"/>
          <w:sz w:val="18"/>
          <w:szCs w:val="18"/>
          <w:color w:val="auto"/>
        </w:rPr>
        <w:t xml:space="preserve"> do not apply (in each case with respect to this </w:t>
      </w:r>
      <w:r>
        <w:rPr>
          <w:rFonts w:ascii="Arial" w:cs="Arial" w:eastAsia="Arial" w:hAnsi="Arial"/>
          <w:sz w:val="18"/>
          <w:szCs w:val="18"/>
          <w:u w:val="single" w:color="auto"/>
          <w:color w:val="auto"/>
        </w:rPr>
        <w:t>clause (i)</w:t>
      </w:r>
      <w:r>
        <w:rPr>
          <w:rFonts w:ascii="Arial" w:cs="Arial" w:eastAsia="Arial" w:hAnsi="Arial"/>
          <w:sz w:val="18"/>
          <w:szCs w:val="18"/>
          <w:color w:val="auto"/>
        </w:rPr>
        <w:t>, “</w:t>
      </w:r>
      <w:r>
        <w:rPr>
          <w:rFonts w:ascii="Arial" w:cs="Arial" w:eastAsia="Arial" w:hAnsi="Arial"/>
          <w:sz w:val="18"/>
          <w:szCs w:val="18"/>
          <w:u w:val="single" w:color="auto"/>
          <w:color w:val="auto"/>
        </w:rPr>
        <w:t>Impacted Loans</w:t>
      </w:r>
      <w:r>
        <w:rPr>
          <w:rFonts w:ascii="Arial" w:cs="Arial" w:eastAsia="Arial" w:hAnsi="Arial"/>
          <w:sz w:val="18"/>
          <w:szCs w:val="18"/>
          <w:color w:val="auto"/>
        </w:rPr>
        <w:t xml:space="preserve">”), or (ii) the Administrative Agent or the Required Lenders determine that for any reason the Eurodollar Rate for any requested Interest Period with respect to a proposed Eurodollar Rate Loan does not adequately and fairly reflect the cost to such Lenders of funding such Eurodollar Rate Loan, the Administrative Agent will promptly so notify the Borrower and each Lender. Thereafter, (x) the obligation of the Lenders to make or maintain Eurodollar Rate Loans shall be suspended (to the extent of the affected Eurodollar Rate Loans or Interest Periods) and (y) in the event of a determination described in the preceding sentence with respect to the Eurodollar Rate component of the Base Rate, the utilization of the Eurodollar Rate component in determining the Base Rate shall be suspended, in each case until the Administrative Agent (or, in the case of a determination by the Required Lenders described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3.03(a)</w:t>
      </w:r>
      <w:r>
        <w:rPr>
          <w:rFonts w:ascii="Arial" w:cs="Arial" w:eastAsia="Arial" w:hAnsi="Arial"/>
          <w:sz w:val="18"/>
          <w:szCs w:val="18"/>
          <w:color w:val="auto"/>
        </w:rPr>
        <w:t>, until the Administrative Agent upon instruction of the Required Lenders) revokes such notice.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Borrowing of Base Rate Loans in the amount specified therein.</w:t>
      </w:r>
    </w:p>
    <w:p>
      <w:pPr>
        <w:spacing w:after="0" w:line="178" w:lineRule="exact"/>
        <w:rPr>
          <w:rFonts w:ascii="Arial" w:cs="Arial" w:eastAsia="Arial" w:hAnsi="Arial"/>
          <w:sz w:val="18"/>
          <w:szCs w:val="18"/>
          <w:color w:val="auto"/>
        </w:rPr>
      </w:pPr>
    </w:p>
    <w:p>
      <w:pPr>
        <w:jc w:val="both"/>
        <w:ind w:firstLine="872"/>
        <w:spacing w:after="0" w:line="271" w:lineRule="auto"/>
        <w:tabs>
          <w:tab w:leader="none" w:pos="1742"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Notwithstanding the foregoing, if the Administrative Agent has made the determination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3.03(a)</w:t>
      </w:r>
      <w:r>
        <w:rPr>
          <w:rFonts w:ascii="Arial" w:cs="Arial" w:eastAsia="Arial" w:hAnsi="Arial"/>
          <w:sz w:val="18"/>
          <w:szCs w:val="18"/>
          <w:color w:val="auto"/>
        </w:rPr>
        <w:t>, the Administrative Agent, in consultation with the Borrower, may establish an alternative interest rate for the Impacted Loans</w:t>
      </w:r>
      <w:r>
        <w:rPr>
          <w:rFonts w:ascii="Arial" w:cs="Arial" w:eastAsia="Arial" w:hAnsi="Arial"/>
          <w:sz w:val="18"/>
          <w:szCs w:val="18"/>
          <w:b w:val="1"/>
          <w:bCs w:val="1"/>
          <w:color w:val="auto"/>
        </w:rPr>
        <w:t>,</w:t>
      </w:r>
      <w:r>
        <w:rPr>
          <w:rFonts w:ascii="Arial" w:cs="Arial" w:eastAsia="Arial" w:hAnsi="Arial"/>
          <w:sz w:val="18"/>
          <w:szCs w:val="18"/>
          <w:color w:val="auto"/>
        </w:rPr>
        <w:t xml:space="preserve"> in which case, such alternative rate of interest shall apply with respect to the Impacted Loans until (i) the Administrative Agent revokes the notice delivered with respect to the Impacted Loans under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the first sentence of </w:t>
      </w:r>
      <w:r>
        <w:rPr>
          <w:rFonts w:ascii="Arial" w:cs="Arial" w:eastAsia="Arial" w:hAnsi="Arial"/>
          <w:sz w:val="18"/>
          <w:szCs w:val="18"/>
          <w:u w:val="single" w:color="auto"/>
          <w:color w:val="auto"/>
        </w:rPr>
        <w:t>Section 3.03(a)</w:t>
      </w:r>
      <w:r>
        <w:rPr>
          <w:rFonts w:ascii="Arial" w:cs="Arial" w:eastAsia="Arial" w:hAnsi="Arial"/>
          <w:sz w:val="18"/>
          <w:szCs w:val="18"/>
          <w:color w:val="auto"/>
        </w:rPr>
        <w:t>, (ii) the Administrative Agent or the Required Lenders notify the Administrative Agent and the Borrower that such alternative interest rate does not adequately and fairly reflect the cost to such Lenders of funding the Impacted Loans, or (iii)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spacing w:after="0" w:line="173" w:lineRule="exact"/>
        <w:rPr>
          <w:rFonts w:ascii="Arial" w:cs="Arial" w:eastAsia="Arial" w:hAnsi="Arial"/>
          <w:sz w:val="18"/>
          <w:szCs w:val="18"/>
          <w:color w:val="auto"/>
        </w:rPr>
      </w:pPr>
    </w:p>
    <w:p>
      <w:pPr>
        <w:jc w:val="both"/>
        <w:ind w:firstLine="872"/>
        <w:spacing w:after="0" w:line="246" w:lineRule="auto"/>
        <w:tabs>
          <w:tab w:leader="none" w:pos="1731" w:val="left"/>
        </w:tabs>
        <w:numPr>
          <w:ilvl w:val="1"/>
          <w:numId w:val="46"/>
        </w:numPr>
        <w:rPr>
          <w:rFonts w:ascii="Arial" w:cs="Arial" w:eastAsia="Arial" w:hAnsi="Arial"/>
          <w:sz w:val="20"/>
          <w:szCs w:val="20"/>
          <w:color w:val="auto"/>
        </w:rPr>
      </w:pPr>
      <w:r>
        <w:rPr>
          <w:rFonts w:ascii="Arial" w:cs="Arial" w:eastAsia="Arial" w:hAnsi="Arial"/>
          <w:sz w:val="20"/>
          <w:szCs w:val="20"/>
          <w:color w:val="auto"/>
        </w:rPr>
        <w:t>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191" w:lineRule="exact"/>
        <w:rPr>
          <w:rFonts w:ascii="Arial" w:cs="Arial" w:eastAsia="Arial" w:hAnsi="Arial"/>
          <w:sz w:val="20"/>
          <w:szCs w:val="20"/>
          <w:color w:val="auto"/>
        </w:rPr>
      </w:pPr>
    </w:p>
    <w:p>
      <w:pPr>
        <w:jc w:val="both"/>
        <w:ind w:left="880" w:firstLine="789"/>
        <w:spacing w:after="0" w:line="250" w:lineRule="auto"/>
        <w:tabs>
          <w:tab w:leader="none" w:pos="2512" w:val="left"/>
        </w:tabs>
        <w:numPr>
          <w:ilvl w:val="2"/>
          <w:numId w:val="46"/>
        </w:numPr>
        <w:rPr>
          <w:rFonts w:ascii="Arial" w:cs="Arial" w:eastAsia="Arial" w:hAnsi="Arial"/>
          <w:sz w:val="20"/>
          <w:szCs w:val="20"/>
          <w:color w:val="auto"/>
        </w:rPr>
      </w:pPr>
      <w:r>
        <w:rPr>
          <w:rFonts w:ascii="Arial" w:cs="Arial" w:eastAsia="Arial" w:hAnsi="Arial"/>
          <w:sz w:val="20"/>
          <w:szCs w:val="20"/>
          <w:color w:val="auto"/>
        </w:rPr>
        <w:t>adequate and reasonable means do not exist for ascertaining LIBOR for any requested Interest Period, including, without limitation, because the LIBOR Screen Rate is not available or published on a current basis and such circumstances are unlikely to be temporary; or</w:t>
      </w:r>
    </w:p>
    <w:p>
      <w:pPr>
        <w:spacing w:after="0" w:line="185" w:lineRule="exact"/>
        <w:rPr>
          <w:rFonts w:ascii="Arial" w:cs="Arial" w:eastAsia="Arial" w:hAnsi="Arial"/>
          <w:sz w:val="20"/>
          <w:szCs w:val="20"/>
          <w:color w:val="auto"/>
        </w:rPr>
      </w:pPr>
    </w:p>
    <w:p>
      <w:pPr>
        <w:jc w:val="both"/>
        <w:ind w:left="880" w:firstLine="789"/>
        <w:spacing w:after="0" w:line="244" w:lineRule="auto"/>
        <w:tabs>
          <w:tab w:leader="none" w:pos="2567" w:val="left"/>
        </w:tabs>
        <w:numPr>
          <w:ilvl w:val="2"/>
          <w:numId w:val="46"/>
        </w:numPr>
        <w:rPr>
          <w:rFonts w:ascii="Arial" w:cs="Arial" w:eastAsia="Arial" w:hAnsi="Arial"/>
          <w:sz w:val="20"/>
          <w:szCs w:val="20"/>
          <w:color w:val="auto"/>
        </w:rPr>
      </w:pPr>
      <w:r>
        <w:rPr>
          <w:rFonts w:ascii="Arial" w:cs="Arial" w:eastAsia="Arial" w:hAnsi="Arial"/>
          <w:sz w:val="20"/>
          <w:szCs w:val="20"/>
          <w:color w:val="auto"/>
        </w:rPr>
        <w:t xml:space="preserve">the administrator of the LIBOR Screen Rate or a Governmental Authority having jurisdiction over the Administrative Agent has made a public statement identifying a specific date after which LIBOR or the LIBOR Screen Rate shall no longer be made available, or used for determining the interest rate of loans,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at the time of such statement, there is no successor administrator that is satisfactory to the Administrative Agent, that will continue to provide LIBOR after such specific date (such specific date, the “</w:t>
      </w:r>
      <w:r>
        <w:rPr>
          <w:rFonts w:ascii="Arial" w:cs="Arial" w:eastAsia="Arial" w:hAnsi="Arial"/>
          <w:sz w:val="20"/>
          <w:szCs w:val="20"/>
          <w:u w:val="single" w:color="auto"/>
          <w:color w:val="auto"/>
        </w:rPr>
        <w:t>Scheduled Unavailability Date</w:t>
      </w:r>
      <w:r>
        <w:rPr>
          <w:rFonts w:ascii="Arial" w:cs="Arial" w:eastAsia="Arial" w:hAnsi="Arial"/>
          <w:sz w:val="20"/>
          <w:szCs w:val="20"/>
          <w:color w:val="auto"/>
        </w:rPr>
        <w:t>”); or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6" w:name="page47"/>
    <w:bookmarkEnd w:id="46"/>
    <w:p>
      <w:pPr>
        <w:ind w:left="880" w:firstLine="789"/>
        <w:spacing w:after="0" w:line="316" w:lineRule="auto"/>
        <w:tabs>
          <w:tab w:leader="none" w:pos="2622"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syndicated loans currently being executed, or that include language similar to that contained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3.03</w:t>
      </w:r>
      <w:r>
        <w:rPr>
          <w:rFonts w:ascii="Arial" w:cs="Arial" w:eastAsia="Arial" w:hAnsi="Arial"/>
          <w:sz w:val="18"/>
          <w:szCs w:val="18"/>
          <w:color w:val="auto"/>
        </w:rPr>
        <w:t>, are being executed or amended (as applicable) to incorporate or adopt a new benchmark interest rate to replace LIBOR;</w:t>
      </w:r>
    </w:p>
    <w:p>
      <w:pPr>
        <w:spacing w:after="0" w:line="13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then, reasonably promptly after such determination by the Administrative Agent or receipt by the Administrative Agent of such notice, as applicable, the Administrative Agent and the Borrower may amend this Agreement solely for the purpose of replacing LIBOR in accordance with this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with (x) one or more SOFR-Based Rates or (y) another alternate benchmark rate giving due consideration to any evolving or then existing convention for similar U.S. dollar denominated syndicated credit facilities for such alternative benchmarks and, in each case, including any mathematical or other adjustments to such benchmark giving due consideration to any evolving or then existing convention for similar U.S. dollar denominated syndicated credit facilities for such benchmarks, which adjustment or method for calculating such adjustment shall be published on an information service as selected by the Administrative Agent from time to time in its reasonable discretion and may be periodically updated (the “</w:t>
      </w:r>
      <w:r>
        <w:rPr>
          <w:rFonts w:ascii="Arial" w:cs="Arial" w:eastAsia="Arial" w:hAnsi="Arial"/>
          <w:sz w:val="18"/>
          <w:szCs w:val="18"/>
          <w:u w:val="single" w:color="auto"/>
          <w:color w:val="auto"/>
        </w:rPr>
        <w:t>Adjustment</w:t>
      </w:r>
      <w:r>
        <w:rPr>
          <w:rFonts w:ascii="Arial" w:cs="Arial" w:eastAsia="Arial" w:hAnsi="Arial"/>
          <w:sz w:val="18"/>
          <w:szCs w:val="18"/>
          <w:color w:val="auto"/>
        </w:rPr>
        <w:t>;” and any such proposed rate, a “</w:t>
      </w:r>
      <w:r>
        <w:rPr>
          <w:rFonts w:ascii="Arial" w:cs="Arial" w:eastAsia="Arial" w:hAnsi="Arial"/>
          <w:sz w:val="18"/>
          <w:szCs w:val="18"/>
          <w:u w:val="single" w:color="auto"/>
          <w:color w:val="auto"/>
        </w:rPr>
        <w:t>LIBOR Successor Rate</w:t>
      </w:r>
      <w:r>
        <w:rPr>
          <w:rFonts w:ascii="Arial" w:cs="Arial" w:eastAsia="Arial" w:hAnsi="Arial"/>
          <w:sz w:val="18"/>
          <w:szCs w:val="18"/>
          <w:color w:val="auto"/>
        </w:rPr>
        <w:t xml:space="preserve">”), and any such amendment shall become effective at 5:00 p.m. (New York time)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(A) in the case of an amendment to replace LIBOR with a rate described in </w:t>
      </w:r>
      <w:r>
        <w:rPr>
          <w:rFonts w:ascii="Arial" w:cs="Arial" w:eastAsia="Arial" w:hAnsi="Arial"/>
          <w:sz w:val="18"/>
          <w:szCs w:val="18"/>
          <w:u w:val="single" w:color="auto"/>
          <w:color w:val="auto"/>
        </w:rPr>
        <w:t>clause (x)</w:t>
      </w:r>
      <w:r>
        <w:rPr>
          <w:rFonts w:ascii="Arial" w:cs="Arial" w:eastAsia="Arial" w:hAnsi="Arial"/>
          <w:sz w:val="18"/>
          <w:szCs w:val="18"/>
          <w:color w:val="auto"/>
        </w:rPr>
        <w:t xml:space="preserve">, object to the Adjustment; or (B) in the case of an amendment to replace LIBOR with a rate described in </w:t>
      </w:r>
      <w:r>
        <w:rPr>
          <w:rFonts w:ascii="Arial" w:cs="Arial" w:eastAsia="Arial" w:hAnsi="Arial"/>
          <w:sz w:val="18"/>
          <w:szCs w:val="18"/>
          <w:u w:val="single" w:color="auto"/>
          <w:color w:val="auto"/>
        </w:rPr>
        <w:t>clause</w:t>
      </w:r>
    </w:p>
    <w:p>
      <w:pPr>
        <w:spacing w:after="0" w:line="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u w:val="single" w:color="auto"/>
          <w:color w:val="auto"/>
        </w:rPr>
        <w:t>(y)</w:t>
      </w:r>
      <w:r>
        <w:rPr>
          <w:rFonts w:ascii="Arial" w:cs="Arial" w:eastAsia="Arial" w:hAnsi="Arial"/>
          <w:sz w:val="18"/>
          <w:szCs w:val="18"/>
          <w:color w:val="auto"/>
        </w:rPr>
        <w:t xml:space="preserve">, object to such amendment;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in the case of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the Required Lenders shall not be entitled to object to any SOFR-Based Rate contained in any such amendment. Such LIBOR Successor Rate shall be applied in a manner consistent with market practice;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such market practice is not administratively feasible for the Administrative Agent, such LIBOR Successor Rate shall be applied in a manner as otherwise reasonably determined by the Administrative Agent.</w:t>
      </w:r>
    </w:p>
    <w:p>
      <w:pPr>
        <w:spacing w:after="0" w:line="166"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20"/>
          <w:szCs w:val="20"/>
          <w:color w:val="auto"/>
        </w:rPr>
        <w:t xml:space="preserve">If no LIBOR Successor Rate has been determined and the circumstances under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above exist or the Scheduled Unavailability Date has occurred (as applicable), the Administrative Agent will promptly so notify the Borrower and each Lender. Thereafter, (x) the obligation of the Lenders to make or maintain Eurodollar Rate Loans shall be suspended, (to the extent of the affected Eurodollar Rate Loans or Interest Periods), and (y) the Eurodollar Rate component shall no longer be utilized in determining the Base Rate.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Borrowing of Base Rate Loans (subject to the foregoing </w:t>
      </w:r>
      <w:r>
        <w:rPr>
          <w:rFonts w:ascii="Arial" w:cs="Arial" w:eastAsia="Arial" w:hAnsi="Arial"/>
          <w:sz w:val="20"/>
          <w:szCs w:val="20"/>
          <w:u w:val="single" w:color="auto"/>
          <w:color w:val="auto"/>
        </w:rPr>
        <w:t>clause (y)</w:t>
      </w:r>
      <w:r>
        <w:rPr>
          <w:rFonts w:ascii="Arial" w:cs="Arial" w:eastAsia="Arial" w:hAnsi="Arial"/>
          <w:sz w:val="20"/>
          <w:szCs w:val="20"/>
          <w:color w:val="auto"/>
        </w:rPr>
        <w:t>) in the amount specified therein.</w:t>
      </w:r>
    </w:p>
    <w:p>
      <w:pPr>
        <w:spacing w:after="0" w:line="197"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Notwithstanding anything else herein, any definition of LIBOR Successor Rate shall provide that in no event shall such LIBOR Successor Rate be less than zero for purposes of this Agreement.</w:t>
      </w:r>
    </w:p>
    <w:p>
      <w:pPr>
        <w:spacing w:after="0" w:line="17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 xml:space="preserve">In connection with the implementation of a LIBOR Successor Rate, the Administrative Agent will have the right to make LIBOR Successor Rate Conforming Changes from time to time and, notwithstanding anything to the contrary herein or in any other Loan Document, any amendments implementing such LIBOR Successor Rate Conforming Changes will become effective without any further action or consent of any other party to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 respect to any such amendment effected, the Administrative Agent shall post each such amendment implementing such LIBOR Successor Rate Conforming Changes to the Lenders reasonably promptly after such amendment becomes effective.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7" w:name="page48"/>
    <w:bookmarkEnd w:id="47"/>
    <w:p>
      <w:pPr>
        <w:ind w:left="880"/>
        <w:spacing w:after="0"/>
        <w:tabs>
          <w:tab w:leader="none" w:pos="1840" w:val="left"/>
        </w:tabs>
        <w:rPr>
          <w:sz w:val="20"/>
          <w:szCs w:val="20"/>
          <w:color w:val="auto"/>
        </w:rPr>
      </w:pPr>
      <w:r>
        <w:rPr>
          <w:rFonts w:ascii="Arial" w:cs="Arial" w:eastAsia="Arial" w:hAnsi="Arial"/>
          <w:sz w:val="20"/>
          <w:szCs w:val="20"/>
          <w:b w:val="1"/>
          <w:bCs w:val="1"/>
          <w:color w:val="auto"/>
        </w:rPr>
        <w:t>3.04</w:t>
      </w:r>
      <w:r>
        <w:rPr>
          <w:sz w:val="20"/>
          <w:szCs w:val="20"/>
          <w:color w:val="auto"/>
        </w:rPr>
        <w:tab/>
      </w:r>
      <w:r>
        <w:rPr>
          <w:rFonts w:ascii="Arial" w:cs="Arial" w:eastAsia="Arial" w:hAnsi="Arial"/>
          <w:sz w:val="16"/>
          <w:szCs w:val="16"/>
          <w:b w:val="1"/>
          <w:bCs w:val="1"/>
          <w:color w:val="auto"/>
        </w:rPr>
        <w:t>Increased Costs; Reserves on Eurodollar Rate Loans.</w:t>
      </w:r>
    </w:p>
    <w:p>
      <w:pPr>
        <w:spacing w:after="0" w:line="222" w:lineRule="exact"/>
        <w:rPr>
          <w:sz w:val="20"/>
          <w:szCs w:val="20"/>
          <w:color w:val="auto"/>
        </w:rPr>
      </w:pPr>
    </w:p>
    <w:p>
      <w:pPr>
        <w:ind w:left="1740" w:hanging="868"/>
        <w:spacing w:after="0"/>
        <w:tabs>
          <w:tab w:leader="none" w:pos="1740"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Increased Costs Generally</w:t>
      </w:r>
      <w:r>
        <w:rPr>
          <w:rFonts w:ascii="Arial" w:cs="Arial" w:eastAsia="Arial" w:hAnsi="Arial"/>
          <w:sz w:val="20"/>
          <w:szCs w:val="20"/>
          <w:color w:val="auto"/>
        </w:rPr>
        <w:t>. If any Change in Law shall:</w:t>
      </w:r>
    </w:p>
    <w:p>
      <w:pPr>
        <w:spacing w:after="0" w:line="215" w:lineRule="exact"/>
        <w:rPr>
          <w:rFonts w:ascii="Arial" w:cs="Arial" w:eastAsia="Arial" w:hAnsi="Arial"/>
          <w:sz w:val="20"/>
          <w:szCs w:val="20"/>
          <w:color w:val="auto"/>
        </w:rPr>
      </w:pPr>
    </w:p>
    <w:p>
      <w:pPr>
        <w:jc w:val="both"/>
        <w:ind w:left="880" w:firstLine="789"/>
        <w:spacing w:after="0" w:line="250" w:lineRule="auto"/>
        <w:tabs>
          <w:tab w:leader="none" w:pos="2512" w:val="left"/>
        </w:tabs>
        <w:numPr>
          <w:ilvl w:val="1"/>
          <w:numId w:val="48"/>
        </w:numPr>
        <w:rPr>
          <w:rFonts w:ascii="Arial" w:cs="Arial" w:eastAsia="Arial" w:hAnsi="Arial"/>
          <w:sz w:val="20"/>
          <w:szCs w:val="20"/>
          <w:color w:val="auto"/>
        </w:rPr>
      </w:pPr>
      <w:r>
        <w:rPr>
          <w:rFonts w:ascii="Arial" w:cs="Arial" w:eastAsia="Arial" w:hAnsi="Arial"/>
          <w:sz w:val="20"/>
          <w:szCs w:val="20"/>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Arial" w:cs="Arial" w:eastAsia="Arial" w:hAnsi="Arial"/>
          <w:sz w:val="20"/>
          <w:szCs w:val="20"/>
          <w:u w:val="single" w:color="auto"/>
          <w:color w:val="auto"/>
        </w:rPr>
        <w:t>Section 3.04(e)</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jc w:val="both"/>
        <w:ind w:left="880" w:firstLine="789"/>
        <w:spacing w:after="0" w:line="269" w:lineRule="auto"/>
        <w:tabs>
          <w:tab w:leader="none" w:pos="2567" w:val="left"/>
        </w:tabs>
        <w:numPr>
          <w:ilvl w:val="1"/>
          <w:numId w:val="48"/>
        </w:numPr>
        <w:rPr>
          <w:rFonts w:ascii="Arial" w:cs="Arial" w:eastAsia="Arial" w:hAnsi="Arial"/>
          <w:sz w:val="19"/>
          <w:szCs w:val="19"/>
          <w:color w:val="auto"/>
        </w:rPr>
      </w:pPr>
      <w:r>
        <w:rPr>
          <w:rFonts w:ascii="Arial" w:cs="Arial" w:eastAsia="Arial" w:hAnsi="Arial"/>
          <w:sz w:val="19"/>
          <w:szCs w:val="19"/>
          <w:color w:val="auto"/>
        </w:rPr>
        <w:t xml:space="preserve">subject any Recipient to any Taxes (other than (A) Indemnified Taxes, (B) Taxes described in </w:t>
      </w:r>
      <w:r>
        <w:rPr>
          <w:rFonts w:ascii="Arial" w:cs="Arial" w:eastAsia="Arial" w:hAnsi="Arial"/>
          <w:sz w:val="19"/>
          <w:szCs w:val="19"/>
          <w:u w:val="single" w:color="auto"/>
          <w:color w:val="auto"/>
        </w:rPr>
        <w:t>clauses (b)</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169" w:lineRule="exact"/>
        <w:rPr>
          <w:rFonts w:ascii="Arial" w:cs="Arial" w:eastAsia="Arial" w:hAnsi="Arial"/>
          <w:sz w:val="19"/>
          <w:szCs w:val="19"/>
          <w:color w:val="auto"/>
        </w:rPr>
      </w:pPr>
    </w:p>
    <w:p>
      <w:pPr>
        <w:ind w:left="880" w:firstLine="789"/>
        <w:spacing w:after="0" w:line="260" w:lineRule="auto"/>
        <w:tabs>
          <w:tab w:leader="none" w:pos="2622" w:val="left"/>
        </w:tabs>
        <w:numPr>
          <w:ilvl w:val="1"/>
          <w:numId w:val="48"/>
        </w:numPr>
        <w:rPr>
          <w:rFonts w:ascii="Arial" w:cs="Arial" w:eastAsia="Arial" w:hAnsi="Arial"/>
          <w:sz w:val="20"/>
          <w:szCs w:val="20"/>
          <w:color w:val="auto"/>
        </w:rPr>
      </w:pPr>
      <w:r>
        <w:rPr>
          <w:rFonts w:ascii="Arial" w:cs="Arial" w:eastAsia="Arial" w:hAnsi="Arial"/>
          <w:sz w:val="20"/>
          <w:szCs w:val="20"/>
          <w:color w:val="auto"/>
        </w:rPr>
        <w:t>impose on any Lender or the London interbank market any other condition, cost or expense (other than Taxes) affecting this Agreement or Eurodollar Rate Loans made by such Lender or participation therein;</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and the result of any of the foregoing shall be to increase the cost to such Lender of making, converting to, continuing or maintaining any Loan the interest on which is determined by reference to the Eurodollar Rate (or of maintaining its obligation to make any such Loan), or to reduce the amount of any sum received or receivable by such Lender (whether of principal, interest or any other amount) then, upon request of such Lender, the Borrower will pay to such Lender such additional amount or amounts as will compensate such Lender for such additional costs incurred or reduction suffered.</w:t>
      </w:r>
    </w:p>
    <w:p>
      <w:pPr>
        <w:spacing w:after="0" w:line="194" w:lineRule="exact"/>
        <w:rPr>
          <w:sz w:val="20"/>
          <w:szCs w:val="20"/>
          <w:color w:val="auto"/>
        </w:rPr>
      </w:pPr>
    </w:p>
    <w:p>
      <w:pPr>
        <w:jc w:val="both"/>
        <w:ind w:firstLine="872"/>
        <w:spacing w:after="0" w:line="274" w:lineRule="auto"/>
        <w:tabs>
          <w:tab w:leader="none" w:pos="1742"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Capital Requirements</w:t>
      </w:r>
      <w:r>
        <w:rPr>
          <w:rFonts w:ascii="Arial" w:cs="Arial" w:eastAsia="Arial" w:hAnsi="Arial"/>
          <w:sz w:val="18"/>
          <w:szCs w:val="18"/>
          <w:color w:val="auto"/>
        </w:rPr>
        <w:t>.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or liquidity), then from time to time the Borrower will pay to such Lender such additional amount or amounts as will compensate such Lender or such Lender’s holding company for any such reduction suffered.</w:t>
      </w:r>
    </w:p>
    <w:p>
      <w:pPr>
        <w:spacing w:after="0" w:line="168" w:lineRule="exact"/>
        <w:rPr>
          <w:rFonts w:ascii="Arial" w:cs="Arial" w:eastAsia="Arial" w:hAnsi="Arial"/>
          <w:sz w:val="18"/>
          <w:szCs w:val="18"/>
          <w:color w:val="auto"/>
        </w:rPr>
      </w:pPr>
    </w:p>
    <w:p>
      <w:pPr>
        <w:jc w:val="both"/>
        <w:ind w:firstLine="872"/>
        <w:spacing w:after="0" w:line="246" w:lineRule="auto"/>
        <w:tabs>
          <w:tab w:leader="none" w:pos="1731"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Certificates for Reimbursement</w:t>
      </w:r>
      <w:r>
        <w:rPr>
          <w:rFonts w:ascii="Arial" w:cs="Arial" w:eastAsia="Arial" w:hAnsi="Arial"/>
          <w:sz w:val="20"/>
          <w:szCs w:val="20"/>
          <w:color w:val="auto"/>
        </w:rPr>
        <w:t xml:space="preserve">. A certificate of a Lender setting forth the amount or amounts necessary to compensate such Lender or its holding company as the case may be, and setting forth the basis for the determination thereof, as specified in </w:t>
      </w:r>
      <w:r>
        <w:rPr>
          <w:rFonts w:ascii="Arial" w:cs="Arial" w:eastAsia="Arial" w:hAnsi="Arial"/>
          <w:sz w:val="20"/>
          <w:szCs w:val="20"/>
          <w:u w:val="single" w:color="auto"/>
          <w:color w:val="auto"/>
        </w:rPr>
        <w:t>subsection (a)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of this Section and delivered to the Borrower shall be conclusive absent manifest error. The Borrower shall pay such Lender the amount shown as due on any such certificate within 30 days after receipt thereof.</w:t>
      </w:r>
    </w:p>
    <w:p>
      <w:pPr>
        <w:spacing w:after="0" w:line="191" w:lineRule="exact"/>
        <w:rPr>
          <w:rFonts w:ascii="Arial" w:cs="Arial" w:eastAsia="Arial" w:hAnsi="Arial"/>
          <w:sz w:val="20"/>
          <w:szCs w:val="20"/>
          <w:color w:val="auto"/>
        </w:rPr>
      </w:pPr>
    </w:p>
    <w:p>
      <w:pPr>
        <w:jc w:val="both"/>
        <w:ind w:firstLine="872"/>
        <w:spacing w:after="0" w:line="243" w:lineRule="auto"/>
        <w:tabs>
          <w:tab w:leader="none" w:pos="1742"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Delay in Requests</w:t>
      </w:r>
      <w:r>
        <w:rPr>
          <w:rFonts w:ascii="Arial" w:cs="Arial" w:eastAsia="Arial" w:hAnsi="Arial"/>
          <w:sz w:val="20"/>
          <w:szCs w:val="20"/>
          <w:color w:val="auto"/>
        </w:rPr>
        <w:t xml:space="preserve">. Failure or delay on the part of any Lender to demand compensation pursuant to the foregoing provisions of this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shall not constitute a waiver of such Lender’s right to demand such compensation,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not be required to compensate a Lender pursuant to the foregoing provisions of this Section for any increased costs incurred or reductions suffered more than nine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8" w:name="page49"/>
    <w:bookmarkEnd w:id="48"/>
    <w:p>
      <w:pPr>
        <w:jc w:val="both"/>
        <w:ind w:firstLine="872"/>
        <w:spacing w:after="0" w:line="270" w:lineRule="auto"/>
        <w:tabs>
          <w:tab w:leader="none" w:pos="1731"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Additional Reserve Requirements</w:t>
      </w:r>
      <w:r>
        <w:rPr>
          <w:rFonts w:ascii="Arial" w:cs="Arial" w:eastAsia="Arial" w:hAnsi="Arial"/>
          <w:sz w:val="18"/>
          <w:szCs w:val="18"/>
          <w:color w:val="auto"/>
        </w:rPr>
        <w:t>. The Borrower shall pay to each Lender, (i) as long as such Lender shall be required to maintain reserves with respect to liabilities or assets consisting of or including Eurodollar funds or deposits (currently known as “Eurodollar liabilities”), additional interest on the unpaid principal amount of each Eurodollar Rate Loan equal to the actual costs of such reserves allocated to such Loan by such Lender (as determined by such Lender in good faith, which determination shall be conclusive), and</w:t>
      </w:r>
    </w:p>
    <w:p>
      <w:pPr>
        <w:spacing w:after="0" w:line="2" w:lineRule="exact"/>
        <w:rPr>
          <w:rFonts w:ascii="Arial" w:cs="Arial" w:eastAsia="Arial" w:hAnsi="Arial"/>
          <w:sz w:val="18"/>
          <w:szCs w:val="18"/>
          <w:color w:val="auto"/>
        </w:rPr>
      </w:pPr>
    </w:p>
    <w:p>
      <w:pPr>
        <w:jc w:val="both"/>
        <w:ind w:firstLine="8"/>
        <w:spacing w:after="0" w:line="254" w:lineRule="auto"/>
        <w:tabs>
          <w:tab w:leader="none" w:pos="313"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as long as such Lender shall be required to comply with any reserve ratio requirement or analogous requirement of any other central banking or financial regulatory authority imposed in respect of the maintenance of the Commitments or the funding of the Eurodollar Rate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which in each case shall be due and payable on each date on which interest is payable on such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the Borrower shall have received at least 10 days’ prior notice (with a copy to the Administrative Agent) of such additional interest or costs from such Lender. If a Lender fails to give notice 10 days prior to the relevant Interest Payment Date, such additional interest or costs shall be due and payable 10 days from receipt of such notice.</w:t>
      </w:r>
    </w:p>
    <w:p>
      <w:pPr>
        <w:spacing w:after="0" w:line="186" w:lineRule="exact"/>
        <w:rPr>
          <w:rFonts w:ascii="Arial" w:cs="Arial" w:eastAsia="Arial" w:hAnsi="Arial"/>
          <w:sz w:val="19"/>
          <w:szCs w:val="19"/>
          <w:color w:val="auto"/>
        </w:rPr>
      </w:pPr>
    </w:p>
    <w:p>
      <w:pPr>
        <w:jc w:val="both"/>
        <w:ind w:firstLine="872"/>
        <w:spacing w:after="0" w:line="246" w:lineRule="auto"/>
        <w:tabs>
          <w:tab w:leader="none" w:pos="1709" w:val="left"/>
        </w:tabs>
        <w:numPr>
          <w:ilvl w:val="1"/>
          <w:numId w:val="51"/>
        </w:numPr>
        <w:rPr>
          <w:rFonts w:ascii="Arial" w:cs="Arial" w:eastAsia="Arial" w:hAnsi="Arial"/>
          <w:sz w:val="20"/>
          <w:szCs w:val="20"/>
          <w:color w:val="auto"/>
        </w:rPr>
      </w:pPr>
      <w:r>
        <w:rPr>
          <w:rFonts w:ascii="Arial" w:cs="Arial" w:eastAsia="Arial" w:hAnsi="Arial"/>
          <w:sz w:val="20"/>
          <w:szCs w:val="20"/>
          <w:u w:val="single" w:color="auto"/>
          <w:color w:val="auto"/>
        </w:rPr>
        <w:t>Consistent Treatment</w:t>
      </w:r>
      <w:r>
        <w:rPr>
          <w:rFonts w:ascii="Arial" w:cs="Arial" w:eastAsia="Arial" w:hAnsi="Arial"/>
          <w:sz w:val="20"/>
          <w:szCs w:val="20"/>
          <w:color w:val="auto"/>
        </w:rPr>
        <w:t xml:space="preserve">. Notwithstanding anything in this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to the contrary, no Lender shall receive compensation pursuant to this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unless such Lender certifies that it is generally seeking compensation from other borrowers in the United States loan market with respect to similarly affected loans under agreements with such borrowers having provisions similar to this </w:t>
      </w:r>
      <w:r>
        <w:rPr>
          <w:rFonts w:ascii="Arial" w:cs="Arial" w:eastAsia="Arial" w:hAnsi="Arial"/>
          <w:sz w:val="20"/>
          <w:szCs w:val="20"/>
          <w:u w:val="single" w:color="auto"/>
          <w:color w:val="auto"/>
        </w:rPr>
        <w:t>Section 3.04</w:t>
      </w:r>
      <w:r>
        <w:rPr>
          <w:rFonts w:ascii="Arial" w:cs="Arial" w:eastAsia="Arial" w:hAnsi="Arial"/>
          <w:sz w:val="20"/>
          <w:szCs w:val="20"/>
          <w:color w:val="auto"/>
        </w:rPr>
        <w:t>.</w:t>
      </w:r>
    </w:p>
    <w:p>
      <w:pPr>
        <w:spacing w:after="0" w:line="185"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 xml:space="preserve">3.05 Compensation for Losses. </w:t>
      </w:r>
      <w:r>
        <w:rPr>
          <w:rFonts w:ascii="Arial" w:cs="Arial" w:eastAsia="Arial" w:hAnsi="Arial"/>
          <w:sz w:val="20"/>
          <w:szCs w:val="20"/>
          <w:color w:val="auto"/>
        </w:rPr>
        <w:t>Upon demand of any Lender (with a copy to the Administrative Agent) from time to</w:t>
      </w:r>
      <w:r>
        <w:rPr>
          <w:rFonts w:ascii="Arial" w:cs="Arial" w:eastAsia="Arial" w:hAnsi="Arial"/>
          <w:sz w:val="20"/>
          <w:szCs w:val="20"/>
          <w:b w:val="1"/>
          <w:bCs w:val="1"/>
          <w:color w:val="auto"/>
        </w:rPr>
        <w:t xml:space="preserve"> </w:t>
      </w:r>
      <w:r>
        <w:rPr>
          <w:rFonts w:ascii="Arial" w:cs="Arial" w:eastAsia="Arial" w:hAnsi="Arial"/>
          <w:sz w:val="20"/>
          <w:szCs w:val="20"/>
          <w:color w:val="auto"/>
        </w:rPr>
        <w:t>time, the Borrower shall promptly compensate such Lender for and hold such Lender harmless from any loss, cost or expense incurred by it as a result of:</w:t>
      </w:r>
    </w:p>
    <w:p>
      <w:pPr>
        <w:spacing w:after="0" w:line="183" w:lineRule="exact"/>
        <w:rPr>
          <w:sz w:val="20"/>
          <w:szCs w:val="20"/>
          <w:color w:val="auto"/>
        </w:rPr>
      </w:pPr>
    </w:p>
    <w:p>
      <w:pPr>
        <w:ind w:firstLine="872"/>
        <w:spacing w:after="0" w:line="316" w:lineRule="auto"/>
        <w:tabs>
          <w:tab w:leader="none" w:pos="1731"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29" w:lineRule="exact"/>
        <w:rPr>
          <w:rFonts w:ascii="Arial" w:cs="Arial" w:eastAsia="Arial" w:hAnsi="Arial"/>
          <w:sz w:val="18"/>
          <w:szCs w:val="18"/>
          <w:color w:val="auto"/>
        </w:rPr>
      </w:pPr>
    </w:p>
    <w:p>
      <w:pPr>
        <w:ind w:firstLine="872"/>
        <w:spacing w:after="0" w:line="260" w:lineRule="auto"/>
        <w:tabs>
          <w:tab w:leader="none" w:pos="1742" w:val="left"/>
        </w:tabs>
        <w:numPr>
          <w:ilvl w:val="0"/>
          <w:numId w:val="52"/>
        </w:numPr>
        <w:rPr>
          <w:rFonts w:ascii="Arial" w:cs="Arial" w:eastAsia="Arial" w:hAnsi="Arial"/>
          <w:sz w:val="20"/>
          <w:szCs w:val="20"/>
          <w:color w:val="auto"/>
        </w:rPr>
      </w:pPr>
      <w:r>
        <w:rPr>
          <w:rFonts w:ascii="Arial" w:cs="Arial" w:eastAsia="Arial" w:hAnsi="Arial"/>
          <w:sz w:val="20"/>
          <w:szCs w:val="20"/>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176" w:lineRule="exact"/>
        <w:rPr>
          <w:rFonts w:ascii="Arial" w:cs="Arial" w:eastAsia="Arial" w:hAnsi="Arial"/>
          <w:sz w:val="20"/>
          <w:szCs w:val="20"/>
          <w:color w:val="auto"/>
        </w:rPr>
      </w:pPr>
    </w:p>
    <w:p>
      <w:pPr>
        <w:ind w:firstLine="872"/>
        <w:spacing w:after="0" w:line="260" w:lineRule="auto"/>
        <w:tabs>
          <w:tab w:leader="none" w:pos="1731" w:val="left"/>
        </w:tabs>
        <w:numPr>
          <w:ilvl w:val="0"/>
          <w:numId w:val="52"/>
        </w:numPr>
        <w:rPr>
          <w:rFonts w:ascii="Arial" w:cs="Arial" w:eastAsia="Arial" w:hAnsi="Arial"/>
          <w:sz w:val="20"/>
          <w:szCs w:val="20"/>
          <w:color w:val="auto"/>
        </w:rPr>
      </w:pPr>
      <w:r>
        <w:rPr>
          <w:rFonts w:ascii="Arial" w:cs="Arial" w:eastAsia="Arial" w:hAnsi="Arial"/>
          <w:sz w:val="20"/>
          <w:szCs w:val="20"/>
          <w:color w:val="auto"/>
        </w:rPr>
        <w:t xml:space="preserve">any assignment of a Eurodollar Rate Loan on a day other than the last day of the Interest Period therefor as a result of a request by the Borrower pursuant to </w:t>
      </w:r>
      <w:r>
        <w:rPr>
          <w:rFonts w:ascii="Arial" w:cs="Arial" w:eastAsia="Arial" w:hAnsi="Arial"/>
          <w:sz w:val="20"/>
          <w:szCs w:val="20"/>
          <w:u w:val="single" w:color="auto"/>
          <w:color w:val="auto"/>
        </w:rPr>
        <w:t>Section 10.13</w:t>
      </w:r>
      <w:r>
        <w:rPr>
          <w:rFonts w:ascii="Arial" w:cs="Arial" w:eastAsia="Arial" w:hAnsi="Arial"/>
          <w:sz w:val="20"/>
          <w:szCs w:val="20"/>
          <w:color w:val="auto"/>
        </w:rPr>
        <w:t>;</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including any loss of anticipated profits, any foreign exchange losses and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spacing w:after="0" w:line="15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For purposes of calculating amounts payable by the Borrower to the Lenders under this </w:t>
      </w:r>
      <w:r>
        <w:rPr>
          <w:rFonts w:ascii="Arial" w:cs="Arial" w:eastAsia="Arial" w:hAnsi="Arial"/>
          <w:sz w:val="20"/>
          <w:szCs w:val="20"/>
          <w:u w:val="single" w:color="auto"/>
          <w:color w:val="auto"/>
        </w:rPr>
        <w:t>Section 3.05</w:t>
      </w:r>
      <w:r>
        <w:rPr>
          <w:rFonts w:ascii="Arial" w:cs="Arial" w:eastAsia="Arial" w:hAnsi="Arial"/>
          <w:sz w:val="20"/>
          <w:szCs w:val="20"/>
          <w:color w:val="auto"/>
        </w:rPr>
        <w:t>, each Lender shall be deemed to have funded each Eurodollar Rate Loan made by it at the Eurodollar Rate for such Loan by a matching deposit or other borrowing in the London interbank eurodollar market for a comparable amount and for a comparable period, whether or not such Eurodollar Rate Loan was in fact so funded.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9" w:name="page50"/>
    <w:bookmarkEnd w:id="49"/>
    <w:p>
      <w:pPr>
        <w:ind w:left="880"/>
        <w:spacing w:after="0"/>
        <w:tabs>
          <w:tab w:leader="none" w:pos="1840" w:val="left"/>
        </w:tabs>
        <w:rPr>
          <w:sz w:val="20"/>
          <w:szCs w:val="20"/>
          <w:color w:val="auto"/>
        </w:rPr>
      </w:pPr>
      <w:r>
        <w:rPr>
          <w:rFonts w:ascii="Arial" w:cs="Arial" w:eastAsia="Arial" w:hAnsi="Arial"/>
          <w:sz w:val="20"/>
          <w:szCs w:val="20"/>
          <w:b w:val="1"/>
          <w:bCs w:val="1"/>
          <w:color w:val="auto"/>
        </w:rPr>
        <w:t>3.06</w:t>
      </w:r>
      <w:r>
        <w:rPr>
          <w:sz w:val="20"/>
          <w:szCs w:val="20"/>
          <w:color w:val="auto"/>
        </w:rPr>
        <w:tab/>
      </w:r>
      <w:r>
        <w:rPr>
          <w:rFonts w:ascii="Arial" w:cs="Arial" w:eastAsia="Arial" w:hAnsi="Arial"/>
          <w:sz w:val="16"/>
          <w:szCs w:val="16"/>
          <w:b w:val="1"/>
          <w:bCs w:val="1"/>
          <w:color w:val="auto"/>
        </w:rPr>
        <w:t>Mitigation Obligations; Replacement of Lenders.</w:t>
      </w:r>
    </w:p>
    <w:p>
      <w:pPr>
        <w:spacing w:after="0" w:line="222" w:lineRule="exact"/>
        <w:rPr>
          <w:sz w:val="20"/>
          <w:szCs w:val="20"/>
          <w:color w:val="auto"/>
        </w:rPr>
      </w:pPr>
    </w:p>
    <w:p>
      <w:pPr>
        <w:jc w:val="both"/>
        <w:ind w:firstLine="872"/>
        <w:spacing w:after="0" w:line="255" w:lineRule="auto"/>
        <w:tabs>
          <w:tab w:leader="none" w:pos="1731"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Designation of a Different Lending Office</w:t>
      </w:r>
      <w:r>
        <w:rPr>
          <w:rFonts w:ascii="Arial" w:cs="Arial" w:eastAsia="Arial" w:hAnsi="Arial"/>
          <w:sz w:val="19"/>
          <w:szCs w:val="19"/>
          <w:color w:val="auto"/>
        </w:rPr>
        <w:t xml:space="preserve">. Each Lender may make any Loan to the Borrower through any Lending Office,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exercise of this option shall not affect the obligation of the Borrower to repay the Loan in accordance with the terms of this Agreement. If any Lender requests compensation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or the Borrower is required to pay any Indemnified Taxes or additional amount to any Lender or any Governmental Authority for the account of any Lender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if any Lender gives a notice pursuant to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then at the request of the Borrower such Lender shall, as applicable,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as the case may be, in the future, or eliminate the need for the notice pursuant to </w:t>
      </w:r>
      <w:r>
        <w:rPr>
          <w:rFonts w:ascii="Arial" w:cs="Arial" w:eastAsia="Arial" w:hAnsi="Arial"/>
          <w:sz w:val="19"/>
          <w:szCs w:val="19"/>
          <w:u w:val="single" w:color="auto"/>
          <w:color w:val="auto"/>
        </w:rPr>
        <w:t>Section 3.02</w:t>
      </w:r>
      <w:r>
        <w:rPr>
          <w:rFonts w:ascii="Arial" w:cs="Arial" w:eastAsia="Arial" w:hAnsi="Arial"/>
          <w:sz w:val="19"/>
          <w:szCs w:val="19"/>
          <w:color w:val="auto"/>
        </w:rPr>
        <w:t>, as applicable, and (ii) in each case,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86" w:lineRule="exact"/>
        <w:rPr>
          <w:rFonts w:ascii="Arial" w:cs="Arial" w:eastAsia="Arial" w:hAnsi="Arial"/>
          <w:sz w:val="19"/>
          <w:szCs w:val="19"/>
          <w:color w:val="auto"/>
        </w:rPr>
      </w:pPr>
    </w:p>
    <w:p>
      <w:pPr>
        <w:jc w:val="both"/>
        <w:ind w:firstLine="872"/>
        <w:spacing w:after="0" w:line="246" w:lineRule="auto"/>
        <w:tabs>
          <w:tab w:leader="none" w:pos="1742"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Replacement of Lenders</w:t>
      </w:r>
      <w:r>
        <w:rPr>
          <w:rFonts w:ascii="Arial" w:cs="Arial" w:eastAsia="Arial" w:hAnsi="Arial"/>
          <w:sz w:val="20"/>
          <w:szCs w:val="20"/>
          <w:color w:val="auto"/>
        </w:rPr>
        <w:t xml:space="preserve">. If any Lender requests compensation under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or if the Borrower is required to pay any Indemnified Taxes or additional amount to any Lender or any Governmental Authority for the account of any Lender pursuant to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and, in each case, such Lender has declined or is unable to designate a different lending office in accordance with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3.06(a)</w:t>
      </w:r>
      <w:r>
        <w:rPr>
          <w:rFonts w:ascii="Arial" w:cs="Arial" w:eastAsia="Arial" w:hAnsi="Arial"/>
          <w:sz w:val="20"/>
          <w:szCs w:val="20"/>
          <w:color w:val="auto"/>
        </w:rPr>
        <w:t xml:space="preserve">, the Borrower may replace such Lender in accordance with </w:t>
      </w:r>
      <w:r>
        <w:rPr>
          <w:rFonts w:ascii="Arial" w:cs="Arial" w:eastAsia="Arial" w:hAnsi="Arial"/>
          <w:sz w:val="20"/>
          <w:szCs w:val="20"/>
          <w:u w:val="single" w:color="auto"/>
          <w:color w:val="auto"/>
        </w:rPr>
        <w:t>Section 10.13</w:t>
      </w:r>
      <w:r>
        <w:rPr>
          <w:rFonts w:ascii="Arial" w:cs="Arial" w:eastAsia="Arial" w:hAnsi="Arial"/>
          <w:sz w:val="20"/>
          <w:szCs w:val="20"/>
          <w:color w:val="auto"/>
        </w:rPr>
        <w:t>.</w:t>
      </w:r>
    </w:p>
    <w:p>
      <w:pPr>
        <w:spacing w:after="0" w:line="185" w:lineRule="exact"/>
        <w:rPr>
          <w:sz w:val="20"/>
          <w:szCs w:val="20"/>
          <w:color w:val="auto"/>
        </w:rPr>
      </w:pPr>
    </w:p>
    <w:p>
      <w:pPr>
        <w:ind w:firstLine="864"/>
        <w:spacing w:after="0" w:line="267" w:lineRule="auto"/>
        <w:rPr>
          <w:sz w:val="20"/>
          <w:szCs w:val="20"/>
          <w:color w:val="auto"/>
        </w:rPr>
      </w:pPr>
      <w:r>
        <w:rPr>
          <w:rFonts w:ascii="Arial" w:cs="Arial" w:eastAsia="Arial" w:hAnsi="Arial"/>
          <w:sz w:val="20"/>
          <w:szCs w:val="20"/>
          <w:b w:val="1"/>
          <w:bCs w:val="1"/>
          <w:color w:val="auto"/>
        </w:rPr>
        <w:t xml:space="preserve">3.07 Survival. </w:t>
      </w:r>
      <w:r>
        <w:rPr>
          <w:rFonts w:ascii="Arial" w:cs="Arial" w:eastAsia="Arial" w:hAnsi="Arial"/>
          <w:sz w:val="20"/>
          <w:szCs w:val="20"/>
          <w:color w:val="auto"/>
        </w:rPr>
        <w:t>All of the Borrower’s obligations under this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Article III</w:t>
      </w:r>
      <w:r>
        <w:rPr>
          <w:rFonts w:ascii="Arial" w:cs="Arial" w:eastAsia="Arial" w:hAnsi="Arial"/>
          <w:sz w:val="20"/>
          <w:szCs w:val="20"/>
          <w:b w:val="1"/>
          <w:bCs w:val="1"/>
          <w:color w:val="auto"/>
        </w:rPr>
        <w:t xml:space="preserve"> </w:t>
      </w:r>
      <w:r>
        <w:rPr>
          <w:rFonts w:ascii="Arial" w:cs="Arial" w:eastAsia="Arial" w:hAnsi="Arial"/>
          <w:sz w:val="20"/>
          <w:szCs w:val="20"/>
          <w:color w:val="auto"/>
        </w:rPr>
        <w:t>shall survive termination of the Aggregate</w:t>
      </w:r>
      <w:r>
        <w:rPr>
          <w:rFonts w:ascii="Arial" w:cs="Arial" w:eastAsia="Arial" w:hAnsi="Arial"/>
          <w:sz w:val="20"/>
          <w:szCs w:val="20"/>
          <w:b w:val="1"/>
          <w:bCs w:val="1"/>
          <w:color w:val="auto"/>
        </w:rPr>
        <w:t xml:space="preserve"> </w:t>
      </w:r>
      <w:r>
        <w:rPr>
          <w:rFonts w:ascii="Arial" w:cs="Arial" w:eastAsia="Arial" w:hAnsi="Arial"/>
          <w:sz w:val="20"/>
          <w:szCs w:val="20"/>
          <w:color w:val="auto"/>
        </w:rPr>
        <w:t>Commitments, repayment of all other Obligations hereunder and resignation of the Administrative Agent.</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CONDITIONS PRECEDENT</w:t>
      </w:r>
    </w:p>
    <w:p>
      <w:pPr>
        <w:spacing w:after="0" w:line="194" w:lineRule="exact"/>
        <w:rPr>
          <w:sz w:val="20"/>
          <w:szCs w:val="20"/>
          <w:color w:val="auto"/>
        </w:rPr>
      </w:pPr>
    </w:p>
    <w:p>
      <w:pPr>
        <w:ind w:right="20" w:firstLine="864"/>
        <w:spacing w:after="0" w:line="267" w:lineRule="auto"/>
        <w:rPr>
          <w:sz w:val="20"/>
          <w:szCs w:val="20"/>
          <w:color w:val="auto"/>
        </w:rPr>
      </w:pPr>
      <w:r>
        <w:rPr>
          <w:rFonts w:ascii="Arial" w:cs="Arial" w:eastAsia="Arial" w:hAnsi="Arial"/>
          <w:sz w:val="20"/>
          <w:szCs w:val="20"/>
          <w:b w:val="1"/>
          <w:bCs w:val="1"/>
          <w:color w:val="auto"/>
        </w:rPr>
        <w:t xml:space="preserve">4.01 Conditions to Effectiveness. </w:t>
      </w:r>
      <w:r>
        <w:rPr>
          <w:rFonts w:ascii="Arial" w:cs="Arial" w:eastAsia="Arial" w:hAnsi="Arial"/>
          <w:sz w:val="20"/>
          <w:szCs w:val="20"/>
          <w:color w:val="auto"/>
        </w:rPr>
        <w:t>The effectiveness of this Agreement is subject to satisfaction of the following</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precedent:</w:t>
      </w:r>
    </w:p>
    <w:p>
      <w:pPr>
        <w:spacing w:after="0" w:line="169" w:lineRule="exact"/>
        <w:rPr>
          <w:sz w:val="20"/>
          <w:szCs w:val="20"/>
          <w:color w:val="auto"/>
        </w:rPr>
      </w:pPr>
    </w:p>
    <w:p>
      <w:pPr>
        <w:jc w:val="both"/>
        <w:ind w:firstLine="872"/>
        <w:spacing w:after="0" w:line="282" w:lineRule="auto"/>
        <w:tabs>
          <w:tab w:leader="none" w:pos="1731"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Documentation</w:t>
      </w:r>
      <w:r>
        <w:rPr>
          <w:rFonts w:ascii="Arial" w:cs="Arial" w:eastAsia="Arial" w:hAnsi="Arial"/>
          <w:sz w:val="18"/>
          <w:szCs w:val="18"/>
          <w:color w:val="auto"/>
        </w:rPr>
        <w:t>. The Administrative Agent’s receipt of the following, each of which shall be originals, telecopies or copies sent by electronic transmission (followed promptly by originals) unless otherwise specified, each properly executed by a Responsible Officer of the Borrower (where applicable), each dated the Closing Date (or, in the case of certificates of governmental officials, a recent date before the Closing Date) and each in form and substance satisfactory to the Administrative Agent and each of the Lenders:</w:t>
      </w:r>
    </w:p>
    <w:p>
      <w:pPr>
        <w:spacing w:after="0" w:line="161" w:lineRule="exact"/>
        <w:rPr>
          <w:rFonts w:ascii="Arial" w:cs="Arial" w:eastAsia="Arial" w:hAnsi="Arial"/>
          <w:sz w:val="18"/>
          <w:szCs w:val="18"/>
          <w:color w:val="auto"/>
        </w:rPr>
      </w:pPr>
    </w:p>
    <w:p>
      <w:pPr>
        <w:ind w:left="2500" w:hanging="831"/>
        <w:spacing w:after="0"/>
        <w:tabs>
          <w:tab w:leader="none" w:pos="2500" w:val="left"/>
        </w:tabs>
        <w:numPr>
          <w:ilvl w:val="1"/>
          <w:numId w:val="54"/>
        </w:numPr>
        <w:rPr>
          <w:rFonts w:ascii="Arial" w:cs="Arial" w:eastAsia="Arial" w:hAnsi="Arial"/>
          <w:sz w:val="20"/>
          <w:szCs w:val="20"/>
          <w:color w:val="auto"/>
        </w:rPr>
      </w:pPr>
      <w:r>
        <w:rPr>
          <w:rFonts w:ascii="Arial" w:cs="Arial" w:eastAsia="Arial" w:hAnsi="Arial"/>
          <w:sz w:val="20"/>
          <w:szCs w:val="20"/>
          <w:color w:val="auto"/>
        </w:rPr>
        <w:t>executed counterparts of this Agreement;</w:t>
      </w:r>
    </w:p>
    <w:p>
      <w:pPr>
        <w:spacing w:after="0" w:line="215" w:lineRule="exact"/>
        <w:rPr>
          <w:rFonts w:ascii="Arial" w:cs="Arial" w:eastAsia="Arial" w:hAnsi="Arial"/>
          <w:sz w:val="20"/>
          <w:szCs w:val="20"/>
          <w:color w:val="auto"/>
        </w:rPr>
      </w:pPr>
    </w:p>
    <w:p>
      <w:pPr>
        <w:ind w:left="2560" w:hanging="891"/>
        <w:spacing w:after="0"/>
        <w:tabs>
          <w:tab w:leader="none" w:pos="2560" w:val="left"/>
        </w:tabs>
        <w:numPr>
          <w:ilvl w:val="1"/>
          <w:numId w:val="54"/>
        </w:numPr>
        <w:rPr>
          <w:rFonts w:ascii="Arial" w:cs="Arial" w:eastAsia="Arial" w:hAnsi="Arial"/>
          <w:sz w:val="20"/>
          <w:szCs w:val="20"/>
          <w:color w:val="auto"/>
        </w:rPr>
      </w:pPr>
      <w:r>
        <w:rPr>
          <w:rFonts w:ascii="Arial" w:cs="Arial" w:eastAsia="Arial" w:hAnsi="Arial"/>
          <w:sz w:val="20"/>
          <w:szCs w:val="20"/>
          <w:color w:val="auto"/>
        </w:rPr>
        <w:t>Notes executed by the Borrower in favor of each Lender requesting Notes;</w:t>
      </w:r>
    </w:p>
    <w:p>
      <w:pPr>
        <w:spacing w:after="0" w:line="215" w:lineRule="exact"/>
        <w:rPr>
          <w:rFonts w:ascii="Arial" w:cs="Arial" w:eastAsia="Arial" w:hAnsi="Arial"/>
          <w:sz w:val="20"/>
          <w:szCs w:val="20"/>
          <w:color w:val="auto"/>
        </w:rPr>
      </w:pPr>
    </w:p>
    <w:p>
      <w:pPr>
        <w:jc w:val="both"/>
        <w:ind w:left="880" w:firstLine="789"/>
        <w:spacing w:after="0" w:line="246" w:lineRule="auto"/>
        <w:tabs>
          <w:tab w:leader="none" w:pos="2622" w:val="left"/>
        </w:tabs>
        <w:numPr>
          <w:ilvl w:val="1"/>
          <w:numId w:val="54"/>
        </w:numPr>
        <w:rPr>
          <w:rFonts w:ascii="Arial" w:cs="Arial" w:eastAsia="Arial" w:hAnsi="Arial"/>
          <w:sz w:val="20"/>
          <w:szCs w:val="20"/>
          <w:color w:val="auto"/>
        </w:rPr>
      </w:pPr>
      <w:r>
        <w:rPr>
          <w:rFonts w:ascii="Arial" w:cs="Arial" w:eastAsia="Arial" w:hAnsi="Arial"/>
          <w:sz w:val="20"/>
          <w:szCs w:val="20"/>
          <w:color w:val="auto"/>
        </w:rPr>
        <w:t>such certificates of resolutions or other action, incumbency certificates and/or other certificates of Responsible Officers of the Borrower as the Administrative Agent may require evidencing the identity, authority and capacity of each Responsible Officer thereof authorized to act as a Responsible Officer in connection with this Agreement and the other Loan Documents;</w:t>
      </w:r>
    </w:p>
    <w:p>
      <w:pPr>
        <w:spacing w:after="0" w:line="191" w:lineRule="exact"/>
        <w:rPr>
          <w:rFonts w:ascii="Arial" w:cs="Arial" w:eastAsia="Arial" w:hAnsi="Arial"/>
          <w:sz w:val="20"/>
          <w:szCs w:val="20"/>
          <w:color w:val="auto"/>
        </w:rPr>
      </w:pPr>
    </w:p>
    <w:p>
      <w:pPr>
        <w:ind w:left="880" w:firstLine="789"/>
        <w:spacing w:after="0" w:line="260" w:lineRule="auto"/>
        <w:tabs>
          <w:tab w:leader="none" w:pos="2611" w:val="left"/>
        </w:tabs>
        <w:numPr>
          <w:ilvl w:val="1"/>
          <w:numId w:val="54"/>
        </w:numPr>
        <w:rPr>
          <w:rFonts w:ascii="Arial" w:cs="Arial" w:eastAsia="Arial" w:hAnsi="Arial"/>
          <w:sz w:val="20"/>
          <w:szCs w:val="20"/>
          <w:color w:val="auto"/>
        </w:rPr>
      </w:pPr>
      <w:r>
        <w:rPr>
          <w:rFonts w:ascii="Arial" w:cs="Arial" w:eastAsia="Arial" w:hAnsi="Arial"/>
          <w:sz w:val="20"/>
          <w:szCs w:val="20"/>
          <w:color w:val="auto"/>
        </w:rPr>
        <w:t>such documents and certifications as the Administrative Agent may reasonably require to evidence that the Borrower is duly organized or formed, and that the Borrower is validly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0" w:name="page51"/>
    <w:bookmarkEnd w:id="50"/>
    <w:p>
      <w:pPr>
        <w:jc w:val="both"/>
        <w:ind w:left="880"/>
        <w:spacing w:after="0" w:line="250" w:lineRule="auto"/>
        <w:rPr>
          <w:sz w:val="20"/>
          <w:szCs w:val="20"/>
          <w:color w:val="auto"/>
        </w:rPr>
      </w:pPr>
      <w:r>
        <w:rPr>
          <w:rFonts w:ascii="Arial" w:cs="Arial" w:eastAsia="Arial" w:hAnsi="Arial"/>
          <w:sz w:val="20"/>
          <w:szCs w:val="20"/>
          <w:color w:val="auto"/>
        </w:rPr>
        <w:t>existing, in good standing and qualified to engage in business in each jurisdiction where its ownership, lease or operation of properties or the conduct of its business requires such qualification, except to the extent that failure to do so could not reasonably be expected to have a Material Adverse Effect;</w:t>
      </w:r>
    </w:p>
    <w:p>
      <w:pPr>
        <w:spacing w:after="0" w:line="186" w:lineRule="exact"/>
        <w:rPr>
          <w:sz w:val="20"/>
          <w:szCs w:val="20"/>
          <w:color w:val="auto"/>
        </w:rPr>
      </w:pPr>
    </w:p>
    <w:p>
      <w:pPr>
        <w:ind w:left="2540" w:hanging="871"/>
        <w:spacing w:after="0"/>
        <w:tabs>
          <w:tab w:leader="none" w:pos="25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such financial information relating to the Borrower and its Subsidiaries as the Administrative Agent may</w:t>
      </w:r>
    </w:p>
    <w:p>
      <w:pPr>
        <w:spacing w:after="0" w:line="2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request;</w:t>
      </w:r>
    </w:p>
    <w:p>
      <w:pPr>
        <w:spacing w:after="0" w:line="200" w:lineRule="exact"/>
        <w:rPr>
          <w:sz w:val="20"/>
          <w:szCs w:val="20"/>
          <w:color w:val="auto"/>
        </w:rPr>
      </w:pPr>
    </w:p>
    <w:p>
      <w:pPr>
        <w:ind w:left="2600" w:hanging="931"/>
        <w:spacing w:after="0"/>
        <w:tabs>
          <w:tab w:leader="none" w:pos="26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 favorable opinion of counsel to the Borrower, addressed to the Administrative Agent and each Lender;</w:t>
      </w:r>
    </w:p>
    <w:p>
      <w:pPr>
        <w:spacing w:after="0" w:line="238" w:lineRule="exact"/>
        <w:rPr>
          <w:rFonts w:ascii="Arial" w:cs="Arial" w:eastAsia="Arial" w:hAnsi="Arial"/>
          <w:sz w:val="18"/>
          <w:szCs w:val="18"/>
          <w:color w:val="auto"/>
        </w:rPr>
      </w:pPr>
    </w:p>
    <w:p>
      <w:pPr>
        <w:jc w:val="both"/>
        <w:ind w:left="880" w:firstLine="789"/>
        <w:spacing w:after="0" w:line="246" w:lineRule="auto"/>
        <w:tabs>
          <w:tab w:leader="none" w:pos="2666" w:val="left"/>
        </w:tabs>
        <w:numPr>
          <w:ilvl w:val="1"/>
          <w:numId w:val="56"/>
        </w:numPr>
        <w:rPr>
          <w:rFonts w:ascii="Arial" w:cs="Arial" w:eastAsia="Arial" w:hAnsi="Arial"/>
          <w:sz w:val="20"/>
          <w:szCs w:val="20"/>
          <w:color w:val="auto"/>
        </w:rPr>
      </w:pPr>
      <w:r>
        <w:rPr>
          <w:rFonts w:ascii="Arial" w:cs="Arial" w:eastAsia="Arial" w:hAnsi="Arial"/>
          <w:sz w:val="20"/>
          <w:szCs w:val="20"/>
          <w:color w:val="auto"/>
        </w:rPr>
        <w:t>a certificate of a Responsible Officer of the Borrower either (A) attaching copies of all consents, licenses and approvals required in connection with the execution, delivery and performance by the Borrower and the validity against the Borrower of the Loan Documents to which it is a party, and such consents, licenses and approvals shall be in full force and effect, or (B) stating that no such consents, licenses or approvals are so required;</w:t>
      </w:r>
    </w:p>
    <w:p>
      <w:pPr>
        <w:spacing w:after="0" w:line="191" w:lineRule="exact"/>
        <w:rPr>
          <w:rFonts w:ascii="Arial" w:cs="Arial" w:eastAsia="Arial" w:hAnsi="Arial"/>
          <w:sz w:val="20"/>
          <w:szCs w:val="20"/>
          <w:color w:val="auto"/>
        </w:rPr>
      </w:pPr>
    </w:p>
    <w:p>
      <w:pPr>
        <w:jc w:val="both"/>
        <w:ind w:left="880" w:firstLine="789"/>
        <w:spacing w:after="0" w:line="271" w:lineRule="auto"/>
        <w:tabs>
          <w:tab w:leader="none" w:pos="2721" w:val="left"/>
        </w:tabs>
        <w:numPr>
          <w:ilvl w:val="1"/>
          <w:numId w:val="56"/>
        </w:numPr>
        <w:rPr>
          <w:rFonts w:ascii="Arial" w:cs="Arial" w:eastAsia="Arial" w:hAnsi="Arial"/>
          <w:sz w:val="18"/>
          <w:szCs w:val="18"/>
          <w:color w:val="auto"/>
        </w:rPr>
      </w:pPr>
      <w:r>
        <w:rPr>
          <w:rFonts w:ascii="Arial" w:cs="Arial" w:eastAsia="Arial" w:hAnsi="Arial"/>
          <w:sz w:val="18"/>
          <w:szCs w:val="18"/>
          <w:color w:val="auto"/>
        </w:rPr>
        <w:t xml:space="preserve">a certificate signed by a Responsible Officer of the Borrower certifying (A) that the representations and warranties of the Borrower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5.22</w:t>
      </w:r>
      <w:r>
        <w:rPr>
          <w:rFonts w:ascii="Arial" w:cs="Arial" w:eastAsia="Arial" w:hAnsi="Arial"/>
          <w:sz w:val="18"/>
          <w:szCs w:val="18"/>
          <w:color w:val="auto"/>
        </w:rPr>
        <w:t>) and contained in each other Loan Document are true and correct in all material respects (or, to the extent any such representation and warranty is modified by materiality or Material Adverse Effect, in all respects) on and as of the Closing Date, (B) that no Default exists as of the Closing Date or would result from the effectiveness of this Agreement; (C) that there has been no event or circumstance since the date of the Audited Financial Statements that has resulted or could reasonably be expected to result in, either individually or in the aggregate, a Material Adverse Effect; (D) the current Debt Rating and Leverage Ratio; and (E) there does not exist any pending or threatened action, suit, investigation or proceeding in any court or before any arbitrator or Governmental Authority that (x) except as disclosed in this Agreement, either individually or in the aggregate, if adversely determined, could reasonably be expected to have a Material Adverse Effect or (y) purports to affect any transaction contemplated under this Agreement or any Loan or the ability of the Borrower to perform its obligations under this Agreement or any Loan Document; and</w:t>
      </w:r>
    </w:p>
    <w:p>
      <w:pPr>
        <w:spacing w:after="0" w:line="169" w:lineRule="exact"/>
        <w:rPr>
          <w:rFonts w:ascii="Arial" w:cs="Arial" w:eastAsia="Arial" w:hAnsi="Arial"/>
          <w:sz w:val="18"/>
          <w:szCs w:val="18"/>
          <w:color w:val="auto"/>
        </w:rPr>
      </w:pPr>
    </w:p>
    <w:p>
      <w:pPr>
        <w:ind w:left="880" w:firstLine="789"/>
        <w:spacing w:after="0" w:line="260" w:lineRule="auto"/>
        <w:tabs>
          <w:tab w:leader="none" w:pos="2611" w:val="left"/>
        </w:tabs>
        <w:numPr>
          <w:ilvl w:val="1"/>
          <w:numId w:val="56"/>
        </w:numPr>
        <w:rPr>
          <w:rFonts w:ascii="Arial" w:cs="Arial" w:eastAsia="Arial" w:hAnsi="Arial"/>
          <w:sz w:val="20"/>
          <w:szCs w:val="20"/>
          <w:color w:val="auto"/>
        </w:rPr>
      </w:pPr>
      <w:r>
        <w:rPr>
          <w:rFonts w:ascii="Arial" w:cs="Arial" w:eastAsia="Arial" w:hAnsi="Arial"/>
          <w:sz w:val="20"/>
          <w:szCs w:val="20"/>
          <w:color w:val="auto"/>
        </w:rPr>
        <w:t>such other assurances, certificates, documents, consents or opinions as the Administrative Agent or the Required Lenders reasonably may require.</w:t>
      </w:r>
    </w:p>
    <w:p>
      <w:pPr>
        <w:spacing w:after="0" w:line="176" w:lineRule="exact"/>
        <w:rPr>
          <w:rFonts w:ascii="Arial" w:cs="Arial" w:eastAsia="Arial" w:hAnsi="Arial"/>
          <w:sz w:val="20"/>
          <w:szCs w:val="20"/>
          <w:color w:val="auto"/>
        </w:rPr>
      </w:pPr>
    </w:p>
    <w:p>
      <w:pPr>
        <w:ind w:left="1760" w:hanging="888"/>
        <w:spacing w:after="0"/>
        <w:tabs>
          <w:tab w:leader="none" w:pos="1760"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872"/>
        <w:spacing w:after="0" w:line="278" w:lineRule="auto"/>
        <w:tabs>
          <w:tab w:leader="none" w:pos="1731"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Payment of Expenses</w:t>
      </w:r>
      <w:r>
        <w:rPr>
          <w:rFonts w:ascii="Arial" w:cs="Arial" w:eastAsia="Arial" w:hAnsi="Arial"/>
          <w:sz w:val="18"/>
          <w:szCs w:val="18"/>
          <w:color w:val="auto"/>
        </w:rPr>
        <w:t>. Unless waived by the Administrative Agent, the Borrower shall have paid all fees, charges and disbursements of counsel (directly to such counsel if requested by the Administrative Agent) to the Administrative Agent to the extent invoiced prior to or on the Closing Date, plus such additional amounts of such fees, charges and disbursements as shall constitute its reasonable estimate of such fees, charges and disbursements incurred or to be incurred by it through the closing proceedings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estimate shall not thereafter preclude a final settling of accounts between the Borrower and the Administrative Agent).</w:t>
      </w:r>
    </w:p>
    <w:p>
      <w:pPr>
        <w:spacing w:after="0" w:line="164" w:lineRule="exact"/>
        <w:rPr>
          <w:rFonts w:ascii="Arial" w:cs="Arial" w:eastAsia="Arial" w:hAnsi="Arial"/>
          <w:sz w:val="18"/>
          <w:szCs w:val="18"/>
          <w:color w:val="auto"/>
        </w:rPr>
      </w:pPr>
    </w:p>
    <w:p>
      <w:pPr>
        <w:jc w:val="both"/>
        <w:ind w:firstLine="872"/>
        <w:spacing w:after="0" w:line="282" w:lineRule="auto"/>
        <w:tabs>
          <w:tab w:leader="none" w:pos="174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Know Your Customer</w:t>
      </w:r>
      <w:r>
        <w:rPr>
          <w:rFonts w:ascii="Arial" w:cs="Arial" w:eastAsia="Arial" w:hAnsi="Arial"/>
          <w:sz w:val="18"/>
          <w:szCs w:val="18"/>
          <w:color w:val="auto"/>
        </w:rPr>
        <w:t>. Upon the reasonable request of any Lender made at least ten days prior to the Closing Date, the Borrower shall have provided to such Lender the documentation and other information so requested in connection with applicable “know your customer” and anti-money-laundering rules and regulations, including the Act, in each case at least five days prior to the Closing Date. Upon the request of any Lender made at least five days prior to the Closing Date, if the Borrower qualifies as a “legal</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entity customer” under the Beneficial Ownership Regulation, it shall deliver a Beneficial Ownership Certification in relation to the Borrower.</w:t>
      </w:r>
    </w:p>
    <w:p>
      <w:pPr>
        <w:spacing w:after="0" w:line="239" w:lineRule="exact"/>
        <w:rPr>
          <w:sz w:val="20"/>
          <w:szCs w:val="20"/>
          <w:color w:val="auto"/>
        </w:rPr>
      </w:pPr>
    </w:p>
    <w:p>
      <w:pPr>
        <w:jc w:val="both"/>
        <w:ind w:firstLine="872"/>
        <w:spacing w:after="0" w:line="272" w:lineRule="auto"/>
        <w:tabs>
          <w:tab w:leader="none" w:pos="1731"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Financial Information</w:t>
      </w:r>
      <w:r>
        <w:rPr>
          <w:rFonts w:ascii="Arial" w:cs="Arial" w:eastAsia="Arial" w:hAnsi="Arial"/>
          <w:sz w:val="18"/>
          <w:szCs w:val="18"/>
          <w:color w:val="auto"/>
        </w:rPr>
        <w:t xml:space="preserve">. The Arranger shall have received: (i) audited consolidated balance sheet of the Borrower and related consolidated statements of income or operations, shareholders’ equity and cash flows, for each of the three most recently completed fiscal years ended at least 90 days before the Closing Date, including, an unqualified audit report thereon; and (ii) with respect to each fiscal quarter ended at least 45 days before the Closing Date, an unaudited consolidated balance sheet of the Borrower and related consolidated statements of income or operations, shareholders’ equity and cash flows for such fiscal quarter and for the elapsed interim period following the last completed fiscal year and for the comparable periods of the prior fiscal year, all of which financial statements shall be prepared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Borrower’s public filing of any required financial statements with the SEC shall satisfy the requirements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subsection (e)</w:t>
      </w:r>
      <w:r>
        <w:rPr>
          <w:rFonts w:ascii="Arial" w:cs="Arial" w:eastAsia="Arial" w:hAnsi="Arial"/>
          <w:sz w:val="18"/>
          <w:szCs w:val="18"/>
          <w:color w:val="auto"/>
        </w:rPr>
        <w:t xml:space="preserve"> and (B) it is acknowledged and agreed that the financial statements described in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for the fiscal quarter ended January 31, 2020 have been received by the Arranger prior to the Closing Date.</w:t>
      </w:r>
    </w:p>
    <w:p>
      <w:pPr>
        <w:spacing w:after="0" w:line="170"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 xml:space="preserve">Without limiting the generality of the provisions of </w:t>
      </w:r>
      <w:r>
        <w:rPr>
          <w:rFonts w:ascii="Arial" w:cs="Arial" w:eastAsia="Arial" w:hAnsi="Arial"/>
          <w:sz w:val="20"/>
          <w:szCs w:val="20"/>
          <w:u w:val="single" w:color="auto"/>
          <w:color w:val="auto"/>
        </w:rPr>
        <w:t>Section 9.03</w:t>
      </w:r>
      <w:r>
        <w:rPr>
          <w:rFonts w:ascii="Arial" w:cs="Arial" w:eastAsia="Arial" w:hAnsi="Arial"/>
          <w:sz w:val="20"/>
          <w:szCs w:val="20"/>
          <w:color w:val="auto"/>
        </w:rPr>
        <w:t xml:space="preserve">, for purposes of determining compliance with the conditions specified in this </w:t>
      </w:r>
      <w:r>
        <w:rPr>
          <w:rFonts w:ascii="Arial" w:cs="Arial" w:eastAsia="Arial" w:hAnsi="Arial"/>
          <w:sz w:val="20"/>
          <w:szCs w:val="20"/>
          <w:u w:val="single" w:color="auto"/>
          <w:color w:val="auto"/>
        </w:rPr>
        <w:t>Section 4.01</w:t>
      </w:r>
      <w:r>
        <w:rPr>
          <w:rFonts w:ascii="Arial" w:cs="Arial" w:eastAsia="Arial" w:hAnsi="Arial"/>
          <w:sz w:val="20"/>
          <w:szCs w:val="20"/>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88" w:lineRule="exact"/>
        <w:rPr>
          <w:sz w:val="20"/>
          <w:szCs w:val="20"/>
          <w:color w:val="auto"/>
        </w:rPr>
      </w:pPr>
    </w:p>
    <w:p>
      <w:pPr>
        <w:jc w:val="both"/>
        <w:ind w:right="20" w:firstLine="864"/>
        <w:spacing w:after="0" w:line="267" w:lineRule="auto"/>
        <w:rPr>
          <w:sz w:val="20"/>
          <w:szCs w:val="20"/>
          <w:color w:val="auto"/>
        </w:rPr>
      </w:pPr>
      <w:r>
        <w:rPr>
          <w:rFonts w:ascii="Arial" w:cs="Arial" w:eastAsia="Arial" w:hAnsi="Arial"/>
          <w:sz w:val="20"/>
          <w:szCs w:val="20"/>
          <w:b w:val="1"/>
          <w:bCs w:val="1"/>
          <w:color w:val="auto"/>
        </w:rPr>
        <w:t xml:space="preserve">4.02 Conditions to Funding Date. </w:t>
      </w:r>
      <w:r>
        <w:rPr>
          <w:rFonts w:ascii="Arial" w:cs="Arial" w:eastAsia="Arial" w:hAnsi="Arial"/>
          <w:sz w:val="20"/>
          <w:szCs w:val="20"/>
          <w:color w:val="auto"/>
        </w:rPr>
        <w:t>The obligation of each Lender to make the Loan hereunder on the Funding Date is</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occurrence of the Closing Date and the Administrative Agent’s receipt of the following:</w:t>
      </w:r>
    </w:p>
    <w:p>
      <w:pPr>
        <w:spacing w:after="0" w:line="169" w:lineRule="exact"/>
        <w:rPr>
          <w:sz w:val="20"/>
          <w:szCs w:val="20"/>
          <w:color w:val="auto"/>
        </w:rPr>
      </w:pPr>
    </w:p>
    <w:p>
      <w:pPr>
        <w:jc w:val="both"/>
        <w:ind w:firstLine="872"/>
        <w:spacing w:after="0" w:line="257" w:lineRule="auto"/>
        <w:tabs>
          <w:tab w:leader="none" w:pos="1731" w:val="left"/>
        </w:tabs>
        <w:numPr>
          <w:ilvl w:val="0"/>
          <w:numId w:val="59"/>
        </w:numPr>
        <w:rPr>
          <w:rFonts w:ascii="Arial" w:cs="Arial" w:eastAsia="Arial" w:hAnsi="Arial"/>
          <w:sz w:val="19"/>
          <w:szCs w:val="19"/>
          <w:color w:val="auto"/>
        </w:rPr>
      </w:pPr>
      <w:r>
        <w:rPr>
          <w:rFonts w:ascii="Arial" w:cs="Arial" w:eastAsia="Arial" w:hAnsi="Arial"/>
          <w:sz w:val="19"/>
          <w:szCs w:val="19"/>
          <w:color w:val="auto"/>
        </w:rPr>
        <w:t xml:space="preserve">a certificate signed by a Responsible Officer of the Borrower certifying (a) that the representations and warranties of the Borrower contained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and contained in each other Loan Document are true and correct in all material respects (or, to the extent any such representation and warranty is modified by materiality or Material Adverse Effect, in all respects) on and as of the Funding Date, and (b) that no Default exists as of the Funding Date or would result after giving effect to the funding of the Loan hereunder. Such certificate shall be originals, telecopies or copies sent by electronic transmission (followed promptly by originals) unless otherwise specified, properly executed by a Responsible Officer of the Borrower (where applicable), dated the Funding Date and in form and substance satisfactory to the Administrative Agent and each of the Lenders;</w:t>
      </w:r>
    </w:p>
    <w:p>
      <w:pPr>
        <w:spacing w:after="0" w:line="184" w:lineRule="exact"/>
        <w:rPr>
          <w:rFonts w:ascii="Arial" w:cs="Arial" w:eastAsia="Arial" w:hAnsi="Arial"/>
          <w:sz w:val="19"/>
          <w:szCs w:val="19"/>
          <w:color w:val="auto"/>
        </w:rPr>
      </w:pPr>
    </w:p>
    <w:p>
      <w:pPr>
        <w:ind w:left="1760" w:hanging="888"/>
        <w:spacing w:after="0"/>
        <w:tabs>
          <w:tab w:leader="none" w:pos="17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a written Loan Notice, appropriately completed and signed by a Responsible Officer of the Borrower; and</w:t>
      </w:r>
    </w:p>
    <w:p>
      <w:pPr>
        <w:spacing w:after="0" w:line="215" w:lineRule="exact"/>
        <w:rPr>
          <w:rFonts w:ascii="Arial" w:cs="Arial" w:eastAsia="Arial" w:hAnsi="Arial"/>
          <w:sz w:val="20"/>
          <w:szCs w:val="20"/>
          <w:color w:val="auto"/>
        </w:rPr>
      </w:pPr>
    </w:p>
    <w:p>
      <w:pPr>
        <w:ind w:left="1740" w:hanging="868"/>
        <w:spacing w:after="0"/>
        <w:tabs>
          <w:tab w:leader="none" w:pos="1740" w:val="left"/>
        </w:tabs>
        <w:numPr>
          <w:ilvl w:val="0"/>
          <w:numId w:val="59"/>
        </w:numPr>
        <w:rPr>
          <w:rFonts w:ascii="Arial" w:cs="Arial" w:eastAsia="Arial" w:hAnsi="Arial"/>
          <w:sz w:val="20"/>
          <w:szCs w:val="20"/>
          <w:color w:val="auto"/>
        </w:rPr>
      </w:pPr>
      <w:r>
        <w:rPr>
          <w:rFonts w:ascii="Arial" w:cs="Arial" w:eastAsia="Arial" w:hAnsi="Arial"/>
          <w:sz w:val="20"/>
          <w:szCs w:val="20"/>
          <w:color w:val="auto"/>
        </w:rPr>
        <w:t>any fees required to be paid on or before the Funding Date.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The Borrower represents and warrants to the Administrative Agent and the Lenders that:</w:t>
      </w:r>
    </w:p>
    <w:p>
      <w:pPr>
        <w:spacing w:after="0" w:line="210" w:lineRule="exact"/>
        <w:rPr>
          <w:sz w:val="20"/>
          <w:szCs w:val="20"/>
          <w:color w:val="auto"/>
        </w:rPr>
      </w:pPr>
    </w:p>
    <w:p>
      <w:pPr>
        <w:jc w:val="both"/>
        <w:ind w:firstLine="864"/>
        <w:spacing w:after="0" w:line="294" w:lineRule="auto"/>
        <w:rPr>
          <w:sz w:val="20"/>
          <w:szCs w:val="20"/>
          <w:color w:val="auto"/>
        </w:rPr>
      </w:pPr>
      <w:r>
        <w:rPr>
          <w:rFonts w:ascii="Arial" w:cs="Arial" w:eastAsia="Arial" w:hAnsi="Arial"/>
          <w:sz w:val="18"/>
          <w:szCs w:val="18"/>
          <w:b w:val="1"/>
          <w:bCs w:val="1"/>
          <w:color w:val="auto"/>
        </w:rPr>
        <w:t xml:space="preserve">5.01 Existence, Qualification and Power. </w:t>
      </w:r>
      <w:r>
        <w:rPr>
          <w:rFonts w:ascii="Arial" w:cs="Arial" w:eastAsia="Arial" w:hAnsi="Arial"/>
          <w:sz w:val="18"/>
          <w:szCs w:val="18"/>
          <w:color w:val="auto"/>
        </w:rPr>
        <w:t>Each of the Borrower and its Subsidiaries (a) is duly organized or formed,</w:t>
      </w:r>
      <w:r>
        <w:rPr>
          <w:rFonts w:ascii="Arial" w:cs="Arial" w:eastAsia="Arial" w:hAnsi="Arial"/>
          <w:sz w:val="18"/>
          <w:szCs w:val="18"/>
          <w:b w:val="1"/>
          <w:bCs w:val="1"/>
          <w:color w:val="auto"/>
        </w:rPr>
        <w:t xml:space="preserve"> </w:t>
      </w:r>
      <w:r>
        <w:rPr>
          <w:rFonts w:ascii="Arial" w:cs="Arial" w:eastAsia="Arial" w:hAnsi="Arial"/>
          <w:sz w:val="18"/>
          <w:szCs w:val="18"/>
          <w:color w:val="auto"/>
        </w:rPr>
        <w:t>validly existing and in good standing under the Laws of the jurisdiction of its incorporation or organization, (b) has all requisite power and authority and all requisite governmental licenses, authorizations, consents and approvals to (i) own its assets and carry on its business and (ii)</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2" w:name="page53"/>
    <w:bookmarkEnd w:id="52"/>
    <w:p>
      <w:pPr>
        <w:jc w:val="both"/>
        <w:spacing w:after="0" w:line="244" w:lineRule="auto"/>
        <w:rPr>
          <w:sz w:val="20"/>
          <w:szCs w:val="20"/>
          <w:color w:val="auto"/>
        </w:rPr>
      </w:pPr>
      <w:r>
        <w:rPr>
          <w:rFonts w:ascii="Arial" w:cs="Arial" w:eastAsia="Arial" w:hAnsi="Arial"/>
          <w:sz w:val="20"/>
          <w:szCs w:val="20"/>
          <w:color w:val="auto"/>
        </w:rPr>
        <w:t xml:space="preserve">execute, deliver and perform its obligations under the Loan Documents to which it is a party, and (c) is duly qualified and is licensed and in good standing under the Laws of each jurisdiction where its ownership, lease or operation of properties or the conduct of its business requires such qualification or license; except in each case referred to in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with respect to Subsidiaries other than a Material Subsidiary, and </w:t>
      </w:r>
      <w:r>
        <w:rPr>
          <w:rFonts w:ascii="Arial" w:cs="Arial" w:eastAsia="Arial" w:hAnsi="Arial"/>
          <w:sz w:val="20"/>
          <w:szCs w:val="20"/>
          <w:u w:val="single" w:color="auto"/>
          <w:color w:val="auto"/>
        </w:rPr>
        <w:t>clause (b)(i)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(c)</w:t>
      </w:r>
      <w:r>
        <w:rPr>
          <w:rFonts w:ascii="Arial" w:cs="Arial" w:eastAsia="Arial" w:hAnsi="Arial"/>
          <w:sz w:val="20"/>
          <w:szCs w:val="20"/>
          <w:color w:val="auto"/>
        </w:rPr>
        <w:t>, to the extent that failure to do so could not reasonably be expected to have a Material Adverse Effect. The Borrower is not an Affected Financial Institution.</w:t>
      </w:r>
    </w:p>
    <w:p>
      <w:pPr>
        <w:spacing w:after="0" w:line="188"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b w:val="1"/>
          <w:bCs w:val="1"/>
          <w:color w:val="auto"/>
        </w:rPr>
        <w:t xml:space="preserve">5.02 Authorization; No Contravention. </w:t>
      </w:r>
      <w:r>
        <w:rPr>
          <w:rFonts w:ascii="Arial" w:cs="Arial" w:eastAsia="Arial" w:hAnsi="Arial"/>
          <w:sz w:val="20"/>
          <w:szCs w:val="20"/>
          <w:color w:val="auto"/>
        </w:rPr>
        <w:t>The execution, delivery and performance by the Borrower of each Loan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Document have been duly authorized by all necessary corporate or other organizational action, and do not and will not (a) contravene the terms of the Borrower’s Organization Documents; (b) conflict with or result in any breach or contravention of, or the creation of any Lien under, or require any payment to be made under (i) any material Contractual Obligation to which it is a party or affecting it or the properties of the Borrower or any of its Subsidiaries or (ii) any order, injunction, writ or decree of any Governmental Authority or any arbitral award to which the Borrower or its property is subject; or (c) violate any Law. The Borrower and each Subsidiary thereof is in compliance with all Contractual Obligations referred to in </w:t>
      </w:r>
      <w:r>
        <w:rPr>
          <w:rFonts w:ascii="Arial" w:cs="Arial" w:eastAsia="Arial" w:hAnsi="Arial"/>
          <w:sz w:val="20"/>
          <w:szCs w:val="20"/>
          <w:u w:val="single" w:color="auto"/>
          <w:color w:val="auto"/>
        </w:rPr>
        <w:t>clause (b)(i)</w:t>
      </w:r>
      <w:r>
        <w:rPr>
          <w:rFonts w:ascii="Arial" w:cs="Arial" w:eastAsia="Arial" w:hAnsi="Arial"/>
          <w:sz w:val="20"/>
          <w:szCs w:val="20"/>
          <w:color w:val="auto"/>
        </w:rPr>
        <w:t>, except to the extent that failure to do so could not reasonably be expected to have a Material Adverse Effect.</w:t>
      </w:r>
    </w:p>
    <w:p>
      <w:pPr>
        <w:spacing w:after="0" w:line="189"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b w:val="1"/>
          <w:bCs w:val="1"/>
          <w:color w:val="auto"/>
        </w:rPr>
        <w:t xml:space="preserve">5.03 Governmental Authorization; Other Consents. </w:t>
      </w:r>
      <w:r>
        <w:rPr>
          <w:rFonts w:ascii="Arial" w:cs="Arial" w:eastAsia="Arial" w:hAnsi="Arial"/>
          <w:sz w:val="19"/>
          <w:szCs w:val="19"/>
          <w:color w:val="auto"/>
        </w:rPr>
        <w:t>No approval, consent, exemption, authorization, or other action by,</w:t>
      </w:r>
      <w:r>
        <w:rPr>
          <w:rFonts w:ascii="Arial" w:cs="Arial" w:eastAsia="Arial" w:hAnsi="Arial"/>
          <w:sz w:val="19"/>
          <w:szCs w:val="19"/>
          <w:b w:val="1"/>
          <w:bCs w:val="1"/>
          <w:color w:val="auto"/>
        </w:rPr>
        <w:t xml:space="preserve"> </w:t>
      </w:r>
      <w:r>
        <w:rPr>
          <w:rFonts w:ascii="Arial" w:cs="Arial" w:eastAsia="Arial" w:hAnsi="Arial"/>
          <w:sz w:val="19"/>
          <w:szCs w:val="19"/>
          <w:color w:val="auto"/>
        </w:rPr>
        <w:t>or notice to, or filing with, any Governmental Authority or any other Person is necessary or required in connection with the execution, delivery or performance by, or enforcement against, the Borrower of this Agreement or any other Loan Document.</w:t>
      </w:r>
    </w:p>
    <w:p>
      <w:pPr>
        <w:spacing w:after="0" w:line="162"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b w:val="1"/>
          <w:bCs w:val="1"/>
          <w:color w:val="auto"/>
        </w:rPr>
        <w:t xml:space="preserve">5.04 Binding Effect. </w:t>
      </w:r>
      <w:r>
        <w:rPr>
          <w:rFonts w:ascii="Arial" w:cs="Arial" w:eastAsia="Arial" w:hAnsi="Arial"/>
          <w:sz w:val="19"/>
          <w:szCs w:val="19"/>
          <w:color w:val="auto"/>
        </w:rPr>
        <w:t>This Agreement has been, and each other Loan Document, when delivered hereunder, will have</w:t>
      </w:r>
      <w:r>
        <w:rPr>
          <w:rFonts w:ascii="Arial" w:cs="Arial" w:eastAsia="Arial" w:hAnsi="Arial"/>
          <w:sz w:val="19"/>
          <w:szCs w:val="19"/>
          <w:b w:val="1"/>
          <w:bCs w:val="1"/>
          <w:color w:val="auto"/>
        </w:rPr>
        <w:t xml:space="preserve"> </w:t>
      </w:r>
      <w:r>
        <w:rPr>
          <w:rFonts w:ascii="Arial" w:cs="Arial" w:eastAsia="Arial" w:hAnsi="Arial"/>
          <w:sz w:val="19"/>
          <w:szCs w:val="19"/>
          <w:color w:val="auto"/>
        </w:rPr>
        <w:t>been, duly executed and delivered by the Borrower. This Agreement constitutes, and each other Loan Document when so delivered will constitute, a legal, valid and binding obligation of the Borrower, enforceable against the Borrower in accordance with its terms.</w:t>
      </w:r>
    </w:p>
    <w:p>
      <w:pPr>
        <w:spacing w:after="0" w:line="162"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5.05</w:t>
      </w:r>
      <w:r>
        <w:rPr>
          <w:sz w:val="20"/>
          <w:szCs w:val="20"/>
          <w:color w:val="auto"/>
        </w:rPr>
        <w:tab/>
      </w:r>
      <w:r>
        <w:rPr>
          <w:rFonts w:ascii="Arial" w:cs="Arial" w:eastAsia="Arial" w:hAnsi="Arial"/>
          <w:sz w:val="18"/>
          <w:szCs w:val="18"/>
          <w:b w:val="1"/>
          <w:bCs w:val="1"/>
          <w:color w:val="auto"/>
        </w:rPr>
        <w:t>Financial Statements; No Material Adverse Effect.</w:t>
      </w:r>
    </w:p>
    <w:p>
      <w:pPr>
        <w:spacing w:after="0" w:line="222" w:lineRule="exact"/>
        <w:rPr>
          <w:sz w:val="20"/>
          <w:szCs w:val="20"/>
          <w:color w:val="auto"/>
        </w:rPr>
      </w:pPr>
    </w:p>
    <w:p>
      <w:pPr>
        <w:jc w:val="both"/>
        <w:ind w:firstLine="872"/>
        <w:spacing w:after="0" w:line="260" w:lineRule="auto"/>
        <w:tabs>
          <w:tab w:leader="none" w:pos="1731"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Audited Financial Statements (i) were prepared in accordance with GAAP consistently applied throughout the period covered thereby, except as otherwise expressly noted therein; (ii) fairly present the financial condition of the Borrower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the Borrower and its Subsidiaries as of the date thereof.</w:t>
      </w:r>
    </w:p>
    <w:p>
      <w:pPr>
        <w:spacing w:after="0" w:line="180" w:lineRule="exact"/>
        <w:rPr>
          <w:rFonts w:ascii="Arial" w:cs="Arial" w:eastAsia="Arial" w:hAnsi="Arial"/>
          <w:sz w:val="19"/>
          <w:szCs w:val="19"/>
          <w:color w:val="auto"/>
        </w:rPr>
      </w:pPr>
    </w:p>
    <w:p>
      <w:pPr>
        <w:jc w:val="both"/>
        <w:ind w:firstLine="872"/>
        <w:spacing w:after="0" w:line="244" w:lineRule="auto"/>
        <w:tabs>
          <w:tab w:leader="none" w:pos="1742"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unaudited consolidated balance sheet of the Borrower and its Subsidiaries dated January 31, 2020 (including the footnotes thereto),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financial condition of the Borrower and its Subsidiaries as of the date thereof and their results of operations for the period covered thereby.</w:t>
      </w:r>
    </w:p>
    <w:p>
      <w:pPr>
        <w:spacing w:after="0" w:line="194" w:lineRule="exact"/>
        <w:rPr>
          <w:rFonts w:ascii="Arial" w:cs="Arial" w:eastAsia="Arial" w:hAnsi="Arial"/>
          <w:sz w:val="20"/>
          <w:szCs w:val="20"/>
          <w:color w:val="auto"/>
        </w:rPr>
      </w:pPr>
    </w:p>
    <w:p>
      <w:pPr>
        <w:ind w:firstLine="872"/>
        <w:spacing w:after="0" w:line="260" w:lineRule="auto"/>
        <w:tabs>
          <w:tab w:leader="none" w:pos="1731" w:val="left"/>
        </w:tabs>
        <w:numPr>
          <w:ilvl w:val="0"/>
          <w:numId w:val="60"/>
        </w:numPr>
        <w:rPr>
          <w:rFonts w:ascii="Arial" w:cs="Arial" w:eastAsia="Arial" w:hAnsi="Arial"/>
          <w:sz w:val="20"/>
          <w:szCs w:val="20"/>
          <w:color w:val="auto"/>
        </w:rPr>
      </w:pPr>
      <w:r>
        <w:rPr>
          <w:rFonts w:ascii="Arial" w:cs="Arial" w:eastAsia="Arial" w:hAnsi="Arial"/>
          <w:sz w:val="20"/>
          <w:szCs w:val="20"/>
          <w:color w:val="auto"/>
        </w:rPr>
        <w:t>Since the date of the Audited Financial Statements, there has been no event or circumstance, either individually or in the aggregate, that has had or could reasonably be expected to have a Material Adverse Effect.</w:t>
      </w:r>
    </w:p>
    <w:p>
      <w:pPr>
        <w:spacing w:after="0" w:line="171"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 xml:space="preserve">5.06 Litigation. </w:t>
      </w:r>
      <w:r>
        <w:rPr>
          <w:rFonts w:ascii="Arial" w:cs="Arial" w:eastAsia="Arial" w:hAnsi="Arial"/>
          <w:sz w:val="20"/>
          <w:szCs w:val="20"/>
          <w:color w:val="auto"/>
        </w:rPr>
        <w:t>There are no actions, suits, proceedings, claims or disputes pending or, to the best knowledge of the</w:t>
      </w:r>
      <w:r>
        <w:rPr>
          <w:rFonts w:ascii="Arial" w:cs="Arial" w:eastAsia="Arial" w:hAnsi="Arial"/>
          <w:sz w:val="20"/>
          <w:szCs w:val="20"/>
          <w:b w:val="1"/>
          <w:bCs w:val="1"/>
          <w:color w:val="auto"/>
        </w:rPr>
        <w:t xml:space="preserve"> </w:t>
      </w:r>
      <w:r>
        <w:rPr>
          <w:rFonts w:ascii="Arial" w:cs="Arial" w:eastAsia="Arial" w:hAnsi="Arial"/>
          <w:sz w:val="20"/>
          <w:szCs w:val="20"/>
          <w:color w:val="auto"/>
        </w:rPr>
        <w:t>Borrower after due and diligent investigation, threatened or contemplated, at law, in equity, in arbitration or before any Governmental Authority, by or against the Borrower or any of its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3" w:name="page54"/>
    <w:bookmarkEnd w:id="53"/>
    <w:p>
      <w:pPr>
        <w:jc w:val="both"/>
        <w:spacing w:after="0" w:line="257" w:lineRule="auto"/>
        <w:rPr>
          <w:sz w:val="20"/>
          <w:szCs w:val="20"/>
          <w:color w:val="auto"/>
        </w:rPr>
      </w:pPr>
      <w:r>
        <w:rPr>
          <w:rFonts w:ascii="Arial" w:cs="Arial" w:eastAsia="Arial" w:hAnsi="Arial"/>
          <w:sz w:val="19"/>
          <w:szCs w:val="19"/>
          <w:color w:val="auto"/>
        </w:rPr>
        <w:t xml:space="preserve">Subsidiaries or against any of their properties or revenues that (a) purport to affect or pertain to this Agreement or any other Loan Document, or any of the transactions contemplated hereby, or (b) except as specifically disclosed in </w:t>
      </w:r>
      <w:r>
        <w:rPr>
          <w:rFonts w:ascii="Arial" w:cs="Arial" w:eastAsia="Arial" w:hAnsi="Arial"/>
          <w:sz w:val="19"/>
          <w:szCs w:val="19"/>
          <w:u w:val="single" w:color="auto"/>
          <w:color w:val="auto"/>
        </w:rPr>
        <w:t>Schedule 5.06</w:t>
      </w:r>
      <w:r>
        <w:rPr>
          <w:rFonts w:ascii="Arial" w:cs="Arial" w:eastAsia="Arial" w:hAnsi="Arial"/>
          <w:sz w:val="19"/>
          <w:szCs w:val="19"/>
          <w:color w:val="auto"/>
        </w:rPr>
        <w:t xml:space="preserve">, either individually or in the aggregate, if determined adversely, could reasonably be expected to have a Material Adverse Effect, and there has been no adverse change in the status, or financial effect on the Borrower or any Subsidiary, of the matters described on </w:t>
      </w:r>
      <w:r>
        <w:rPr>
          <w:rFonts w:ascii="Arial" w:cs="Arial" w:eastAsia="Arial" w:hAnsi="Arial"/>
          <w:sz w:val="19"/>
          <w:szCs w:val="19"/>
          <w:u w:val="single" w:color="auto"/>
          <w:color w:val="auto"/>
        </w:rPr>
        <w:t>Schedule 5.06</w:t>
      </w:r>
      <w:r>
        <w:rPr>
          <w:rFonts w:ascii="Arial" w:cs="Arial" w:eastAsia="Arial" w:hAnsi="Arial"/>
          <w:sz w:val="19"/>
          <w:szCs w:val="19"/>
          <w:color w:val="auto"/>
        </w:rPr>
        <w:t>. No injunction, writ, temporary restraining order or any order of any nature has been issued by any court or other Governmental Authority purporting to enjoin or restrain the execution, delivery or performance of this Agreement or any other Loan Document, or directing that the transactions provided for herein or therein not be consummated as herein or therein provided.</w:t>
      </w:r>
    </w:p>
    <w:p>
      <w:pPr>
        <w:spacing w:after="0" w:line="179"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b w:val="1"/>
          <w:bCs w:val="1"/>
          <w:color w:val="auto"/>
        </w:rPr>
        <w:t xml:space="preserve">5.07 No Default. </w:t>
      </w:r>
      <w:r>
        <w:rPr>
          <w:rFonts w:ascii="Arial" w:cs="Arial" w:eastAsia="Arial" w:hAnsi="Arial"/>
          <w:sz w:val="20"/>
          <w:szCs w:val="20"/>
          <w:color w:val="auto"/>
        </w:rPr>
        <w:t>Neither the Borrower nor any Subsidiary is in default under or with respect to any Contractual</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 that could, either individually or in the aggregate, reasonably be expected to have a Material Adverse Effect. No Default has occurred and is continuing or would result from the consummation of the transactions contemplated by this Agreement or any other Loan Document.</w:t>
      </w:r>
    </w:p>
    <w:p>
      <w:pPr>
        <w:spacing w:after="0" w:line="183"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9"/>
          <w:szCs w:val="19"/>
          <w:b w:val="1"/>
          <w:bCs w:val="1"/>
          <w:color w:val="auto"/>
        </w:rPr>
        <w:t xml:space="preserve">5.08 Ownership of Property; Liens. </w:t>
      </w:r>
      <w:r>
        <w:rPr>
          <w:rFonts w:ascii="Arial" w:cs="Arial" w:eastAsia="Arial" w:hAnsi="Arial"/>
          <w:sz w:val="19"/>
          <w:szCs w:val="19"/>
          <w:color w:val="auto"/>
        </w:rPr>
        <w:t>The Borrower and each of its Subsidiaries has good record and marketable title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fee simple to, or valid leasehold interests in, all real property necessary or used in the ordinary conduct of its business, except for such defects in title as could not, individually or in the aggregate, reasonably be expected to have a Material Adverse Effect. The property of the Borrower and its Subsidiaries is subject to no Liens, other than Liens permitted by </w:t>
      </w:r>
      <w:r>
        <w:rPr>
          <w:rFonts w:ascii="Arial" w:cs="Arial" w:eastAsia="Arial" w:hAnsi="Arial"/>
          <w:sz w:val="19"/>
          <w:szCs w:val="19"/>
          <w:u w:val="single" w:color="auto"/>
          <w:color w:val="auto"/>
        </w:rPr>
        <w:t>Section 7.01</w:t>
      </w:r>
      <w:r>
        <w:rPr>
          <w:rFonts w:ascii="Arial" w:cs="Arial" w:eastAsia="Arial" w:hAnsi="Arial"/>
          <w:sz w:val="19"/>
          <w:szCs w:val="19"/>
          <w:color w:val="auto"/>
        </w:rPr>
        <w:t>.</w:t>
      </w:r>
    </w:p>
    <w:p>
      <w:pPr>
        <w:spacing w:after="0" w:line="169"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b w:val="1"/>
          <w:bCs w:val="1"/>
          <w:color w:val="auto"/>
        </w:rPr>
        <w:t xml:space="preserve">5.09 Environmental Compliance. </w:t>
      </w:r>
      <w:r>
        <w:rPr>
          <w:rFonts w:ascii="Arial" w:cs="Arial" w:eastAsia="Arial" w:hAnsi="Arial"/>
          <w:sz w:val="20"/>
          <w:szCs w:val="20"/>
          <w:color w:val="auto"/>
        </w:rPr>
        <w:t>The Borrower and its Subsidiaries conduct in the ordinary course of business a review</w:t>
      </w:r>
      <w:r>
        <w:rPr>
          <w:rFonts w:ascii="Arial" w:cs="Arial" w:eastAsia="Arial" w:hAnsi="Arial"/>
          <w:sz w:val="20"/>
          <w:szCs w:val="20"/>
          <w:b w:val="1"/>
          <w:bCs w:val="1"/>
          <w:color w:val="auto"/>
        </w:rPr>
        <w:t xml:space="preserve"> </w:t>
      </w:r>
      <w:r>
        <w:rPr>
          <w:rFonts w:ascii="Arial" w:cs="Arial" w:eastAsia="Arial" w:hAnsi="Arial"/>
          <w:sz w:val="20"/>
          <w:szCs w:val="20"/>
          <w:color w:val="auto"/>
        </w:rPr>
        <w:t>of the effect of existing Environmental Laws and claims alleging potential liability or responsibility for violation of any Environmental Law on their respective businesses, operations and properties, and as a result thereof the Borrower has reasonably concluded that</w:t>
      </w:r>
      <w:r>
        <w:rPr>
          <w:rFonts w:ascii="Arial" w:cs="Arial" w:eastAsia="Arial" w:hAnsi="Arial"/>
          <w:sz w:val="20"/>
          <w:szCs w:val="20"/>
          <w:b w:val="1"/>
          <w:bCs w:val="1"/>
          <w:color w:val="auto"/>
        </w:rPr>
        <w:t>,</w:t>
      </w:r>
      <w:r>
        <w:rPr>
          <w:rFonts w:ascii="Arial" w:cs="Arial" w:eastAsia="Arial" w:hAnsi="Arial"/>
          <w:sz w:val="20"/>
          <w:szCs w:val="20"/>
          <w:color w:val="auto"/>
        </w:rPr>
        <w:t xml:space="preserve"> except as specifically disclosed in </w:t>
      </w:r>
      <w:r>
        <w:rPr>
          <w:rFonts w:ascii="Arial" w:cs="Arial" w:eastAsia="Arial" w:hAnsi="Arial"/>
          <w:sz w:val="20"/>
          <w:szCs w:val="20"/>
          <w:u w:val="single" w:color="auto"/>
          <w:color w:val="auto"/>
        </w:rPr>
        <w:t>Schedule 5.09</w:t>
      </w:r>
      <w:r>
        <w:rPr>
          <w:rFonts w:ascii="Arial" w:cs="Arial" w:eastAsia="Arial" w:hAnsi="Arial"/>
          <w:sz w:val="20"/>
          <w:szCs w:val="20"/>
          <w:color w:val="auto"/>
        </w:rPr>
        <w:t>, such Environmental Laws and claims could not, individually or in the aggregate, reasonably be expected to have a Material Adverse Effect.</w:t>
      </w:r>
    </w:p>
    <w:p>
      <w:pPr>
        <w:spacing w:after="0" w:line="185"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b w:val="1"/>
          <w:bCs w:val="1"/>
          <w:color w:val="auto"/>
        </w:rPr>
        <w:t xml:space="preserve">5.10 Insurance. </w:t>
      </w:r>
      <w:r>
        <w:rPr>
          <w:rFonts w:ascii="Arial" w:cs="Arial" w:eastAsia="Arial" w:hAnsi="Arial"/>
          <w:sz w:val="20"/>
          <w:szCs w:val="20"/>
          <w:color w:val="auto"/>
        </w:rPr>
        <w:t>Except as specifically disclosed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Schedule 5.10</w:t>
      </w:r>
      <w:r>
        <w:rPr>
          <w:rFonts w:ascii="Arial" w:cs="Arial" w:eastAsia="Arial" w:hAnsi="Arial"/>
          <w:sz w:val="20"/>
          <w:szCs w:val="20"/>
          <w:color w:val="auto"/>
        </w:rPr>
        <w:t>, the properties of the Borrower and its Subsidiaries are</w:t>
      </w:r>
      <w:r>
        <w:rPr>
          <w:rFonts w:ascii="Arial" w:cs="Arial" w:eastAsia="Arial" w:hAnsi="Arial"/>
          <w:sz w:val="20"/>
          <w:szCs w:val="20"/>
          <w:b w:val="1"/>
          <w:bCs w:val="1"/>
          <w:color w:val="auto"/>
        </w:rPr>
        <w:t xml:space="preserve"> </w:t>
      </w:r>
      <w:r>
        <w:rPr>
          <w:rFonts w:ascii="Arial" w:cs="Arial" w:eastAsia="Arial" w:hAnsi="Arial"/>
          <w:sz w:val="20"/>
          <w:szCs w:val="20"/>
          <w:color w:val="auto"/>
        </w:rPr>
        <w:t>insured with financially sound and reputable insurance companies not Affiliates of the Borrower, in such amounts, with such deductibles and covering such risks as are customarily carried by companies engaged in similar businesses and owning similar properties in localities where the Borrower or the applicable Subsidiary operates.</w:t>
      </w:r>
    </w:p>
    <w:p>
      <w:pPr>
        <w:spacing w:after="0" w:line="183"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0"/>
          <w:szCs w:val="20"/>
          <w:b w:val="1"/>
          <w:bCs w:val="1"/>
          <w:color w:val="auto"/>
        </w:rPr>
        <w:t xml:space="preserve">5.11 Taxes. </w:t>
      </w:r>
      <w:r>
        <w:rPr>
          <w:rFonts w:ascii="Arial" w:cs="Arial" w:eastAsia="Arial" w:hAnsi="Arial"/>
          <w:sz w:val="20"/>
          <w:szCs w:val="20"/>
          <w:color w:val="auto"/>
        </w:rPr>
        <w:t>The Borrower and its Subsidiaries have filed all Federal, state and other material tax returns and reports</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to be filed, and have paid all Federal, state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the Borrower or any Subsidiary that would, if made, have a Material Adverse Effect. Neither the Borrower nor any Subsidiary thereof is party to any tax sharing agreement.</w:t>
      </w:r>
    </w:p>
    <w:p>
      <w:pPr>
        <w:spacing w:after="0" w:line="18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5.12</w:t>
      </w:r>
      <w:r>
        <w:rPr>
          <w:sz w:val="20"/>
          <w:szCs w:val="20"/>
          <w:color w:val="auto"/>
        </w:rPr>
        <w:tab/>
      </w:r>
      <w:r>
        <w:rPr>
          <w:rFonts w:ascii="Arial" w:cs="Arial" w:eastAsia="Arial" w:hAnsi="Arial"/>
          <w:sz w:val="18"/>
          <w:szCs w:val="18"/>
          <w:b w:val="1"/>
          <w:bCs w:val="1"/>
          <w:color w:val="auto"/>
        </w:rPr>
        <w:t>ERISA Compliance.</w:t>
      </w:r>
    </w:p>
    <w:p>
      <w:pPr>
        <w:spacing w:after="0" w:line="222" w:lineRule="exact"/>
        <w:rPr>
          <w:sz w:val="20"/>
          <w:szCs w:val="20"/>
          <w:color w:val="auto"/>
        </w:rPr>
      </w:pPr>
    </w:p>
    <w:p>
      <w:pPr>
        <w:jc w:val="both"/>
        <w:ind w:firstLine="872"/>
        <w:spacing w:after="0" w:line="282" w:lineRule="auto"/>
        <w:tabs>
          <w:tab w:leader="none" w:pos="1731"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Plan is in compliance in all material respects with the applicable provisions of ERISA, the Code and other Federal or state laws. Each Pension Plan that is intended to be a qualified plan under Section 401(a) of the Code has received a favorable determination letter from the IRS to the effect that the form of such Plan is qualified under Section 401(a) of the Code and the trust related thereto has been determined by the IRS to be exempt from federal income tax under Section 501(a) of the Code, or an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4" w:name="page55"/>
    <w:bookmarkEnd w:id="54"/>
    <w:p>
      <w:pPr>
        <w:spacing w:after="0" w:line="260" w:lineRule="auto"/>
        <w:rPr>
          <w:sz w:val="20"/>
          <w:szCs w:val="20"/>
          <w:color w:val="auto"/>
        </w:rPr>
      </w:pPr>
      <w:r>
        <w:rPr>
          <w:rFonts w:ascii="Arial" w:cs="Arial" w:eastAsia="Arial" w:hAnsi="Arial"/>
          <w:sz w:val="20"/>
          <w:szCs w:val="20"/>
          <w:color w:val="auto"/>
        </w:rPr>
        <w:t>application for such a letter is currently being processed by the IRS. To the best knowledge of the Borrower, nothing has occurred that would prevent or cause the loss of such tax-qualified status.</w:t>
      </w:r>
    </w:p>
    <w:p>
      <w:pPr>
        <w:spacing w:after="0" w:line="177" w:lineRule="exact"/>
        <w:rPr>
          <w:sz w:val="20"/>
          <w:szCs w:val="20"/>
          <w:color w:val="auto"/>
        </w:rPr>
      </w:pPr>
    </w:p>
    <w:p>
      <w:pPr>
        <w:jc w:val="both"/>
        <w:ind w:firstLine="872"/>
        <w:spacing w:after="0" w:line="246" w:lineRule="auto"/>
        <w:tabs>
          <w:tab w:leader="none" w:pos="1742"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There are no pending or, to the best knowledge of the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91" w:lineRule="exact"/>
        <w:rPr>
          <w:rFonts w:ascii="Arial" w:cs="Arial" w:eastAsia="Arial" w:hAnsi="Arial"/>
          <w:sz w:val="20"/>
          <w:szCs w:val="20"/>
          <w:color w:val="auto"/>
        </w:rPr>
      </w:pPr>
    </w:p>
    <w:p>
      <w:pPr>
        <w:jc w:val="both"/>
        <w:ind w:firstLine="872"/>
        <w:spacing w:after="0" w:line="255" w:lineRule="auto"/>
        <w:tabs>
          <w:tab w:leader="none" w:pos="1731" w:val="left"/>
        </w:tabs>
        <w:numPr>
          <w:ilvl w:val="0"/>
          <w:numId w:val="62"/>
        </w:numPr>
        <w:rPr>
          <w:rFonts w:ascii="Arial" w:cs="Arial" w:eastAsia="Arial" w:hAnsi="Arial"/>
          <w:sz w:val="19"/>
          <w:szCs w:val="19"/>
          <w:color w:val="auto"/>
        </w:rPr>
      </w:pPr>
      <w:r>
        <w:rPr>
          <w:rFonts w:ascii="Arial" w:cs="Arial" w:eastAsia="Arial" w:hAnsi="Arial"/>
          <w:sz w:val="19"/>
          <w:szCs w:val="19"/>
          <w:color w:val="auto"/>
        </w:rPr>
        <w:t>(i) No ERISA Event has occurred, and neither the Borrower nor any ERISA Affiliate is aware of any fact, event or circumstance that could reasonably be expected to constitute or result in an ERISA Event with respect to any Pension Plan; (ii) the Borrower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Code) is 60% or higher and neither the Borrower nor any ERISA Affiliate knows of any facts or circumstances that could reasonably be expected to cause the funding target attainment percentage for any such plan to drop below 60% as of the most recent valuation date; (iv) neither the Borrower nor any ERISA Affiliate has incurred any liability to the PBGC other than for the payment of premiums, and there are no premium payments which have become due that are unpaid; and (v) neither the Borrower nor any ERISA Affiliate has engaged in a transaction that could be subject to Section 4069 or Section 4212(c) of ERISA.</w:t>
      </w:r>
    </w:p>
    <w:p>
      <w:pPr>
        <w:spacing w:after="0" w:line="189" w:lineRule="exact"/>
        <w:rPr>
          <w:rFonts w:ascii="Arial" w:cs="Arial" w:eastAsia="Arial" w:hAnsi="Arial"/>
          <w:sz w:val="19"/>
          <w:szCs w:val="19"/>
          <w:color w:val="auto"/>
        </w:rPr>
      </w:pPr>
    </w:p>
    <w:p>
      <w:pPr>
        <w:ind w:right="20" w:firstLine="872"/>
        <w:spacing w:after="0" w:line="287" w:lineRule="auto"/>
        <w:tabs>
          <w:tab w:leader="none" w:pos="1742" w:val="left"/>
        </w:tabs>
        <w:numPr>
          <w:ilvl w:val="0"/>
          <w:numId w:val="62"/>
        </w:numPr>
        <w:rPr>
          <w:rFonts w:ascii="Arial" w:cs="Arial" w:eastAsia="Arial" w:hAnsi="Arial"/>
          <w:sz w:val="19"/>
          <w:szCs w:val="19"/>
          <w:color w:val="auto"/>
        </w:rPr>
      </w:pPr>
      <w:r>
        <w:rPr>
          <w:rFonts w:ascii="Arial" w:cs="Arial" w:eastAsia="Arial" w:hAnsi="Arial"/>
          <w:sz w:val="19"/>
          <w:szCs w:val="19"/>
          <w:color w:val="auto"/>
        </w:rPr>
        <w:t>On and as of the Closing Date, the Borrower is not and will not be using “plan assets” (within the meaning of 29 CFR § 2510.3-101, as modified by Section 3(42) of ERISA or otherwise) of one or more Benefit Plans in connection with the Loans.</w:t>
      </w:r>
    </w:p>
    <w:p>
      <w:pPr>
        <w:spacing w:after="0" w:line="146"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8"/>
          <w:szCs w:val="18"/>
          <w:b w:val="1"/>
          <w:bCs w:val="1"/>
          <w:color w:val="auto"/>
        </w:rPr>
        <w:t xml:space="preserve">5.13 Subsidiaries; Equity Interests. </w:t>
      </w:r>
      <w:r>
        <w:rPr>
          <w:rFonts w:ascii="Arial" w:cs="Arial" w:eastAsia="Arial" w:hAnsi="Arial"/>
          <w:sz w:val="18"/>
          <w:szCs w:val="18"/>
          <w:color w:val="auto"/>
        </w:rPr>
        <w:t>As of the Closing Date, the Borrower has no Subsidiaries other than those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specifically disclosed in </w:t>
      </w:r>
      <w:r>
        <w:rPr>
          <w:rFonts w:ascii="Arial" w:cs="Arial" w:eastAsia="Arial" w:hAnsi="Arial"/>
          <w:sz w:val="18"/>
          <w:szCs w:val="18"/>
          <w:u w:val="single" w:color="auto"/>
          <w:color w:val="auto"/>
        </w:rPr>
        <w:t>Part (a)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5.13</w:t>
      </w:r>
      <w:r>
        <w:rPr>
          <w:rFonts w:ascii="Arial" w:cs="Arial" w:eastAsia="Arial" w:hAnsi="Arial"/>
          <w:sz w:val="18"/>
          <w:szCs w:val="18"/>
          <w:color w:val="auto"/>
        </w:rPr>
        <w:t xml:space="preserve">, and all of the outstanding Equity Interests in such Material Subsidiaries have been validly issued, are fully paid and nonassessable and are owned directly or indirectly by the Borrower (other than directors’ qualifying shares required by law) in the amounts specified on Part (a) of </w:t>
      </w:r>
      <w:r>
        <w:rPr>
          <w:rFonts w:ascii="Arial" w:cs="Arial" w:eastAsia="Arial" w:hAnsi="Arial"/>
          <w:sz w:val="18"/>
          <w:szCs w:val="18"/>
          <w:u w:val="single" w:color="auto"/>
          <w:color w:val="auto"/>
        </w:rPr>
        <w:t>Schedule 5.13</w:t>
      </w:r>
      <w:r>
        <w:rPr>
          <w:rFonts w:ascii="Arial" w:cs="Arial" w:eastAsia="Arial" w:hAnsi="Arial"/>
          <w:sz w:val="18"/>
          <w:szCs w:val="18"/>
          <w:color w:val="auto"/>
        </w:rPr>
        <w:t xml:space="preserve"> free and clear of all Liens. As of the Closing Date, the Borrower has no equity investments in any other corporation or entity other than those specifically disclosed in </w:t>
      </w:r>
      <w:r>
        <w:rPr>
          <w:rFonts w:ascii="Arial" w:cs="Arial" w:eastAsia="Arial" w:hAnsi="Arial"/>
          <w:sz w:val="18"/>
          <w:szCs w:val="18"/>
          <w:u w:val="single" w:color="auto"/>
          <w:color w:val="auto"/>
        </w:rPr>
        <w:t>Part (b)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5.13</w:t>
      </w:r>
      <w:r>
        <w:rPr>
          <w:rFonts w:ascii="Arial" w:cs="Arial" w:eastAsia="Arial" w:hAnsi="Arial"/>
          <w:sz w:val="18"/>
          <w:szCs w:val="18"/>
          <w:color w:val="auto"/>
        </w:rPr>
        <w:t>.</w:t>
      </w:r>
    </w:p>
    <w:p>
      <w:pPr>
        <w:spacing w:after="0" w:line="15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5.14</w:t>
      </w:r>
      <w:r>
        <w:rPr>
          <w:sz w:val="20"/>
          <w:szCs w:val="20"/>
          <w:color w:val="auto"/>
        </w:rPr>
        <w:tab/>
      </w:r>
      <w:r>
        <w:rPr>
          <w:rFonts w:ascii="Arial" w:cs="Arial" w:eastAsia="Arial" w:hAnsi="Arial"/>
          <w:sz w:val="18"/>
          <w:szCs w:val="18"/>
          <w:b w:val="1"/>
          <w:bCs w:val="1"/>
          <w:color w:val="auto"/>
        </w:rPr>
        <w:t>Margin Regulations; Investment Company Act.</w:t>
      </w:r>
    </w:p>
    <w:p>
      <w:pPr>
        <w:spacing w:after="0" w:line="222" w:lineRule="exact"/>
        <w:rPr>
          <w:sz w:val="20"/>
          <w:szCs w:val="20"/>
          <w:color w:val="auto"/>
        </w:rPr>
      </w:pPr>
    </w:p>
    <w:p>
      <w:pPr>
        <w:jc w:val="both"/>
        <w:ind w:firstLine="872"/>
        <w:spacing w:after="0" w:line="243" w:lineRule="auto"/>
        <w:tabs>
          <w:tab w:leader="none" w:pos="1731" w:val="left"/>
        </w:tabs>
        <w:numPr>
          <w:ilvl w:val="0"/>
          <w:numId w:val="63"/>
        </w:numPr>
        <w:rPr>
          <w:rFonts w:ascii="Arial" w:cs="Arial" w:eastAsia="Arial" w:hAnsi="Arial"/>
          <w:sz w:val="20"/>
          <w:szCs w:val="20"/>
          <w:color w:val="auto"/>
        </w:rPr>
      </w:pPr>
      <w:r>
        <w:rPr>
          <w:rFonts w:ascii="Arial" w:cs="Arial" w:eastAsia="Arial" w:hAnsi="Arial"/>
          <w:sz w:val="20"/>
          <w:szCs w:val="20"/>
          <w:color w:val="auto"/>
        </w:rPr>
        <w:t xml:space="preserve">The Borrower is not engaged and will not engage, principally or as one of its important activities, in the business of purchasing or carrying margin stock (within the meaning of Regulation U issued by the FRB), or extending credit for the purpose of purchasing or carrying margin stock. Following the application of the proceeds of the Borrowing not more than 25% of the value of the assets (either of the Borrower only or of the Borrower and its Subsidiaries on a consolidated basis) subject to the provisions of </w:t>
      </w:r>
      <w:r>
        <w:rPr>
          <w:rFonts w:ascii="Arial" w:cs="Arial" w:eastAsia="Arial" w:hAnsi="Arial"/>
          <w:sz w:val="20"/>
          <w:szCs w:val="20"/>
          <w:u w:val="single" w:color="auto"/>
          <w:color w:val="auto"/>
        </w:rPr>
        <w:t>Section 7.01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7.02</w:t>
      </w:r>
      <w:r>
        <w:rPr>
          <w:rFonts w:ascii="Arial" w:cs="Arial" w:eastAsia="Arial" w:hAnsi="Arial"/>
          <w:sz w:val="20"/>
          <w:szCs w:val="20"/>
          <w:color w:val="auto"/>
        </w:rPr>
        <w:t xml:space="preserve"> or subject to any restriction contained in any agreement or instrument between the Borrower and any Lender or any Affiliate of any Lender relating to Indebtedness will be margin stock.</w:t>
      </w:r>
    </w:p>
    <w:p>
      <w:pPr>
        <w:spacing w:after="0" w:line="195" w:lineRule="exact"/>
        <w:rPr>
          <w:rFonts w:ascii="Arial" w:cs="Arial" w:eastAsia="Arial" w:hAnsi="Arial"/>
          <w:sz w:val="20"/>
          <w:szCs w:val="20"/>
          <w:color w:val="auto"/>
        </w:rPr>
      </w:pPr>
    </w:p>
    <w:p>
      <w:pPr>
        <w:ind w:firstLine="872"/>
        <w:spacing w:after="0" w:line="260" w:lineRule="auto"/>
        <w:tabs>
          <w:tab w:leader="none" w:pos="1742" w:val="left"/>
        </w:tabs>
        <w:numPr>
          <w:ilvl w:val="0"/>
          <w:numId w:val="63"/>
        </w:numPr>
        <w:rPr>
          <w:rFonts w:ascii="Arial" w:cs="Arial" w:eastAsia="Arial" w:hAnsi="Arial"/>
          <w:sz w:val="20"/>
          <w:szCs w:val="20"/>
          <w:color w:val="auto"/>
        </w:rPr>
      </w:pPr>
      <w:r>
        <w:rPr>
          <w:rFonts w:ascii="Arial" w:cs="Arial" w:eastAsia="Arial" w:hAnsi="Arial"/>
          <w:sz w:val="20"/>
          <w:szCs w:val="20"/>
          <w:color w:val="auto"/>
        </w:rPr>
        <w:t>None of the Borrower, any Person Controlling the Borrower, or any Subsidiary is or is required to be registered as an “investment company” under the Investment Company Act of 1940.</w:t>
      </w:r>
    </w:p>
    <w:p>
      <w:pPr>
        <w:spacing w:after="0" w:line="171"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 xml:space="preserve">5.15 Copyrights, Patents, Trademarks and Licenses, Etc. </w:t>
      </w:r>
      <w:r>
        <w:rPr>
          <w:rFonts w:ascii="Arial" w:cs="Arial" w:eastAsia="Arial" w:hAnsi="Arial"/>
          <w:sz w:val="20"/>
          <w:szCs w:val="20"/>
          <w:color w:val="auto"/>
        </w:rPr>
        <w:t>Each of the Borrower and its Subsidiaries own or are licensed</w:t>
      </w:r>
      <w:r>
        <w:rPr>
          <w:rFonts w:ascii="Arial" w:cs="Arial" w:eastAsia="Arial" w:hAnsi="Arial"/>
          <w:sz w:val="20"/>
          <w:szCs w:val="20"/>
          <w:b w:val="1"/>
          <w:bCs w:val="1"/>
          <w:color w:val="auto"/>
        </w:rPr>
        <w:t xml:space="preserve"> </w:t>
      </w:r>
      <w:r>
        <w:rPr>
          <w:rFonts w:ascii="Arial" w:cs="Arial" w:eastAsia="Arial" w:hAnsi="Arial"/>
          <w:sz w:val="20"/>
          <w:szCs w:val="20"/>
          <w:color w:val="auto"/>
        </w:rPr>
        <w:t>or otherwise have the right to use all of the patents, trademarks, service marks, trade names, copyrights, contractual franchises, authorizations and other rights that are reasonably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5" w:name="page56"/>
    <w:bookmarkEnd w:id="55"/>
    <w:p>
      <w:pPr>
        <w:jc w:val="both"/>
        <w:spacing w:after="0" w:line="243" w:lineRule="auto"/>
        <w:rPr>
          <w:sz w:val="20"/>
          <w:szCs w:val="20"/>
          <w:color w:val="auto"/>
        </w:rPr>
      </w:pPr>
      <w:r>
        <w:rPr>
          <w:rFonts w:ascii="Arial" w:cs="Arial" w:eastAsia="Arial" w:hAnsi="Arial"/>
          <w:sz w:val="20"/>
          <w:szCs w:val="20"/>
          <w:color w:val="auto"/>
        </w:rPr>
        <w:t>necessary in the best business judgment of the Borrower for the operation of their respective businesses, without conflict with the rights of any other Person which could reasonably be expected to have a Material Adverse Effect. To the best knowledge of the Borrower, as of the date hereof, no slogan or other advertising device, product, process, method, substance, part or other material now employed, or now contemplated to be employed, by the Borrower or any Subsidiary infringes upon any rights held by any other Person and no claim or litigation regarding any of the foregoing is pending or threatened, and no patent, invention, device, application, principle or any statute, law, rule, regulation, standard or code is pending or, to the knowledge of the Borrower, proposed, which, in any case, could reasonably be expected to have a Material Adverse Effect.</w:t>
      </w:r>
    </w:p>
    <w:p>
      <w:pPr>
        <w:spacing w:after="0" w:line="187"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b w:val="1"/>
          <w:bCs w:val="1"/>
          <w:color w:val="auto"/>
        </w:rPr>
        <w:t xml:space="preserve">5.16 Disclosure. </w:t>
      </w:r>
      <w:r>
        <w:rPr>
          <w:rFonts w:ascii="Arial" w:cs="Arial" w:eastAsia="Arial" w:hAnsi="Arial"/>
          <w:sz w:val="19"/>
          <w:szCs w:val="19"/>
          <w:color w:val="auto"/>
        </w:rPr>
        <w:t>The Borrower has disclosed to the Administrative Agent and the Lenders all agreements, instruments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corporate or other restrictions to which it or any of its Subsidiaries is subject, and all other matters known to it, that, individually or in the aggregate, could reasonably be expected to result in a Material Adverse Effect. No report, financial statement, certificate or other information furnished (in writing) by or on behalf of the Borrower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projected financial information, the Borrower represents only that such information was prepared in good faith based upon assumptions believed to be reasonable at the time.</w:t>
      </w:r>
    </w:p>
    <w:p>
      <w:pPr>
        <w:spacing w:after="0" w:line="176"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8"/>
          <w:szCs w:val="18"/>
          <w:b w:val="1"/>
          <w:bCs w:val="1"/>
          <w:color w:val="auto"/>
        </w:rPr>
        <w:t xml:space="preserve">5.17 Compliance with Laws. </w:t>
      </w:r>
      <w:r>
        <w:rPr>
          <w:rFonts w:ascii="Arial" w:cs="Arial" w:eastAsia="Arial" w:hAnsi="Arial"/>
          <w:sz w:val="18"/>
          <w:szCs w:val="18"/>
          <w:color w:val="auto"/>
        </w:rPr>
        <w:t>Each of the Borrower and its Subsidiaries are in compliance in all material respects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of all Laws and all orders, writs, injunctions and decrees applicable to it or to its properties, except in such instances in which</w:t>
      </w:r>
    </w:p>
    <w:p>
      <w:pPr>
        <w:spacing w:after="0" w:line="1" w:lineRule="exact"/>
        <w:rPr>
          <w:sz w:val="20"/>
          <w:szCs w:val="20"/>
          <w:color w:val="auto"/>
        </w:rPr>
      </w:pPr>
    </w:p>
    <w:p>
      <w:pPr>
        <w:jc w:val="both"/>
        <w:ind w:firstLine="8"/>
        <w:spacing w:after="0" w:line="241" w:lineRule="auto"/>
        <w:tabs>
          <w:tab w:leader="none" w:pos="302" w:val="left"/>
        </w:tabs>
        <w:numPr>
          <w:ilvl w:val="0"/>
          <w:numId w:val="64"/>
        </w:numPr>
        <w:rPr>
          <w:rFonts w:ascii="Arial" w:cs="Arial" w:eastAsia="Arial" w:hAnsi="Arial"/>
          <w:sz w:val="20"/>
          <w:szCs w:val="20"/>
          <w:color w:val="auto"/>
        </w:rPr>
      </w:pPr>
      <w:r>
        <w:rPr>
          <w:rFonts w:ascii="Arial" w:cs="Arial" w:eastAsia="Arial" w:hAnsi="Arial"/>
          <w:sz w:val="20"/>
          <w:szCs w:val="20"/>
          <w:color w:val="auto"/>
        </w:rPr>
        <w:t>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540" w:type="dxa"/>
            <w:vAlign w:val="bottom"/>
          </w:tcPr>
          <w:p>
            <w:pPr>
              <w:jc w:val="right"/>
              <w:ind w:right="221"/>
              <w:spacing w:after="0"/>
              <w:rPr>
                <w:sz w:val="20"/>
                <w:szCs w:val="20"/>
                <w:color w:val="auto"/>
              </w:rPr>
            </w:pPr>
            <w:r>
              <w:rPr>
                <w:rFonts w:ascii="Arial" w:cs="Arial" w:eastAsia="Arial" w:hAnsi="Arial"/>
                <w:sz w:val="20"/>
                <w:szCs w:val="20"/>
                <w:b w:val="1"/>
                <w:bCs w:val="1"/>
                <w:color w:val="auto"/>
              </w:rPr>
              <w:t>5.18</w:t>
            </w:r>
          </w:p>
        </w:tc>
        <w:tc>
          <w:tcPr>
            <w:tcW w:w="9700" w:type="dxa"/>
            <w:vAlign w:val="bottom"/>
            <w:gridSpan w:val="3"/>
          </w:tcPr>
          <w:p>
            <w:pPr>
              <w:ind w:left="320"/>
              <w:spacing w:after="0"/>
              <w:rPr>
                <w:sz w:val="20"/>
                <w:szCs w:val="20"/>
                <w:color w:val="auto"/>
              </w:rPr>
            </w:pPr>
            <w:r>
              <w:rPr>
                <w:rFonts w:ascii="Arial" w:cs="Arial" w:eastAsia="Arial" w:hAnsi="Arial"/>
                <w:sz w:val="20"/>
                <w:szCs w:val="20"/>
                <w:b w:val="1"/>
                <w:bCs w:val="1"/>
                <w:color w:val="auto"/>
                <w:w w:val="96"/>
              </w:rPr>
              <w:t xml:space="preserve">Taxpayer  Identification  Number;  Other  Identifying  Information.   </w:t>
            </w:r>
            <w:r>
              <w:rPr>
                <w:rFonts w:ascii="Arial" w:cs="Arial" w:eastAsia="Arial" w:hAnsi="Arial"/>
                <w:sz w:val="20"/>
                <w:szCs w:val="20"/>
                <w:color w:val="auto"/>
                <w:w w:val="96"/>
              </w:rPr>
              <w:t>The  true  and  correct  U.S.  taxpayer</w:t>
            </w:r>
          </w:p>
        </w:tc>
      </w:tr>
      <w:tr>
        <w:trPr>
          <w:trHeight w:val="206"/>
        </w:trPr>
        <w:tc>
          <w:tcPr>
            <w:tcW w:w="11240" w:type="dxa"/>
            <w:vAlign w:val="bottom"/>
            <w:gridSpan w:val="4"/>
          </w:tcPr>
          <w:p>
            <w:pPr>
              <w:spacing w:after="0" w:line="206" w:lineRule="exact"/>
              <w:rPr>
                <w:sz w:val="20"/>
                <w:szCs w:val="20"/>
                <w:color w:val="auto"/>
              </w:rPr>
            </w:pPr>
            <w:r>
              <w:rPr>
                <w:rFonts w:ascii="Arial" w:cs="Arial" w:eastAsia="Arial" w:hAnsi="Arial"/>
                <w:sz w:val="20"/>
                <w:szCs w:val="20"/>
                <w:color w:val="auto"/>
              </w:rPr>
              <w:t>identification number of the Borrower is set forth on Schedule 10.02.</w:t>
            </w:r>
          </w:p>
        </w:tc>
      </w:tr>
      <w:tr>
        <w:trPr>
          <w:trHeight w:val="20"/>
        </w:trPr>
        <w:tc>
          <w:tcPr>
            <w:tcW w:w="15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r>
      <w:tr>
        <w:trPr>
          <w:trHeight w:val="465"/>
        </w:trPr>
        <w:tc>
          <w:tcPr>
            <w:tcW w:w="1540" w:type="dxa"/>
            <w:vAlign w:val="bottom"/>
          </w:tcPr>
          <w:p>
            <w:pPr>
              <w:jc w:val="right"/>
              <w:ind w:right="221"/>
              <w:spacing w:after="0"/>
              <w:rPr>
                <w:sz w:val="20"/>
                <w:szCs w:val="20"/>
                <w:color w:val="auto"/>
              </w:rPr>
            </w:pPr>
            <w:r>
              <w:rPr>
                <w:rFonts w:ascii="Arial" w:cs="Arial" w:eastAsia="Arial" w:hAnsi="Arial"/>
                <w:sz w:val="20"/>
                <w:szCs w:val="20"/>
                <w:b w:val="1"/>
                <w:bCs w:val="1"/>
                <w:color w:val="auto"/>
              </w:rPr>
              <w:t>5.19</w:t>
            </w:r>
          </w:p>
        </w:tc>
        <w:tc>
          <w:tcPr>
            <w:tcW w:w="9700" w:type="dxa"/>
            <w:vAlign w:val="bottom"/>
            <w:gridSpan w:val="3"/>
          </w:tcPr>
          <w:p>
            <w:pPr>
              <w:ind w:left="320"/>
              <w:spacing w:after="0"/>
              <w:rPr>
                <w:sz w:val="20"/>
                <w:szCs w:val="20"/>
                <w:color w:val="auto"/>
              </w:rPr>
            </w:pPr>
            <w:r>
              <w:rPr>
                <w:rFonts w:ascii="Arial" w:cs="Arial" w:eastAsia="Arial" w:hAnsi="Arial"/>
                <w:sz w:val="20"/>
                <w:szCs w:val="20"/>
                <w:b w:val="1"/>
                <w:bCs w:val="1"/>
                <w:color w:val="auto"/>
                <w:w w:val="91"/>
              </w:rPr>
              <w:t xml:space="preserve">OFAC. </w:t>
            </w:r>
            <w:r>
              <w:rPr>
                <w:rFonts w:ascii="Arial" w:cs="Arial" w:eastAsia="Arial" w:hAnsi="Arial"/>
                <w:sz w:val="20"/>
                <w:szCs w:val="20"/>
                <w:color w:val="auto"/>
                <w:w w:val="91"/>
              </w:rPr>
              <w:t>Neither the Borrower, nor any of its Subsidiaries, nor, to the knowledge of the Borrower and its Subsidiaries,</w:t>
            </w:r>
          </w:p>
        </w:tc>
      </w:tr>
    </w:tbl>
    <w:p>
      <w:pPr>
        <w:jc w:val="both"/>
        <w:spacing w:after="0" w:line="244" w:lineRule="auto"/>
        <w:rPr>
          <w:sz w:val="20"/>
          <w:szCs w:val="20"/>
          <w:color w:val="auto"/>
        </w:rPr>
      </w:pPr>
      <w:r>
        <w:rPr>
          <w:rFonts w:ascii="Arial" w:cs="Arial" w:eastAsia="Arial" w:hAnsi="Arial"/>
          <w:sz w:val="20"/>
          <w:szCs w:val="20"/>
          <w:color w:val="auto"/>
        </w:rPr>
        <w:t>any director, officer, employee, agent, affiliate or representative thereof, is an individual or entity currently the subject of any Sanctions, nor is the Borrower or any Subsidiary located, organized or resident in a Designated Jurisdiction.</w:t>
      </w:r>
    </w:p>
    <w:p>
      <w:pPr>
        <w:spacing w:after="0" w:line="185"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 xml:space="preserve">5.20 Anti-Corruption Laws. </w:t>
      </w:r>
      <w:r>
        <w:rPr>
          <w:rFonts w:ascii="Arial" w:cs="Arial" w:eastAsia="Arial" w:hAnsi="Arial"/>
          <w:sz w:val="20"/>
          <w:szCs w:val="20"/>
          <w:color w:val="auto"/>
        </w:rPr>
        <w:t>The Borrower and each of its Subsidiaries, to the knowledge of the Borrower and its</w:t>
      </w:r>
      <w:r>
        <w:rPr>
          <w:rFonts w:ascii="Arial" w:cs="Arial" w:eastAsia="Arial" w:hAnsi="Arial"/>
          <w:sz w:val="20"/>
          <w:szCs w:val="20"/>
          <w:b w:val="1"/>
          <w:bCs w:val="1"/>
          <w:color w:val="auto"/>
        </w:rPr>
        <w:t xml:space="preserve"> </w:t>
      </w:r>
      <w:r>
        <w:rPr>
          <w:rFonts w:ascii="Arial" w:cs="Arial" w:eastAsia="Arial" w:hAnsi="Arial"/>
          <w:sz w:val="20"/>
          <w:szCs w:val="20"/>
          <w:color w:val="auto"/>
        </w:rPr>
        <w:t>Subsidiaries, have used reasonable efforts to conduct their businesses in compliance with applicable anti-corruption laws, and have instituted and maintained policies and procedures designed to promote and achieve compliance with such laws.</w:t>
      </w:r>
    </w:p>
    <w:p>
      <w:pPr>
        <w:spacing w:after="0" w:line="177"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 xml:space="preserve">5.21 Beneficial Ownership. </w:t>
      </w:r>
      <w:r>
        <w:rPr>
          <w:rFonts w:ascii="Arial" w:cs="Arial" w:eastAsia="Arial" w:hAnsi="Arial"/>
          <w:sz w:val="20"/>
          <w:szCs w:val="20"/>
          <w:color w:val="auto"/>
        </w:rPr>
        <w:t>The information included in the Beneficial Ownership Certification, if applicable, provided</w:t>
      </w:r>
      <w:r>
        <w:rPr>
          <w:rFonts w:ascii="Arial" w:cs="Arial" w:eastAsia="Arial" w:hAnsi="Arial"/>
          <w:sz w:val="20"/>
          <w:szCs w:val="20"/>
          <w:b w:val="1"/>
          <w:bCs w:val="1"/>
          <w:color w:val="auto"/>
        </w:rPr>
        <w:t xml:space="preserve"> </w:t>
      </w:r>
      <w:r>
        <w:rPr>
          <w:rFonts w:ascii="Arial" w:cs="Arial" w:eastAsia="Arial" w:hAnsi="Arial"/>
          <w:sz w:val="20"/>
          <w:szCs w:val="20"/>
          <w:color w:val="auto"/>
        </w:rPr>
        <w:t>by the Borrower on or prior to the Closing Date, as updated from time to time in accordance with this Agreement, is true, complete and correct in all respects as of the Closing Date and as of the date any such update is delivered.</w:t>
      </w:r>
    </w:p>
    <w:p>
      <w:pPr>
        <w:spacing w:after="0" w:line="177"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b w:val="1"/>
          <w:bCs w:val="1"/>
          <w:color w:val="auto"/>
        </w:rPr>
        <w:t xml:space="preserve">5.22 Solvency. </w:t>
      </w:r>
      <w:r>
        <w:rPr>
          <w:rFonts w:ascii="Arial" w:cs="Arial" w:eastAsia="Arial" w:hAnsi="Arial"/>
          <w:sz w:val="20"/>
          <w:szCs w:val="20"/>
          <w:color w:val="auto"/>
        </w:rPr>
        <w:t>As of the Funding Date, immediately after giving effect to the funding of the Loan hereunder, (a) the fair</w:t>
      </w:r>
      <w:r>
        <w:rPr>
          <w:rFonts w:ascii="Arial" w:cs="Arial" w:eastAsia="Arial" w:hAnsi="Arial"/>
          <w:sz w:val="20"/>
          <w:szCs w:val="20"/>
          <w:b w:val="1"/>
          <w:bCs w:val="1"/>
          <w:color w:val="auto"/>
        </w:rPr>
        <w:t xml:space="preserve"> </w:t>
      </w:r>
      <w:r>
        <w:rPr>
          <w:rFonts w:ascii="Arial" w:cs="Arial" w:eastAsia="Arial" w:hAnsi="Arial"/>
          <w:sz w:val="20"/>
          <w:szCs w:val="20"/>
          <w:color w:val="auto"/>
        </w:rPr>
        <w:t>value of the assets of the Borrower and its Subsidiaries on a consolidated basis is greater than the total amount of liabilities, including contingent liabilities, of the Borrower and its Subsidiaries on a consolidated basis, (b) the present fair salable value of the assets of the Borrower and its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6" w:name="page57"/>
    <w:bookmarkEnd w:id="56"/>
    <w:p>
      <w:pPr>
        <w:jc w:val="both"/>
        <w:spacing w:after="0" w:line="276" w:lineRule="auto"/>
        <w:rPr>
          <w:sz w:val="20"/>
          <w:szCs w:val="20"/>
          <w:color w:val="auto"/>
        </w:rPr>
      </w:pPr>
      <w:r>
        <w:rPr>
          <w:rFonts w:ascii="Arial" w:cs="Arial" w:eastAsia="Arial" w:hAnsi="Arial"/>
          <w:sz w:val="18"/>
          <w:szCs w:val="18"/>
          <w:color w:val="auto"/>
        </w:rPr>
        <w:t>Subsidiaries on a consolidated basis is not less than the amount that will be required to pay the probable liability of the Borrower and its Subsidiaries on a consolidated basis on their debts as they become absolute and matured, (c) the Borrower and its Subsidiaries will be able to pay their debts and liabilities, contingent obligations and other commitments as they mature in the ordinary course of business, (d) neither the Borrower nor any of its Subsidiaries is engaged in business or a transaction, or is about to engage in business or a transaction, for which its property would constitute an unreasonably small capital and (e) the Borrower does not intend to, and the Borrower does not believe that it or any of its Subsidiaries will, incur debts or liabilities beyond its ability to pay such debts and liabilities as they mature.</w:t>
      </w:r>
    </w:p>
    <w:p>
      <w:pPr>
        <w:spacing w:after="0" w:line="159"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5.23</w:t>
      </w:r>
      <w:r>
        <w:rPr>
          <w:sz w:val="20"/>
          <w:szCs w:val="20"/>
          <w:color w:val="auto"/>
        </w:rPr>
        <w:tab/>
      </w:r>
      <w:r>
        <w:rPr>
          <w:rFonts w:ascii="Arial" w:cs="Arial" w:eastAsia="Arial" w:hAnsi="Arial"/>
          <w:sz w:val="18"/>
          <w:szCs w:val="18"/>
          <w:b w:val="1"/>
          <w:bCs w:val="1"/>
          <w:color w:val="auto"/>
        </w:rPr>
        <w:t>Covered Entity</w:t>
      </w:r>
      <w:r>
        <w:rPr>
          <w:rFonts w:ascii="Arial" w:cs="Arial" w:eastAsia="Arial" w:hAnsi="Arial"/>
          <w:sz w:val="18"/>
          <w:szCs w:val="18"/>
          <w:color w:val="auto"/>
        </w:rPr>
        <w:t>. The Borrower is not a Covered Entity.</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AFFIRMATIVE COVENANTS</w:t>
      </w:r>
    </w:p>
    <w:p>
      <w:pPr>
        <w:spacing w:after="0" w:line="200"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 xml:space="preserve">So long as any Lender shall have any Commitment hereunder or any Loan or other Obligation hereunder shall remain unpaid or unsatisfied, the Borrower shall, and shall (except in the case of the covenants set forth in </w:t>
      </w:r>
      <w:r>
        <w:rPr>
          <w:rFonts w:ascii="Arial" w:cs="Arial" w:eastAsia="Arial" w:hAnsi="Arial"/>
          <w:sz w:val="20"/>
          <w:szCs w:val="20"/>
          <w:u w:val="single" w:color="auto"/>
          <w:color w:val="auto"/>
        </w:rPr>
        <w:t>Sections 6.01</w:t>
      </w:r>
      <w:r>
        <w:rPr>
          <w:rFonts w:ascii="Arial" w:cs="Arial" w:eastAsia="Arial" w:hAnsi="Arial"/>
          <w:sz w:val="20"/>
          <w:szCs w:val="20"/>
          <w:color w:val="auto"/>
        </w:rPr>
        <w:t xml:space="preserve">, </w:t>
      </w:r>
      <w:r>
        <w:rPr>
          <w:rFonts w:ascii="Arial" w:cs="Arial" w:eastAsia="Arial" w:hAnsi="Arial"/>
          <w:sz w:val="20"/>
          <w:szCs w:val="20"/>
          <w:u w:val="single" w:color="auto"/>
          <w:color w:val="auto"/>
        </w:rPr>
        <w:t>6.02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6.03</w:t>
      </w:r>
      <w:r>
        <w:rPr>
          <w:rFonts w:ascii="Arial" w:cs="Arial" w:eastAsia="Arial" w:hAnsi="Arial"/>
          <w:sz w:val="20"/>
          <w:szCs w:val="20"/>
          <w:color w:val="auto"/>
        </w:rPr>
        <w:t>) cause each Subsidiary to:</w:t>
      </w:r>
    </w:p>
    <w:p>
      <w:pPr>
        <w:spacing w:after="0" w:line="180"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6.01</w:t>
      </w:r>
      <w:r>
        <w:rPr>
          <w:sz w:val="20"/>
          <w:szCs w:val="20"/>
          <w:color w:val="auto"/>
        </w:rPr>
        <w:tab/>
      </w: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Deliver to the Administrative Agent and each Lender, in form and detail satisfactory to the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 and the Required Lenders:</w:t>
      </w:r>
    </w:p>
    <w:p>
      <w:pPr>
        <w:spacing w:after="0" w:line="200" w:lineRule="exact"/>
        <w:rPr>
          <w:sz w:val="20"/>
          <w:szCs w:val="20"/>
          <w:color w:val="auto"/>
        </w:rPr>
      </w:pPr>
    </w:p>
    <w:p>
      <w:pPr>
        <w:jc w:val="both"/>
        <w:ind w:firstLine="872"/>
        <w:spacing w:after="0" w:line="273" w:lineRule="auto"/>
        <w:tabs>
          <w:tab w:leader="none" w:pos="1731" w:val="left"/>
        </w:tabs>
        <w:numPr>
          <w:ilvl w:val="0"/>
          <w:numId w:val="65"/>
        </w:numPr>
        <w:rPr>
          <w:rFonts w:ascii="Arial" w:cs="Arial" w:eastAsia="Arial" w:hAnsi="Arial"/>
          <w:sz w:val="18"/>
          <w:szCs w:val="18"/>
          <w:color w:val="auto"/>
        </w:rPr>
      </w:pPr>
      <w:r>
        <w:rPr>
          <w:rFonts w:ascii="Arial" w:cs="Arial" w:eastAsia="Arial" w:hAnsi="Arial"/>
          <w:sz w:val="18"/>
          <w:szCs w:val="18"/>
          <w:color w:val="auto"/>
        </w:rPr>
        <w:t>as soon as available, but in any event within 120 days after the end of each fiscal year of the Borrower (or such longer time period as may be permitted by the SEC, including pursuant to Rule 12b-25 or other SEC-permitted extensions), a consolidated balance sheet of the Borrower and its Subsidiaries as at the end of such fiscal year, and the related consolidated statements of income or operations, stockholders’ equity and cash flows for such fiscal year, setting forth in each case in comparative form the figures for the previous fiscal year, all in reasonable detail and prepared in accordance with GAAP, such consolidated statements to be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 and</w:t>
      </w:r>
    </w:p>
    <w:p>
      <w:pPr>
        <w:spacing w:after="0" w:line="168" w:lineRule="exact"/>
        <w:rPr>
          <w:rFonts w:ascii="Arial" w:cs="Arial" w:eastAsia="Arial" w:hAnsi="Arial"/>
          <w:sz w:val="18"/>
          <w:szCs w:val="18"/>
          <w:color w:val="auto"/>
        </w:rPr>
      </w:pPr>
    </w:p>
    <w:p>
      <w:pPr>
        <w:jc w:val="both"/>
        <w:ind w:firstLine="872"/>
        <w:spacing w:after="0" w:line="311" w:lineRule="auto"/>
        <w:tabs>
          <w:tab w:leader="none" w:pos="1742" w:val="left"/>
        </w:tabs>
        <w:numPr>
          <w:ilvl w:val="0"/>
          <w:numId w:val="65"/>
        </w:numPr>
        <w:rPr>
          <w:rFonts w:ascii="Arial" w:cs="Arial" w:eastAsia="Arial" w:hAnsi="Arial"/>
          <w:sz w:val="16"/>
          <w:szCs w:val="16"/>
          <w:color w:val="auto"/>
        </w:rPr>
      </w:pPr>
      <w:r>
        <w:rPr>
          <w:rFonts w:ascii="Arial" w:cs="Arial" w:eastAsia="Arial" w:hAnsi="Arial"/>
          <w:sz w:val="16"/>
          <w:szCs w:val="16"/>
          <w:color w:val="auto"/>
        </w:rPr>
        <w:t>as soon as available, but in any event within 50 days after the end of each of the first three fiscal quarters of each fiscal year of the Borrower (or such longer time period as may be permitted by the SEC, including pursuant to Rule 12b-25 or other SEC-permitted extensions), a consolidated balance sheet of the Borrower and its Subsidiaries as at the end of such fiscal quarter, and the related consolidated statements of income or operations, stockholders’ equity and cash flows for such fiscal quarter and for the portion of the Borrower’s fiscal year then ended, setting forth in each case in comparative form the figures for the corresponding fiscal quarter of the previous fiscal year and the corresponding portion of the previous fiscal year, all in reasonable detail, such consolidated statements to be certified by a Responsible Officer of the Borrower as fairly presenting the financial condition, results of operations, stockholders’ equity and cash flows of the Borrower and its Subsidiaries in accordance with GAAP, subject only to normal year-end audit adjustments and the absence of footnotes.</w:t>
      </w:r>
    </w:p>
    <w:p>
      <w:pPr>
        <w:spacing w:after="0" w:line="14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As to any information contained in materials furnished pursuant to </w:t>
      </w:r>
      <w:r>
        <w:rPr>
          <w:rFonts w:ascii="Arial" w:cs="Arial" w:eastAsia="Arial" w:hAnsi="Arial"/>
          <w:sz w:val="20"/>
          <w:szCs w:val="20"/>
          <w:u w:val="single" w:color="auto"/>
          <w:color w:val="auto"/>
        </w:rPr>
        <w:t>Section 6.02(c)</w:t>
      </w:r>
      <w:r>
        <w:rPr>
          <w:rFonts w:ascii="Arial" w:cs="Arial" w:eastAsia="Arial" w:hAnsi="Arial"/>
          <w:sz w:val="20"/>
          <w:szCs w:val="20"/>
          <w:color w:val="auto"/>
        </w:rPr>
        <w:t xml:space="preserve">, the Borrower shall not be separately required to furnish such information under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above, but the foregoing shall not be in derogation of the obligation of the Borrower to furnish the information and materials described in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above at the times specified therein.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7" w:name="page58"/>
    <w:bookmarkEnd w:id="57"/>
    <w:p>
      <w:pPr>
        <w:ind w:firstLine="864"/>
        <w:spacing w:after="0" w:line="267" w:lineRule="auto"/>
        <w:rPr>
          <w:sz w:val="20"/>
          <w:szCs w:val="20"/>
          <w:color w:val="auto"/>
        </w:rPr>
      </w:pPr>
      <w:r>
        <w:rPr>
          <w:rFonts w:ascii="Arial" w:cs="Arial" w:eastAsia="Arial" w:hAnsi="Arial"/>
          <w:sz w:val="20"/>
          <w:szCs w:val="20"/>
          <w:b w:val="1"/>
          <w:bCs w:val="1"/>
          <w:color w:val="auto"/>
        </w:rPr>
        <w:t xml:space="preserve">6.02 Certificates; Other Information. </w:t>
      </w:r>
      <w:r>
        <w:rPr>
          <w:rFonts w:ascii="Arial" w:cs="Arial" w:eastAsia="Arial" w:hAnsi="Arial"/>
          <w:sz w:val="20"/>
          <w:szCs w:val="20"/>
          <w:color w:val="auto"/>
        </w:rPr>
        <w:t>Deliver to the Administrative Agent and each Lender, in form and detail</w:t>
      </w:r>
      <w:r>
        <w:rPr>
          <w:rFonts w:ascii="Arial" w:cs="Arial" w:eastAsia="Arial" w:hAnsi="Arial"/>
          <w:sz w:val="20"/>
          <w:szCs w:val="20"/>
          <w:b w:val="1"/>
          <w:bCs w:val="1"/>
          <w:color w:val="auto"/>
        </w:rPr>
        <w:t xml:space="preserve"> </w:t>
      </w:r>
      <w:r>
        <w:rPr>
          <w:rFonts w:ascii="Arial" w:cs="Arial" w:eastAsia="Arial" w:hAnsi="Arial"/>
          <w:sz w:val="20"/>
          <w:szCs w:val="20"/>
          <w:color w:val="auto"/>
        </w:rPr>
        <w:t>satisfactory to the Administrative Agent and the Required Lenders:</w:t>
      </w:r>
    </w:p>
    <w:p>
      <w:pPr>
        <w:spacing w:after="0" w:line="169" w:lineRule="exact"/>
        <w:rPr>
          <w:sz w:val="20"/>
          <w:szCs w:val="20"/>
          <w:color w:val="auto"/>
        </w:rPr>
      </w:pPr>
    </w:p>
    <w:p>
      <w:pPr>
        <w:ind w:right="20" w:firstLine="872"/>
        <w:spacing w:after="0" w:line="260" w:lineRule="auto"/>
        <w:tabs>
          <w:tab w:leader="none" w:pos="1731" w:val="left"/>
        </w:tabs>
        <w:numPr>
          <w:ilvl w:val="0"/>
          <w:numId w:val="66"/>
        </w:numPr>
        <w:rPr>
          <w:rFonts w:ascii="Arial" w:cs="Arial" w:eastAsia="Arial" w:hAnsi="Arial"/>
          <w:sz w:val="20"/>
          <w:szCs w:val="20"/>
          <w:color w:val="auto"/>
        </w:rPr>
      </w:pPr>
      <w:r>
        <w:rPr>
          <w:rFonts w:ascii="Arial" w:cs="Arial" w:eastAsia="Arial" w:hAnsi="Arial"/>
          <w:sz w:val="20"/>
          <w:szCs w:val="20"/>
          <w:color w:val="auto"/>
        </w:rPr>
        <w:t xml:space="preserve">concurrently with the delivery of the financial statements referred to in </w:t>
      </w:r>
      <w:r>
        <w:rPr>
          <w:rFonts w:ascii="Arial" w:cs="Arial" w:eastAsia="Arial" w:hAnsi="Arial"/>
          <w:sz w:val="20"/>
          <w:szCs w:val="20"/>
          <w:u w:val="single" w:color="auto"/>
          <w:color w:val="auto"/>
        </w:rPr>
        <w:t>Sections 6.01(a)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a duly completed Compliance Certificate signed by a Responsible Officer of the Borrower;</w:t>
      </w:r>
    </w:p>
    <w:p>
      <w:pPr>
        <w:spacing w:after="0" w:line="176" w:lineRule="exact"/>
        <w:rPr>
          <w:rFonts w:ascii="Arial" w:cs="Arial" w:eastAsia="Arial" w:hAnsi="Arial"/>
          <w:sz w:val="20"/>
          <w:szCs w:val="20"/>
          <w:color w:val="auto"/>
        </w:rPr>
      </w:pPr>
    </w:p>
    <w:p>
      <w:pPr>
        <w:jc w:val="both"/>
        <w:ind w:firstLine="872"/>
        <w:spacing w:after="0" w:line="246" w:lineRule="auto"/>
        <w:tabs>
          <w:tab w:leader="none" w:pos="1742" w:val="left"/>
        </w:tabs>
        <w:numPr>
          <w:ilvl w:val="0"/>
          <w:numId w:val="66"/>
        </w:numPr>
        <w:rPr>
          <w:rFonts w:ascii="Arial" w:cs="Arial" w:eastAsia="Arial" w:hAnsi="Arial"/>
          <w:sz w:val="20"/>
          <w:szCs w:val="20"/>
          <w:color w:val="auto"/>
        </w:rPr>
      </w:pPr>
      <w:r>
        <w:rPr>
          <w:rFonts w:ascii="Arial" w:cs="Arial" w:eastAsia="Arial" w:hAnsi="Arial"/>
          <w:sz w:val="20"/>
          <w:szCs w:val="20"/>
          <w:color w:val="auto"/>
        </w:rPr>
        <w:t>promptly after any request by the Administrative Agent or any Lender, copies of any detailed audit reports, management letters or recommendations submitted to the board of directors (or the audit committee of the board of directors) of the Borrower by independent accountants in connection with the accounts or books of the Borrower or any Subsidiary, or any audit of any of them;</w:t>
      </w:r>
    </w:p>
    <w:p>
      <w:pPr>
        <w:spacing w:after="0" w:line="191" w:lineRule="exact"/>
        <w:rPr>
          <w:rFonts w:ascii="Arial" w:cs="Arial" w:eastAsia="Arial" w:hAnsi="Arial"/>
          <w:sz w:val="20"/>
          <w:szCs w:val="20"/>
          <w:color w:val="auto"/>
        </w:rPr>
      </w:pPr>
    </w:p>
    <w:p>
      <w:pPr>
        <w:jc w:val="both"/>
        <w:ind w:firstLine="872"/>
        <w:spacing w:after="0" w:line="246" w:lineRule="auto"/>
        <w:tabs>
          <w:tab w:leader="none" w:pos="1731" w:val="left"/>
        </w:tabs>
        <w:numPr>
          <w:ilvl w:val="0"/>
          <w:numId w:val="66"/>
        </w:numPr>
        <w:rPr>
          <w:rFonts w:ascii="Arial" w:cs="Arial" w:eastAsia="Arial" w:hAnsi="Arial"/>
          <w:sz w:val="20"/>
          <w:szCs w:val="20"/>
          <w:color w:val="auto"/>
        </w:rPr>
      </w:pPr>
      <w:r>
        <w:rPr>
          <w:rFonts w:ascii="Arial" w:cs="Arial" w:eastAsia="Arial" w:hAnsi="Arial"/>
          <w:sz w:val="20"/>
          <w:szCs w:val="20"/>
          <w:color w:val="auto"/>
        </w:rPr>
        <w:t>promptly after the same are available, copies of each annual report, proxy or financial statement or other report or communication sent to the stockholders of the Borrower, and copies of all annual, regular, periodic and special reports and registration statements which the Borrower may file or be required to file with the SEC under Section 13 or 15(d) of the Exchange Act, and not otherwise required to be delivered to the Administrative Agent pursuant hereto;</w:t>
      </w:r>
    </w:p>
    <w:p>
      <w:pPr>
        <w:spacing w:after="0" w:line="191" w:lineRule="exact"/>
        <w:rPr>
          <w:rFonts w:ascii="Arial" w:cs="Arial" w:eastAsia="Arial" w:hAnsi="Arial"/>
          <w:sz w:val="20"/>
          <w:szCs w:val="20"/>
          <w:color w:val="auto"/>
        </w:rPr>
      </w:pPr>
    </w:p>
    <w:p>
      <w:pPr>
        <w:ind w:firstLine="872"/>
        <w:spacing w:after="0" w:line="260" w:lineRule="auto"/>
        <w:tabs>
          <w:tab w:leader="none" w:pos="1742" w:val="left"/>
        </w:tabs>
        <w:numPr>
          <w:ilvl w:val="0"/>
          <w:numId w:val="66"/>
        </w:numPr>
        <w:rPr>
          <w:rFonts w:ascii="Arial" w:cs="Arial" w:eastAsia="Arial" w:hAnsi="Arial"/>
          <w:sz w:val="20"/>
          <w:szCs w:val="20"/>
          <w:color w:val="auto"/>
        </w:rPr>
      </w:pPr>
      <w:r>
        <w:rPr>
          <w:rFonts w:ascii="Arial" w:cs="Arial" w:eastAsia="Arial" w:hAnsi="Arial"/>
          <w:sz w:val="20"/>
          <w:szCs w:val="20"/>
          <w:color w:val="auto"/>
        </w:rPr>
        <w:t>concurrently with the closing of a Receivables Purchase Facility, a copy of the documentation related thereto certified by a Responsible Officer as being true, correct and complete;</w:t>
      </w:r>
    </w:p>
    <w:p>
      <w:pPr>
        <w:spacing w:after="0" w:line="176" w:lineRule="exact"/>
        <w:rPr>
          <w:rFonts w:ascii="Arial" w:cs="Arial" w:eastAsia="Arial" w:hAnsi="Arial"/>
          <w:sz w:val="20"/>
          <w:szCs w:val="20"/>
          <w:color w:val="auto"/>
        </w:rPr>
      </w:pPr>
    </w:p>
    <w:p>
      <w:pPr>
        <w:jc w:val="both"/>
        <w:ind w:firstLine="872"/>
        <w:spacing w:after="0" w:line="244" w:lineRule="auto"/>
        <w:tabs>
          <w:tab w:leader="none" w:pos="1731" w:val="left"/>
        </w:tabs>
        <w:numPr>
          <w:ilvl w:val="0"/>
          <w:numId w:val="66"/>
        </w:numPr>
        <w:rPr>
          <w:rFonts w:ascii="Arial" w:cs="Arial" w:eastAsia="Arial" w:hAnsi="Arial"/>
          <w:sz w:val="20"/>
          <w:szCs w:val="20"/>
          <w:color w:val="auto"/>
        </w:rPr>
      </w:pPr>
      <w:r>
        <w:rPr>
          <w:rFonts w:ascii="Arial" w:cs="Arial" w:eastAsia="Arial" w:hAnsi="Arial"/>
          <w:sz w:val="20"/>
          <w:szCs w:val="20"/>
          <w:color w:val="auto"/>
        </w:rPr>
        <w:t>so long as it is not precluded from doing so by the rules of the SEC or other comparable agency, promptly, and in any event within five Business Days after receipt thereof by the Borrower or any Subsidiary, copies of each notice or other correspondence, other than routine comments on filed documents, received from the SEC (or comparable agency in any applicable non-U.S. jurisdiction) concerning any investigation (whether formal or informal) by such agency regarding financial or other operational results of the Borrower or any Subsidiary;</w:t>
      </w:r>
    </w:p>
    <w:p>
      <w:pPr>
        <w:spacing w:after="0" w:line="194" w:lineRule="exact"/>
        <w:rPr>
          <w:rFonts w:ascii="Arial" w:cs="Arial" w:eastAsia="Arial" w:hAnsi="Arial"/>
          <w:sz w:val="20"/>
          <w:szCs w:val="20"/>
          <w:color w:val="auto"/>
        </w:rPr>
      </w:pPr>
    </w:p>
    <w:p>
      <w:pPr>
        <w:jc w:val="both"/>
        <w:ind w:firstLine="872"/>
        <w:spacing w:after="0" w:line="250" w:lineRule="auto"/>
        <w:tabs>
          <w:tab w:leader="none" w:pos="1709" w:val="left"/>
        </w:tabs>
        <w:numPr>
          <w:ilvl w:val="0"/>
          <w:numId w:val="66"/>
        </w:numPr>
        <w:rPr>
          <w:rFonts w:ascii="Arial" w:cs="Arial" w:eastAsia="Arial" w:hAnsi="Arial"/>
          <w:sz w:val="20"/>
          <w:szCs w:val="20"/>
          <w:color w:val="auto"/>
        </w:rPr>
      </w:pPr>
      <w:r>
        <w:rPr>
          <w:rFonts w:ascii="Arial" w:cs="Arial" w:eastAsia="Arial" w:hAnsi="Arial"/>
          <w:sz w:val="20"/>
          <w:szCs w:val="20"/>
          <w:color w:val="auto"/>
        </w:rPr>
        <w:t>promptly following any request therefor, information and documentation reasonably requested by the Administrative Agent or any Lender for purposes of compliance with applicable “know your customer” requirements under the Act, the Beneficial Ownership Regulation or other applicable anti-money laundering laws; and</w:t>
      </w:r>
    </w:p>
    <w:p>
      <w:pPr>
        <w:spacing w:after="0" w:line="185" w:lineRule="exact"/>
        <w:rPr>
          <w:rFonts w:ascii="Arial" w:cs="Arial" w:eastAsia="Arial" w:hAnsi="Arial"/>
          <w:sz w:val="20"/>
          <w:szCs w:val="20"/>
          <w:color w:val="auto"/>
        </w:rPr>
      </w:pPr>
    </w:p>
    <w:p>
      <w:pPr>
        <w:jc w:val="both"/>
        <w:ind w:right="20" w:firstLine="872"/>
        <w:spacing w:after="0" w:line="250" w:lineRule="auto"/>
        <w:tabs>
          <w:tab w:leader="none" w:pos="1742" w:val="left"/>
        </w:tabs>
        <w:numPr>
          <w:ilvl w:val="0"/>
          <w:numId w:val="66"/>
        </w:numPr>
        <w:rPr>
          <w:rFonts w:ascii="Arial" w:cs="Arial" w:eastAsia="Arial" w:hAnsi="Arial"/>
          <w:sz w:val="20"/>
          <w:szCs w:val="20"/>
          <w:color w:val="auto"/>
        </w:rPr>
      </w:pPr>
      <w:r>
        <w:rPr>
          <w:rFonts w:ascii="Arial" w:cs="Arial" w:eastAsia="Arial" w:hAnsi="Arial"/>
          <w:sz w:val="20"/>
          <w:szCs w:val="20"/>
          <w:color w:val="auto"/>
        </w:rPr>
        <w:t>promptly, such additional information regarding the business, financial or corporate affairs of the Borrower or any Subsidiary, or compliance with the terms of the Loan Documents, as the Administrative Agent or any Lender may from time to time reasonably request.</w:t>
      </w:r>
    </w:p>
    <w:p>
      <w:pPr>
        <w:spacing w:after="0" w:line="186"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color w:val="auto"/>
        </w:rPr>
        <w:t xml:space="preserve">Documents required to be delivered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6.02(c)</w:t>
      </w:r>
      <w:r>
        <w:rPr>
          <w:rFonts w:ascii="Arial" w:cs="Arial" w:eastAsia="Arial" w:hAnsi="Arial"/>
          <w:sz w:val="18"/>
          <w:szCs w:val="18"/>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w:t>
      </w:r>
      <w:r>
        <w:rPr>
          <w:rFonts w:ascii="Arial" w:cs="Arial" w:eastAsia="Arial" w:hAnsi="Arial"/>
          <w:sz w:val="18"/>
          <w:szCs w:val="18"/>
          <w:u w:val="single" w:color="auto"/>
          <w:color w:val="auto"/>
        </w:rPr>
        <w:t>Schedule 10.02</w:t>
      </w:r>
      <w:r>
        <w:rPr>
          <w:rFonts w:ascii="Arial" w:cs="Arial" w:eastAsia="Arial" w:hAnsi="Arial"/>
          <w:sz w:val="18"/>
          <w:szCs w:val="18"/>
          <w:color w:val="auto"/>
        </w:rPr>
        <w:t xml:space="preserve">; 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deliver paper copies of such documents to the Administrative Agent or any Lender that requests the Borrower to deliver such paper copies until a written request to cease delivering paper copies is given by the Administrative Agent or such Lender.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8" w:name="page59"/>
    <w:bookmarkEnd w:id="58"/>
    <w:p>
      <w:pPr>
        <w:jc w:val="both"/>
        <w:ind w:firstLine="864"/>
        <w:spacing w:after="0" w:line="269" w:lineRule="auto"/>
        <w:rPr>
          <w:sz w:val="20"/>
          <w:szCs w:val="20"/>
          <w:color w:val="auto"/>
        </w:rPr>
      </w:pPr>
      <w:r>
        <w:rPr>
          <w:rFonts w:ascii="Arial" w:cs="Arial" w:eastAsia="Arial" w:hAnsi="Arial"/>
          <w:sz w:val="18"/>
          <w:szCs w:val="18"/>
          <w:color w:val="auto"/>
        </w:rPr>
        <w:t>The Borrower hereby acknowledges that (a) the Administrative Agent and/or the Arranger will make available to the Lenders materials and/or information provided by or on behalf of the Borrower hereunder (collectively, “Borrower Materials”) by posting the Borrower Materials on IntraLinks, Syndtrak or another similar electronic system (the “</w:t>
      </w:r>
      <w:r>
        <w:rPr>
          <w:rFonts w:ascii="Arial" w:cs="Arial" w:eastAsia="Arial" w:hAnsi="Arial"/>
          <w:sz w:val="18"/>
          <w:szCs w:val="18"/>
          <w:u w:val="single" w:color="auto"/>
          <w:color w:val="auto"/>
        </w:rPr>
        <w:t>Platform</w:t>
      </w:r>
      <w:r>
        <w:rPr>
          <w:rFonts w:ascii="Arial" w:cs="Arial" w:eastAsia="Arial" w:hAnsi="Arial"/>
          <w:sz w:val="18"/>
          <w:szCs w:val="18"/>
          <w:color w:val="auto"/>
        </w:rPr>
        <w:t>”) and (b) certain of the Lenders (each, a “</w:t>
      </w:r>
      <w:r>
        <w:rPr>
          <w:rFonts w:ascii="Arial" w:cs="Arial" w:eastAsia="Arial" w:hAnsi="Arial"/>
          <w:sz w:val="18"/>
          <w:szCs w:val="18"/>
          <w:u w:val="single" w:color="auto"/>
          <w:color w:val="auto"/>
        </w:rPr>
        <w:t>Public Lender</w:t>
      </w:r>
      <w:r>
        <w:rPr>
          <w:rFonts w:ascii="Arial" w:cs="Arial" w:eastAsia="Arial" w:hAnsi="Arial"/>
          <w:sz w:val="18"/>
          <w:szCs w:val="18"/>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Borrower shall be deemed to have authorized the Administrative Agent, the Arranger and the Lenders to treat such Borrower Materials as not containing any material non-public information with respect to the Borrower or its securities for purposes of United States Federal and state securities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to the extent such Borrower Materials constitute Information, they shall be treated as set forth in </w:t>
      </w:r>
      <w:r>
        <w:rPr>
          <w:rFonts w:ascii="Arial" w:cs="Arial" w:eastAsia="Arial" w:hAnsi="Arial"/>
          <w:sz w:val="18"/>
          <w:szCs w:val="18"/>
          <w:u w:val="single" w:color="auto"/>
          <w:color w:val="auto"/>
        </w:rPr>
        <w:t>Section 10.07</w:t>
      </w:r>
      <w:r>
        <w:rPr>
          <w:rFonts w:ascii="Arial" w:cs="Arial" w:eastAsia="Arial" w:hAnsi="Arial"/>
          <w:sz w:val="18"/>
          <w:szCs w:val="18"/>
          <w:color w:val="auto"/>
        </w:rPr>
        <w:t>); (y) all Borrower Materials marked “PUBLIC” are permitted to be made available through a portion of the Platform designated “Public Side Information”; and (z) the Administrative Agent and the Arranger shall be entitled to treat any Borrower Materials that are not marked “PUBLIC” as being suitable only for posting on a portion of the Platform not designated “Public Side Information”.</w:t>
      </w:r>
    </w:p>
    <w:p>
      <w:pPr>
        <w:spacing w:after="0" w:line="175"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6.03</w:t>
      </w:r>
      <w:r>
        <w:rPr>
          <w:sz w:val="20"/>
          <w:szCs w:val="20"/>
          <w:color w:val="auto"/>
        </w:rPr>
        <w:tab/>
      </w:r>
      <w:r>
        <w:rPr>
          <w:rFonts w:ascii="Arial" w:cs="Arial" w:eastAsia="Arial" w:hAnsi="Arial"/>
          <w:sz w:val="18"/>
          <w:szCs w:val="18"/>
          <w:b w:val="1"/>
          <w:bCs w:val="1"/>
          <w:color w:val="auto"/>
        </w:rPr>
        <w:t xml:space="preserve">Notices. </w:t>
      </w:r>
      <w:r>
        <w:rPr>
          <w:rFonts w:ascii="Arial" w:cs="Arial" w:eastAsia="Arial" w:hAnsi="Arial"/>
          <w:sz w:val="18"/>
          <w:szCs w:val="18"/>
          <w:color w:val="auto"/>
        </w:rPr>
        <w:t>Promptly notify the Administrative Agent and each Lender:</w:t>
      </w:r>
    </w:p>
    <w:p>
      <w:pPr>
        <w:spacing w:after="0" w:line="222" w:lineRule="exact"/>
        <w:rPr>
          <w:sz w:val="20"/>
          <w:szCs w:val="20"/>
          <w:color w:val="auto"/>
        </w:rPr>
      </w:pPr>
    </w:p>
    <w:p>
      <w:pPr>
        <w:ind w:firstLine="872"/>
        <w:spacing w:after="0" w:line="260" w:lineRule="auto"/>
        <w:tabs>
          <w:tab w:leader="none" w:pos="1731" w:val="left"/>
        </w:tabs>
        <w:numPr>
          <w:ilvl w:val="0"/>
          <w:numId w:val="67"/>
        </w:numPr>
        <w:rPr>
          <w:rFonts w:ascii="Arial" w:cs="Arial" w:eastAsia="Arial" w:hAnsi="Arial"/>
          <w:sz w:val="20"/>
          <w:szCs w:val="20"/>
          <w:color w:val="auto"/>
        </w:rPr>
      </w:pPr>
      <w:r>
        <w:rPr>
          <w:rFonts w:ascii="Arial" w:cs="Arial" w:eastAsia="Arial" w:hAnsi="Arial"/>
          <w:sz w:val="20"/>
          <w:szCs w:val="20"/>
          <w:color w:val="auto"/>
        </w:rPr>
        <w:t>of the occurrence of any Default or Event of Default, and of the occurrence or existence of any event or circumstance that foreseeably will become a Default or Event of Default;</w:t>
      </w:r>
    </w:p>
    <w:p>
      <w:pPr>
        <w:spacing w:after="0" w:line="176" w:lineRule="exact"/>
        <w:rPr>
          <w:rFonts w:ascii="Arial" w:cs="Arial" w:eastAsia="Arial" w:hAnsi="Arial"/>
          <w:sz w:val="20"/>
          <w:szCs w:val="20"/>
          <w:color w:val="auto"/>
        </w:rPr>
      </w:pPr>
    </w:p>
    <w:p>
      <w:pPr>
        <w:jc w:val="both"/>
        <w:ind w:firstLine="872"/>
        <w:spacing w:after="0" w:line="242" w:lineRule="auto"/>
        <w:tabs>
          <w:tab w:leader="none" w:pos="1742" w:val="left"/>
        </w:tabs>
        <w:numPr>
          <w:ilvl w:val="0"/>
          <w:numId w:val="67"/>
        </w:numPr>
        <w:rPr>
          <w:rFonts w:ascii="Arial" w:cs="Arial" w:eastAsia="Arial" w:hAnsi="Arial"/>
          <w:sz w:val="20"/>
          <w:szCs w:val="20"/>
          <w:color w:val="auto"/>
        </w:rPr>
      </w:pPr>
      <w:r>
        <w:rPr>
          <w:rFonts w:ascii="Arial" w:cs="Arial" w:eastAsia="Arial" w:hAnsi="Arial"/>
          <w:sz w:val="20"/>
          <w:szCs w:val="20"/>
          <w:color w:val="auto"/>
        </w:rPr>
        <w:t xml:space="preserve">of any matter that has resulted or could reasonably be expected to result in a Material Adverse Effect, including (i) breach or non-performance of, or any default under, a Contractual Obligation of the Borrower or any Subsidiary; (ii) any dispute, litigation, investigation, proceeding or suspension between the Borrower or any Subsidiary and any Governmental Authority; or (iii) the commencement of, or any material development in, any litigation or proceeding affecting the Borrower or any Subsidiary, including pursuant to any applicable Environmental Laws in each case under </w:t>
      </w:r>
      <w:r>
        <w:rPr>
          <w:rFonts w:ascii="Arial" w:cs="Arial" w:eastAsia="Arial" w:hAnsi="Arial"/>
          <w:sz w:val="20"/>
          <w:szCs w:val="20"/>
          <w:u w:val="single" w:color="auto"/>
          <w:color w:val="auto"/>
        </w:rPr>
        <w:t>clauses (i)</w:t>
      </w:r>
      <w:r>
        <w:rPr>
          <w:rFonts w:ascii="Arial" w:cs="Arial" w:eastAsia="Arial" w:hAnsi="Arial"/>
          <w:sz w:val="20"/>
          <w:szCs w:val="20"/>
          <w:color w:val="auto"/>
        </w:rPr>
        <w:t xml:space="preserve">, </w:t>
      </w:r>
      <w:r>
        <w:rPr>
          <w:rFonts w:ascii="Arial" w:cs="Arial" w:eastAsia="Arial" w:hAnsi="Arial"/>
          <w:sz w:val="20"/>
          <w:szCs w:val="20"/>
          <w:u w:val="single" w:color="auto"/>
          <w:color w:val="auto"/>
        </w:rPr>
        <w:t>(ii)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(iii)</w:t>
      </w:r>
      <w:r>
        <w:rPr>
          <w:rFonts w:ascii="Arial" w:cs="Arial" w:eastAsia="Arial" w:hAnsi="Arial"/>
          <w:sz w:val="20"/>
          <w:szCs w:val="20"/>
          <w:color w:val="auto"/>
        </w:rPr>
        <w:t xml:space="preserve"> above, which (A) is reasonably likely to create liability to the Borrower in excess of $75,000,000 in any individual circumstance or in excess of $125,000,000 in the aggregate for all such circumstances, or (B) is otherwise reasonably likely to have a Material Adverse Effect and (iv) other matter that has resulted or is reasonably likely to result in a Material Adverse Effect;</w:t>
      </w:r>
    </w:p>
    <w:p>
      <w:pPr>
        <w:spacing w:after="0" w:line="196" w:lineRule="exact"/>
        <w:rPr>
          <w:rFonts w:ascii="Arial" w:cs="Arial" w:eastAsia="Arial" w:hAnsi="Arial"/>
          <w:sz w:val="20"/>
          <w:szCs w:val="20"/>
          <w:color w:val="auto"/>
        </w:rPr>
      </w:pPr>
    </w:p>
    <w:p>
      <w:pPr>
        <w:jc w:val="both"/>
        <w:ind w:firstLine="872"/>
        <w:spacing w:after="0" w:line="246" w:lineRule="auto"/>
        <w:tabs>
          <w:tab w:leader="none" w:pos="1731" w:val="left"/>
        </w:tabs>
        <w:numPr>
          <w:ilvl w:val="0"/>
          <w:numId w:val="67"/>
        </w:numPr>
        <w:rPr>
          <w:rFonts w:ascii="Arial" w:cs="Arial" w:eastAsia="Arial" w:hAnsi="Arial"/>
          <w:sz w:val="20"/>
          <w:szCs w:val="20"/>
          <w:color w:val="auto"/>
        </w:rPr>
      </w:pPr>
      <w:r>
        <w:rPr>
          <w:rFonts w:ascii="Arial" w:cs="Arial" w:eastAsia="Arial" w:hAnsi="Arial"/>
          <w:sz w:val="20"/>
          <w:szCs w:val="20"/>
          <w:color w:val="auto"/>
        </w:rPr>
        <w:t>of the occurrence of any of the following events affecting the Borrower or any ERISA Affiliate (but in no event more than 10 days after such event), and deliver to the Administrative Agent and each Lender a copy of any notice with respect to such event that is filed with a Governmental Authority and any notice delivered by a Governmental Authority to the Borrower or any ERISA Affiliate with respect to such event:</w:t>
      </w:r>
    </w:p>
    <w:p>
      <w:pPr>
        <w:spacing w:after="0" w:line="191" w:lineRule="exact"/>
        <w:rPr>
          <w:rFonts w:ascii="Arial" w:cs="Arial" w:eastAsia="Arial" w:hAnsi="Arial"/>
          <w:sz w:val="20"/>
          <w:szCs w:val="20"/>
          <w:color w:val="auto"/>
        </w:rPr>
      </w:pPr>
    </w:p>
    <w:p>
      <w:pPr>
        <w:ind w:left="2500" w:hanging="831"/>
        <w:spacing w:after="0"/>
        <w:tabs>
          <w:tab w:leader="none" w:pos="2500" w:val="left"/>
        </w:tabs>
        <w:numPr>
          <w:ilvl w:val="1"/>
          <w:numId w:val="67"/>
        </w:numPr>
        <w:rPr>
          <w:rFonts w:ascii="Arial" w:cs="Arial" w:eastAsia="Arial" w:hAnsi="Arial"/>
          <w:sz w:val="20"/>
          <w:szCs w:val="20"/>
          <w:color w:val="auto"/>
        </w:rPr>
      </w:pPr>
      <w:r>
        <w:rPr>
          <w:rFonts w:ascii="Arial" w:cs="Arial" w:eastAsia="Arial" w:hAnsi="Arial"/>
          <w:sz w:val="20"/>
          <w:szCs w:val="20"/>
          <w:color w:val="auto"/>
        </w:rPr>
        <w:t>an ERISA Event;</w:t>
      </w:r>
    </w:p>
    <w:p>
      <w:pPr>
        <w:spacing w:after="0" w:line="215" w:lineRule="exact"/>
        <w:rPr>
          <w:rFonts w:ascii="Arial" w:cs="Arial" w:eastAsia="Arial" w:hAnsi="Arial"/>
          <w:sz w:val="20"/>
          <w:szCs w:val="20"/>
          <w:color w:val="auto"/>
        </w:rPr>
      </w:pPr>
    </w:p>
    <w:p>
      <w:pPr>
        <w:ind w:left="2560" w:hanging="891"/>
        <w:spacing w:after="0"/>
        <w:tabs>
          <w:tab w:leader="none" w:pos="2560" w:val="left"/>
        </w:tabs>
        <w:numPr>
          <w:ilvl w:val="1"/>
          <w:numId w:val="67"/>
        </w:numPr>
        <w:rPr>
          <w:rFonts w:ascii="Arial" w:cs="Arial" w:eastAsia="Arial" w:hAnsi="Arial"/>
          <w:sz w:val="20"/>
          <w:szCs w:val="20"/>
          <w:color w:val="auto"/>
        </w:rPr>
      </w:pPr>
      <w:r>
        <w:rPr>
          <w:rFonts w:ascii="Arial" w:cs="Arial" w:eastAsia="Arial" w:hAnsi="Arial"/>
          <w:sz w:val="20"/>
          <w:szCs w:val="20"/>
          <w:color w:val="auto"/>
        </w:rPr>
        <w:t>a material increase in the Unfunded Pension Liability of any Pension Plan;</w:t>
      </w:r>
    </w:p>
    <w:p>
      <w:pPr>
        <w:spacing w:after="0" w:line="215" w:lineRule="exact"/>
        <w:rPr>
          <w:rFonts w:ascii="Arial" w:cs="Arial" w:eastAsia="Arial" w:hAnsi="Arial"/>
          <w:sz w:val="20"/>
          <w:szCs w:val="20"/>
          <w:color w:val="auto"/>
        </w:rPr>
      </w:pPr>
    </w:p>
    <w:p>
      <w:pPr>
        <w:ind w:left="880" w:firstLine="789"/>
        <w:spacing w:after="0" w:line="260" w:lineRule="auto"/>
        <w:tabs>
          <w:tab w:leader="none" w:pos="2622" w:val="left"/>
        </w:tabs>
        <w:numPr>
          <w:ilvl w:val="1"/>
          <w:numId w:val="67"/>
        </w:numPr>
        <w:rPr>
          <w:rFonts w:ascii="Arial" w:cs="Arial" w:eastAsia="Arial" w:hAnsi="Arial"/>
          <w:sz w:val="20"/>
          <w:szCs w:val="20"/>
          <w:color w:val="auto"/>
        </w:rPr>
      </w:pPr>
      <w:r>
        <w:rPr>
          <w:rFonts w:ascii="Arial" w:cs="Arial" w:eastAsia="Arial" w:hAnsi="Arial"/>
          <w:sz w:val="20"/>
          <w:szCs w:val="20"/>
          <w:color w:val="auto"/>
        </w:rPr>
        <w:t>the adoption of, or the commencement of contributions to, any Plan subject to Section 412 of the Code by the Borrower or any ERISA Affiliate; or</w:t>
      </w:r>
    </w:p>
    <w:p>
      <w:pPr>
        <w:spacing w:after="0" w:line="176" w:lineRule="exact"/>
        <w:rPr>
          <w:rFonts w:ascii="Arial" w:cs="Arial" w:eastAsia="Arial" w:hAnsi="Arial"/>
          <w:sz w:val="20"/>
          <w:szCs w:val="20"/>
          <w:color w:val="auto"/>
        </w:rPr>
      </w:pPr>
    </w:p>
    <w:p>
      <w:pPr>
        <w:ind w:left="880" w:firstLine="789"/>
        <w:spacing w:after="0" w:line="260" w:lineRule="auto"/>
        <w:tabs>
          <w:tab w:leader="none" w:pos="2611" w:val="left"/>
        </w:tabs>
        <w:numPr>
          <w:ilvl w:val="1"/>
          <w:numId w:val="67"/>
        </w:numPr>
        <w:rPr>
          <w:rFonts w:ascii="Arial" w:cs="Arial" w:eastAsia="Arial" w:hAnsi="Arial"/>
          <w:sz w:val="20"/>
          <w:szCs w:val="20"/>
          <w:color w:val="auto"/>
        </w:rPr>
      </w:pPr>
      <w:r>
        <w:rPr>
          <w:rFonts w:ascii="Arial" w:cs="Arial" w:eastAsia="Arial" w:hAnsi="Arial"/>
          <w:sz w:val="20"/>
          <w:szCs w:val="20"/>
          <w:color w:val="auto"/>
        </w:rPr>
        <w:t>the adoption of any amendment to a Plan subject to Section 412 of the Code, if such amendment results in a material increase in contributions or Unfunded Pension Liability;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9" w:name="page60"/>
    <w:bookmarkEnd w:id="59"/>
    <w:p>
      <w:pPr>
        <w:jc w:val="both"/>
        <w:ind w:firstLine="872"/>
        <w:spacing w:after="0" w:line="250" w:lineRule="auto"/>
        <w:tabs>
          <w:tab w:leader="none" w:pos="1742" w:val="left"/>
        </w:tabs>
        <w:numPr>
          <w:ilvl w:val="0"/>
          <w:numId w:val="68"/>
        </w:numPr>
        <w:rPr>
          <w:rFonts w:ascii="Arial" w:cs="Arial" w:eastAsia="Arial" w:hAnsi="Arial"/>
          <w:sz w:val="20"/>
          <w:szCs w:val="20"/>
          <w:color w:val="auto"/>
        </w:rPr>
      </w:pPr>
      <w:r>
        <w:rPr>
          <w:rFonts w:ascii="Arial" w:cs="Arial" w:eastAsia="Arial" w:hAnsi="Arial"/>
          <w:sz w:val="20"/>
          <w:szCs w:val="20"/>
          <w:color w:val="auto"/>
        </w:rPr>
        <w:t xml:space="preserve">of any material change in accounting policies or financial reporting practices by the Borrower or any of its consolidated Subsidiaries not reflected in periodic reports filed by the Borrower with the SEC, including any determination by the Borrower referred to in </w:t>
      </w:r>
      <w:r>
        <w:rPr>
          <w:rFonts w:ascii="Arial" w:cs="Arial" w:eastAsia="Arial" w:hAnsi="Arial"/>
          <w:sz w:val="20"/>
          <w:szCs w:val="20"/>
          <w:u w:val="single" w:color="auto"/>
          <w:color w:val="auto"/>
        </w:rPr>
        <w:t>Section 2.08(b)</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ind w:left="1740" w:hanging="868"/>
        <w:spacing w:after="0"/>
        <w:tabs>
          <w:tab w:leader="none" w:pos="1740" w:val="left"/>
        </w:tabs>
        <w:numPr>
          <w:ilvl w:val="0"/>
          <w:numId w:val="68"/>
        </w:numPr>
        <w:rPr>
          <w:rFonts w:ascii="Arial" w:cs="Arial" w:eastAsia="Arial" w:hAnsi="Arial"/>
          <w:sz w:val="20"/>
          <w:szCs w:val="20"/>
          <w:color w:val="auto"/>
        </w:rPr>
      </w:pPr>
      <w:r>
        <w:rPr>
          <w:rFonts w:ascii="Arial" w:cs="Arial" w:eastAsia="Arial" w:hAnsi="Arial"/>
          <w:sz w:val="20"/>
          <w:szCs w:val="20"/>
          <w:color w:val="auto"/>
        </w:rPr>
        <w:t>of any announcement by Moody’s or S&amp;P of any change in a Debt Rating; and</w:t>
      </w:r>
    </w:p>
    <w:p>
      <w:pPr>
        <w:spacing w:after="0" w:line="215" w:lineRule="exact"/>
        <w:rPr>
          <w:rFonts w:ascii="Arial" w:cs="Arial" w:eastAsia="Arial" w:hAnsi="Arial"/>
          <w:sz w:val="20"/>
          <w:szCs w:val="20"/>
          <w:color w:val="auto"/>
        </w:rPr>
      </w:pPr>
    </w:p>
    <w:p>
      <w:pPr>
        <w:ind w:firstLine="872"/>
        <w:spacing w:after="0" w:line="260" w:lineRule="auto"/>
        <w:tabs>
          <w:tab w:leader="none" w:pos="1709" w:val="left"/>
        </w:tabs>
        <w:numPr>
          <w:ilvl w:val="0"/>
          <w:numId w:val="68"/>
        </w:numPr>
        <w:rPr>
          <w:rFonts w:ascii="Arial" w:cs="Arial" w:eastAsia="Arial" w:hAnsi="Arial"/>
          <w:sz w:val="20"/>
          <w:szCs w:val="20"/>
          <w:color w:val="auto"/>
        </w:rPr>
      </w:pPr>
      <w:r>
        <w:rPr>
          <w:rFonts w:ascii="Arial" w:cs="Arial" w:eastAsia="Arial" w:hAnsi="Arial"/>
          <w:sz w:val="20"/>
          <w:szCs w:val="20"/>
          <w:color w:val="auto"/>
        </w:rPr>
        <w:t>of any change in the information provided in the Beneficial Ownership Certification that would result in a change to the list of beneficial owners identified in such certification.</w:t>
      </w:r>
    </w:p>
    <w:p>
      <w:pPr>
        <w:spacing w:after="0" w:line="177"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9"/>
          <w:szCs w:val="19"/>
          <w:color w:val="auto"/>
        </w:rPr>
        <w:t xml:space="preserve">Each notice pursuant to this </w:t>
      </w:r>
      <w:r>
        <w:rPr>
          <w:rFonts w:ascii="Arial" w:cs="Arial" w:eastAsia="Arial" w:hAnsi="Arial"/>
          <w:sz w:val="19"/>
          <w:szCs w:val="19"/>
          <w:u w:val="single" w:color="auto"/>
          <w:color w:val="auto"/>
        </w:rPr>
        <w:t>Section 6.03</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6.03(e</w:t>
      </w:r>
      <w:r>
        <w:rPr>
          <w:rFonts w:ascii="Arial" w:cs="Arial" w:eastAsia="Arial" w:hAnsi="Arial"/>
          <w:sz w:val="19"/>
          <w:szCs w:val="19"/>
          <w:color w:val="auto"/>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Arial" w:cs="Arial" w:eastAsia="Arial" w:hAnsi="Arial"/>
          <w:sz w:val="19"/>
          <w:szCs w:val="19"/>
          <w:u w:val="single" w:color="auto"/>
          <w:color w:val="auto"/>
        </w:rPr>
        <w:t>Section 6.03(a)</w:t>
      </w:r>
      <w:r>
        <w:rPr>
          <w:rFonts w:ascii="Arial" w:cs="Arial" w:eastAsia="Arial" w:hAnsi="Arial"/>
          <w:sz w:val="19"/>
          <w:szCs w:val="19"/>
          <w:color w:val="auto"/>
        </w:rPr>
        <w:t xml:space="preserve"> shall describe with particularity any and all provisions of this Agreement and any other Loan Document that have been or foreseeably will be breached or violated.</w:t>
      </w:r>
    </w:p>
    <w:p>
      <w:pPr>
        <w:spacing w:after="0" w:line="170"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b w:val="1"/>
          <w:bCs w:val="1"/>
          <w:color w:val="auto"/>
        </w:rPr>
        <w:t xml:space="preserve">6.04 Anti-Corruption Laws; Sanctions. </w:t>
      </w:r>
      <w:r>
        <w:rPr>
          <w:rFonts w:ascii="Arial" w:cs="Arial" w:eastAsia="Arial" w:hAnsi="Arial"/>
          <w:sz w:val="20"/>
          <w:szCs w:val="20"/>
          <w:color w:val="auto"/>
        </w:rPr>
        <w:t>Use reasonable efforts to conduct its business in compliance with the United</w:t>
      </w:r>
      <w:r>
        <w:rPr>
          <w:rFonts w:ascii="Arial" w:cs="Arial" w:eastAsia="Arial" w:hAnsi="Arial"/>
          <w:sz w:val="20"/>
          <w:szCs w:val="20"/>
          <w:b w:val="1"/>
          <w:bCs w:val="1"/>
          <w:color w:val="auto"/>
        </w:rPr>
        <w:t xml:space="preserve"> </w:t>
      </w:r>
      <w:r>
        <w:rPr>
          <w:rFonts w:ascii="Arial" w:cs="Arial" w:eastAsia="Arial" w:hAnsi="Arial"/>
          <w:sz w:val="20"/>
          <w:szCs w:val="20"/>
          <w:color w:val="auto"/>
        </w:rPr>
        <w:t>States Foreign Corrupt Practices Act of 1977, the UK Bribery Act 2010, and other applicable anti-corruption legislation in other jurisdictions and with all applicable Sanctions, and maintain policies and procedures designed to promote and achieve compliance with such laws and Sanctions.</w:t>
      </w:r>
    </w:p>
    <w:p>
      <w:pPr>
        <w:spacing w:after="0" w:line="183"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8"/>
          <w:szCs w:val="18"/>
          <w:b w:val="1"/>
          <w:bCs w:val="1"/>
          <w:color w:val="auto"/>
        </w:rPr>
        <w:t xml:space="preserve">6.05 Preservation of Existence, Etc. </w:t>
      </w:r>
      <w:r>
        <w:rPr>
          <w:rFonts w:ascii="Arial" w:cs="Arial" w:eastAsia="Arial" w:hAnsi="Arial"/>
          <w:sz w:val="18"/>
          <w:szCs w:val="18"/>
          <w:color w:val="auto"/>
        </w:rPr>
        <w:t>(a) Preserve, renew and maintain in full force and effect its legal existence and good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standing under the Laws of the jurisdiction of its organization except in a transaction permitted by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7.03</w:t>
      </w:r>
      <w:r>
        <w:rPr>
          <w:rFonts w:ascii="Arial" w:cs="Arial" w:eastAsia="Arial" w:hAnsi="Arial"/>
          <w:sz w:val="18"/>
          <w:szCs w:val="18"/>
          <w:color w:val="auto"/>
        </w:rPr>
        <w:t xml:space="preserve">;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of its registered patents, trademarks, trade names and service marks, the non-preservation of which could reasonably be expected to have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notwithstanding any of the foregoing, the Borrower shall be permitted to liquidate any Subsidiary into the Borrower or another Subsidiary in accordance with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and thereafter dissolve such Subsidiary.</w:t>
      </w:r>
    </w:p>
    <w:p>
      <w:pPr>
        <w:spacing w:after="0" w:line="162"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b w:val="1"/>
          <w:bCs w:val="1"/>
          <w:color w:val="auto"/>
        </w:rPr>
        <w:t xml:space="preserve">6.06 Maintenance of Properties. </w:t>
      </w:r>
      <w:r>
        <w:rPr>
          <w:rFonts w:ascii="Arial" w:cs="Arial" w:eastAsia="Arial" w:hAnsi="Arial"/>
          <w:sz w:val="20"/>
          <w:szCs w:val="20"/>
          <w:color w:val="auto"/>
        </w:rPr>
        <w:t>Exercise its best business judgment to maintain and preserve all its property which is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used or useful in its business in good working order and condition, ordinary wear and tear excepted;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nothing in this </w:t>
      </w:r>
      <w:r>
        <w:rPr>
          <w:rFonts w:ascii="Arial" w:cs="Arial" w:eastAsia="Arial" w:hAnsi="Arial"/>
          <w:sz w:val="20"/>
          <w:szCs w:val="20"/>
          <w:u w:val="single" w:color="auto"/>
          <w:color w:val="auto"/>
        </w:rPr>
        <w:t>Section 6.06</w:t>
      </w:r>
      <w:r>
        <w:rPr>
          <w:rFonts w:ascii="Arial" w:cs="Arial" w:eastAsia="Arial" w:hAnsi="Arial"/>
          <w:sz w:val="20"/>
          <w:szCs w:val="20"/>
          <w:color w:val="auto"/>
        </w:rPr>
        <w:t xml:space="preserve"> shall prevent the Borrower or any Subsidiary from discontinuing the operation or maintenance of any such property if such discontinuance will not result in a Material Adverse Effect.</w:t>
      </w:r>
    </w:p>
    <w:p>
      <w:pPr>
        <w:spacing w:after="0" w:line="183"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9"/>
          <w:szCs w:val="19"/>
          <w:b w:val="1"/>
          <w:bCs w:val="1"/>
          <w:color w:val="auto"/>
        </w:rPr>
        <w:t xml:space="preserve">6.07 Maintenance of Insurance. </w:t>
      </w:r>
      <w:r>
        <w:rPr>
          <w:rFonts w:ascii="Arial" w:cs="Arial" w:eastAsia="Arial" w:hAnsi="Arial"/>
          <w:sz w:val="19"/>
          <w:szCs w:val="19"/>
          <w:color w:val="auto"/>
        </w:rPr>
        <w:t>Maintain with financially sound and reputable insurers, insurance with respect to its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properties and business against loss or damage of the kinds customarily insured against by Persons engaged in the same or similar business, of such types and in such amounts as are customarily carried under similar circumstances by such other Persons;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nothing in this </w:t>
      </w:r>
      <w:r>
        <w:rPr>
          <w:rFonts w:ascii="Arial" w:cs="Arial" w:eastAsia="Arial" w:hAnsi="Arial"/>
          <w:sz w:val="19"/>
          <w:szCs w:val="19"/>
          <w:u w:val="single" w:color="auto"/>
          <w:color w:val="auto"/>
        </w:rPr>
        <w:t>Section 6.07</w:t>
      </w:r>
      <w:r>
        <w:rPr>
          <w:rFonts w:ascii="Arial" w:cs="Arial" w:eastAsia="Arial" w:hAnsi="Arial"/>
          <w:sz w:val="19"/>
          <w:szCs w:val="19"/>
          <w:color w:val="auto"/>
        </w:rPr>
        <w:t xml:space="preserve"> shall be deemed to prevent the Borrower or its Subsidiaries from self-insuring or insuring through a captive insurance subsidiary such risks as are customarily self-insured or insured through captive insurance subsidiaries by other corporations in the same business and similarly situated in accordance with sound business practices.</w:t>
      </w:r>
    </w:p>
    <w:p>
      <w:pPr>
        <w:spacing w:after="0" w:line="173"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9"/>
          <w:szCs w:val="19"/>
          <w:b w:val="1"/>
          <w:bCs w:val="1"/>
          <w:color w:val="auto"/>
        </w:rPr>
        <w:t xml:space="preserve">6.08 Compliance with Laws and Contractual Obligations. </w:t>
      </w:r>
      <w:r>
        <w:rPr>
          <w:rFonts w:ascii="Arial" w:cs="Arial" w:eastAsia="Arial" w:hAnsi="Arial"/>
          <w:sz w:val="19"/>
          <w:szCs w:val="19"/>
          <w:color w:val="auto"/>
        </w:rPr>
        <w:t>Comply, and cause each Subsidiary to comply, with all</w:t>
      </w:r>
      <w:r>
        <w:rPr>
          <w:rFonts w:ascii="Arial" w:cs="Arial" w:eastAsia="Arial" w:hAnsi="Arial"/>
          <w:sz w:val="19"/>
          <w:szCs w:val="19"/>
          <w:b w:val="1"/>
          <w:bCs w:val="1"/>
          <w:color w:val="auto"/>
        </w:rPr>
        <w:t xml:space="preserve"> </w:t>
      </w:r>
      <w:r>
        <w:rPr>
          <w:rFonts w:ascii="Arial" w:cs="Arial" w:eastAsia="Arial" w:hAnsi="Arial"/>
          <w:sz w:val="19"/>
          <w:szCs w:val="19"/>
          <w:color w:val="auto"/>
        </w:rPr>
        <w:t>Contractual Obligations and requirements of Law of any Governmental Authority having jurisdiction over it or its business including, without limitation, all Environmental Laws except to the extent that the failure to so comply may not have a Material Adverse Effect and paying before the same become delinquent, all taxes, assessments and government charges imposed upon it or upon its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0" w:name="page61"/>
    <w:bookmarkEnd w:id="60"/>
    <w:p>
      <w:pPr>
        <w:jc w:val="both"/>
        <w:spacing w:after="0" w:line="260" w:lineRule="auto"/>
        <w:rPr>
          <w:sz w:val="20"/>
          <w:szCs w:val="20"/>
          <w:color w:val="auto"/>
        </w:rPr>
      </w:pPr>
      <w:r>
        <w:rPr>
          <w:rFonts w:ascii="Arial" w:cs="Arial" w:eastAsia="Arial" w:hAnsi="Arial"/>
          <w:sz w:val="20"/>
          <w:szCs w:val="20"/>
          <w:color w:val="auto"/>
        </w:rPr>
        <w:t>property, income or assets, except those which are being contested in good faith by appropriate proceedings and for which adequate reserves have been provided in accordance with GAAP.</w:t>
      </w:r>
    </w:p>
    <w:p>
      <w:pPr>
        <w:spacing w:after="0" w:line="171"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 xml:space="preserve">6.09 Books and Records. </w:t>
      </w:r>
      <w:r>
        <w:rPr>
          <w:rFonts w:ascii="Arial" w:cs="Arial" w:eastAsia="Arial" w:hAnsi="Arial"/>
          <w:sz w:val="20"/>
          <w:szCs w:val="20"/>
          <w:color w:val="auto"/>
        </w:rPr>
        <w:t>Maintain proper books of record and account, in which full, true and correct entries in</w:t>
      </w:r>
      <w:r>
        <w:rPr>
          <w:rFonts w:ascii="Arial" w:cs="Arial" w:eastAsia="Arial" w:hAnsi="Arial"/>
          <w:sz w:val="20"/>
          <w:szCs w:val="20"/>
          <w:b w:val="1"/>
          <w:bCs w:val="1"/>
          <w:color w:val="auto"/>
        </w:rPr>
        <w:t xml:space="preserve"> </w:t>
      </w:r>
      <w:r>
        <w:rPr>
          <w:rFonts w:ascii="Arial" w:cs="Arial" w:eastAsia="Arial" w:hAnsi="Arial"/>
          <w:sz w:val="20"/>
          <w:szCs w:val="20"/>
          <w:color w:val="auto"/>
        </w:rPr>
        <w:t>conformity with GAAP consistently applied shall be made of all financial transactions and matters involving the assets and business of the Borrower or such Subsidiary, as the case may be.</w:t>
      </w:r>
    </w:p>
    <w:p>
      <w:pPr>
        <w:spacing w:after="0" w:line="177"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8"/>
          <w:szCs w:val="18"/>
          <w:b w:val="1"/>
          <w:bCs w:val="1"/>
          <w:color w:val="auto"/>
        </w:rPr>
        <w:t xml:space="preserve">6.10 Inspection Rights. </w:t>
      </w:r>
      <w:r>
        <w:rPr>
          <w:rFonts w:ascii="Arial" w:cs="Arial" w:eastAsia="Arial" w:hAnsi="Arial"/>
          <w:sz w:val="18"/>
          <w:szCs w:val="18"/>
          <w:color w:val="auto"/>
        </w:rPr>
        <w:t>Permit representatives and independent contractors of the Administrative Agent and each Lender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visit and inspect any of its properties, to examine its corporate, financial and operating records, and make copies thereof or abstracts therefrom (except to the extent any of such records are confidential or proprietary in nature), and to discuss its affairs, finances and accounts with its directors, officers, and independent public accountants, all at such reasonable times during normal business hours and as often as may be reasonably desired, upon reasonable advance notice to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when an Event of Default exists the Administrative Agent or any Lender (or any of their respective representatives or independent contractors) may do any of the foregoing at the expense of the Borrower at any time during normal business hours and without advance notice.</w:t>
      </w:r>
    </w:p>
    <w:p>
      <w:pPr>
        <w:spacing w:after="0" w:line="162"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 xml:space="preserve">6.11 Use of Proceeds. </w:t>
      </w:r>
      <w:r>
        <w:rPr>
          <w:rFonts w:ascii="Arial" w:cs="Arial" w:eastAsia="Arial" w:hAnsi="Arial"/>
          <w:sz w:val="20"/>
          <w:szCs w:val="20"/>
          <w:color w:val="auto"/>
        </w:rPr>
        <w:t>The Borrower shall use the proceeds of the Loans for the payment of the costs, fees and expenses</w:t>
      </w:r>
      <w:r>
        <w:rPr>
          <w:rFonts w:ascii="Arial" w:cs="Arial" w:eastAsia="Arial" w:hAnsi="Arial"/>
          <w:sz w:val="20"/>
          <w:szCs w:val="20"/>
          <w:b w:val="1"/>
          <w:bCs w:val="1"/>
          <w:color w:val="auto"/>
        </w:rPr>
        <w:t xml:space="preserve"> </w:t>
      </w:r>
      <w:r>
        <w:rPr>
          <w:rFonts w:ascii="Arial" w:cs="Arial" w:eastAsia="Arial" w:hAnsi="Arial"/>
          <w:sz w:val="20"/>
          <w:szCs w:val="20"/>
          <w:color w:val="auto"/>
        </w:rPr>
        <w:t>related to this Agreement and for general corporate purposes.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NEGATIVE COVENANTS</w:t>
      </w:r>
    </w:p>
    <w:p>
      <w:pPr>
        <w:spacing w:after="0" w:line="200"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So long as any Lender shall have any Commitment hereunder, or any Loan or other Obligation shall remain unpaid or unsatisfied, unless the Required Lenders waive compliance in writing:</w:t>
      </w:r>
    </w:p>
    <w:p>
      <w:pPr>
        <w:spacing w:after="0" w:line="184" w:lineRule="exact"/>
        <w:rPr>
          <w:sz w:val="20"/>
          <w:szCs w:val="20"/>
          <w:color w:val="auto"/>
        </w:rPr>
      </w:pPr>
    </w:p>
    <w:p>
      <w:pPr>
        <w:jc w:val="both"/>
        <w:ind w:right="20" w:firstLine="864"/>
        <w:spacing w:after="0" w:line="253" w:lineRule="auto"/>
        <w:rPr>
          <w:sz w:val="20"/>
          <w:szCs w:val="20"/>
          <w:color w:val="auto"/>
        </w:rPr>
      </w:pPr>
      <w:r>
        <w:rPr>
          <w:rFonts w:ascii="Arial" w:cs="Arial" w:eastAsia="Arial" w:hAnsi="Arial"/>
          <w:sz w:val="20"/>
          <w:szCs w:val="20"/>
          <w:b w:val="1"/>
          <w:bCs w:val="1"/>
          <w:color w:val="auto"/>
        </w:rPr>
        <w:t>7.01 Limitation on Liens</w:t>
      </w:r>
      <w:r>
        <w:rPr>
          <w:rFonts w:ascii="Arial" w:cs="Arial" w:eastAsia="Arial" w:hAnsi="Arial"/>
          <w:sz w:val="20"/>
          <w:szCs w:val="20"/>
          <w:color w:val="auto"/>
        </w:rPr>
        <w:t>. The Borrower shall not, nor shall it permit any Subsidiary to, directly or indirectly, make,</w:t>
      </w:r>
      <w:r>
        <w:rPr>
          <w:rFonts w:ascii="Arial" w:cs="Arial" w:eastAsia="Arial" w:hAnsi="Arial"/>
          <w:sz w:val="20"/>
          <w:szCs w:val="20"/>
          <w:b w:val="1"/>
          <w:bCs w:val="1"/>
          <w:color w:val="auto"/>
        </w:rPr>
        <w:t xml:space="preserve"> </w:t>
      </w:r>
      <w:r>
        <w:rPr>
          <w:rFonts w:ascii="Arial" w:cs="Arial" w:eastAsia="Arial" w:hAnsi="Arial"/>
          <w:sz w:val="20"/>
          <w:szCs w:val="20"/>
          <w:color w:val="auto"/>
        </w:rPr>
        <w:t>create, incur, assume or suffer to exist any Lien upon or with respect to any part of their respective property, whether now owned or hereafter acquired, other than the following (“</w:t>
      </w:r>
      <w:r>
        <w:rPr>
          <w:rFonts w:ascii="Arial" w:cs="Arial" w:eastAsia="Arial" w:hAnsi="Arial"/>
          <w:sz w:val="20"/>
          <w:szCs w:val="20"/>
          <w:u w:val="single" w:color="auto"/>
          <w:color w:val="auto"/>
        </w:rPr>
        <w:t>Permitted Liens</w:t>
      </w:r>
      <w:r>
        <w:rPr>
          <w:rFonts w:ascii="Arial" w:cs="Arial" w:eastAsia="Arial" w:hAnsi="Arial"/>
          <w:sz w:val="20"/>
          <w:szCs w:val="20"/>
          <w:color w:val="auto"/>
        </w:rPr>
        <w:t>”):</w:t>
      </w:r>
    </w:p>
    <w:p>
      <w:pPr>
        <w:spacing w:after="0" w:line="183" w:lineRule="exact"/>
        <w:rPr>
          <w:sz w:val="20"/>
          <w:szCs w:val="20"/>
          <w:color w:val="auto"/>
        </w:rPr>
      </w:pPr>
    </w:p>
    <w:p>
      <w:pPr>
        <w:ind w:right="20" w:firstLine="872"/>
        <w:spacing w:after="0" w:line="260" w:lineRule="auto"/>
        <w:tabs>
          <w:tab w:leader="none" w:pos="1731" w:val="left"/>
        </w:tabs>
        <w:numPr>
          <w:ilvl w:val="0"/>
          <w:numId w:val="69"/>
        </w:numPr>
        <w:rPr>
          <w:rFonts w:ascii="Arial" w:cs="Arial" w:eastAsia="Arial" w:hAnsi="Arial"/>
          <w:sz w:val="20"/>
          <w:szCs w:val="20"/>
          <w:color w:val="auto"/>
        </w:rPr>
      </w:pPr>
      <w:r>
        <w:rPr>
          <w:rFonts w:ascii="Arial" w:cs="Arial" w:eastAsia="Arial" w:hAnsi="Arial"/>
          <w:sz w:val="20"/>
          <w:szCs w:val="20"/>
          <w:color w:val="auto"/>
        </w:rPr>
        <w:t xml:space="preserve">any Lien existing on property of the Borrower or any Subsidiary on the Closing Date and set forth in </w:t>
      </w:r>
      <w:r>
        <w:rPr>
          <w:rFonts w:ascii="Arial" w:cs="Arial" w:eastAsia="Arial" w:hAnsi="Arial"/>
          <w:sz w:val="20"/>
          <w:szCs w:val="20"/>
          <w:u w:val="single" w:color="auto"/>
          <w:color w:val="auto"/>
        </w:rPr>
        <w:t>Schedule 7.01</w:t>
      </w:r>
      <w:r>
        <w:rPr>
          <w:rFonts w:ascii="Arial" w:cs="Arial" w:eastAsia="Arial" w:hAnsi="Arial"/>
          <w:sz w:val="20"/>
          <w:szCs w:val="20"/>
          <w:color w:val="auto"/>
        </w:rPr>
        <w:t xml:space="preserve"> securing Indebtedness outstanding on such date;</w:t>
      </w:r>
    </w:p>
    <w:p>
      <w:pPr>
        <w:spacing w:after="0" w:line="176" w:lineRule="exact"/>
        <w:rPr>
          <w:rFonts w:ascii="Arial" w:cs="Arial" w:eastAsia="Arial" w:hAnsi="Arial"/>
          <w:sz w:val="20"/>
          <w:szCs w:val="20"/>
          <w:color w:val="auto"/>
        </w:rPr>
      </w:pPr>
    </w:p>
    <w:p>
      <w:pPr>
        <w:ind w:left="1760" w:hanging="888"/>
        <w:spacing w:after="0"/>
        <w:tabs>
          <w:tab w:leader="none" w:pos="1760" w:val="left"/>
        </w:tabs>
        <w:numPr>
          <w:ilvl w:val="0"/>
          <w:numId w:val="69"/>
        </w:numPr>
        <w:rPr>
          <w:rFonts w:ascii="Arial" w:cs="Arial" w:eastAsia="Arial" w:hAnsi="Arial"/>
          <w:sz w:val="20"/>
          <w:szCs w:val="20"/>
          <w:color w:val="auto"/>
        </w:rPr>
      </w:pPr>
      <w:r>
        <w:rPr>
          <w:rFonts w:ascii="Arial" w:cs="Arial" w:eastAsia="Arial" w:hAnsi="Arial"/>
          <w:sz w:val="20"/>
          <w:szCs w:val="20"/>
          <w:color w:val="auto"/>
        </w:rPr>
        <w:t>any Lien created under any Loan Document;</w:t>
      </w:r>
    </w:p>
    <w:p>
      <w:pPr>
        <w:spacing w:after="0" w:line="215" w:lineRule="exact"/>
        <w:rPr>
          <w:rFonts w:ascii="Arial" w:cs="Arial" w:eastAsia="Arial" w:hAnsi="Arial"/>
          <w:sz w:val="20"/>
          <w:szCs w:val="20"/>
          <w:color w:val="auto"/>
        </w:rPr>
      </w:pPr>
    </w:p>
    <w:p>
      <w:pPr>
        <w:ind w:firstLine="872"/>
        <w:spacing w:after="0" w:line="260" w:lineRule="auto"/>
        <w:tabs>
          <w:tab w:leader="none" w:pos="1731" w:val="left"/>
        </w:tabs>
        <w:numPr>
          <w:ilvl w:val="0"/>
          <w:numId w:val="69"/>
        </w:numPr>
        <w:rPr>
          <w:rFonts w:ascii="Arial" w:cs="Arial" w:eastAsia="Arial" w:hAnsi="Arial"/>
          <w:sz w:val="20"/>
          <w:szCs w:val="20"/>
          <w:color w:val="auto"/>
        </w:rPr>
      </w:pPr>
      <w:r>
        <w:rPr>
          <w:rFonts w:ascii="Arial" w:cs="Arial" w:eastAsia="Arial" w:hAnsi="Arial"/>
          <w:sz w:val="20"/>
          <w:szCs w:val="20"/>
          <w:color w:val="auto"/>
        </w:rPr>
        <w:t xml:space="preserve">Liens for taxes, fees, assessments or other governmental charges which are not delinquent or remain payable without penalty,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notice of lien has been filed or recorded under the Code;</w:t>
      </w:r>
    </w:p>
    <w:p>
      <w:pPr>
        <w:spacing w:after="0" w:line="176" w:lineRule="exact"/>
        <w:rPr>
          <w:rFonts w:ascii="Arial" w:cs="Arial" w:eastAsia="Arial" w:hAnsi="Arial"/>
          <w:sz w:val="20"/>
          <w:szCs w:val="20"/>
          <w:color w:val="auto"/>
        </w:rPr>
      </w:pPr>
    </w:p>
    <w:p>
      <w:pPr>
        <w:jc w:val="both"/>
        <w:ind w:firstLine="872"/>
        <w:spacing w:after="0" w:line="269" w:lineRule="auto"/>
        <w:tabs>
          <w:tab w:leader="none" w:pos="1742" w:val="left"/>
        </w:tabs>
        <w:numPr>
          <w:ilvl w:val="0"/>
          <w:numId w:val="69"/>
        </w:numPr>
        <w:rPr>
          <w:rFonts w:ascii="Arial" w:cs="Arial" w:eastAsia="Arial" w:hAnsi="Arial"/>
          <w:sz w:val="19"/>
          <w:szCs w:val="19"/>
          <w:color w:val="auto"/>
        </w:rPr>
      </w:pPr>
      <w:r>
        <w:rPr>
          <w:rFonts w:ascii="Arial" w:cs="Arial" w:eastAsia="Arial" w:hAnsi="Arial"/>
          <w:sz w:val="19"/>
          <w:szCs w:val="19"/>
          <w:color w:val="auto"/>
        </w:rPr>
        <w:t>carriers’, warehousemen’s, mechanics’, landlords’, materialmen’s, repairmen’s or other similar Liens arising in the ordinary course of business which are not delinquent or remain payable without penalty or which are being contested in good faith and by appropriate proceedings, which proceedings have the effect of preventing the forfeiture or sale of the property subject thereto;</w:t>
      </w:r>
    </w:p>
    <w:p>
      <w:pPr>
        <w:spacing w:after="0" w:line="169" w:lineRule="exact"/>
        <w:rPr>
          <w:rFonts w:ascii="Arial" w:cs="Arial" w:eastAsia="Arial" w:hAnsi="Arial"/>
          <w:sz w:val="19"/>
          <w:szCs w:val="19"/>
          <w:color w:val="auto"/>
        </w:rPr>
      </w:pPr>
    </w:p>
    <w:p>
      <w:pPr>
        <w:ind w:firstLine="872"/>
        <w:spacing w:after="0" w:line="260" w:lineRule="auto"/>
        <w:tabs>
          <w:tab w:leader="none" w:pos="1731" w:val="left"/>
        </w:tabs>
        <w:numPr>
          <w:ilvl w:val="0"/>
          <w:numId w:val="69"/>
        </w:numPr>
        <w:rPr>
          <w:rFonts w:ascii="Arial" w:cs="Arial" w:eastAsia="Arial" w:hAnsi="Arial"/>
          <w:sz w:val="20"/>
          <w:szCs w:val="20"/>
          <w:color w:val="auto"/>
        </w:rPr>
      </w:pPr>
      <w:r>
        <w:rPr>
          <w:rFonts w:ascii="Arial" w:cs="Arial" w:eastAsia="Arial" w:hAnsi="Arial"/>
          <w:sz w:val="20"/>
          <w:szCs w:val="20"/>
          <w:color w:val="auto"/>
        </w:rPr>
        <w:t>Liens (other than any Lien imposed by ERISA) consisting of pledges or deposits required in the ordinary course of business in connection with workers’ compensation, unemployment insurance and other social security legislation;</w:t>
      </w:r>
    </w:p>
    <w:p>
      <w:pPr>
        <w:spacing w:after="0" w:line="176" w:lineRule="exact"/>
        <w:rPr>
          <w:rFonts w:ascii="Arial" w:cs="Arial" w:eastAsia="Arial" w:hAnsi="Arial"/>
          <w:sz w:val="20"/>
          <w:szCs w:val="20"/>
          <w:color w:val="auto"/>
        </w:rPr>
      </w:pPr>
    </w:p>
    <w:p>
      <w:pPr>
        <w:ind w:right="20" w:firstLine="872"/>
        <w:spacing w:after="0" w:line="260" w:lineRule="auto"/>
        <w:tabs>
          <w:tab w:leader="none" w:pos="1709" w:val="left"/>
        </w:tabs>
        <w:numPr>
          <w:ilvl w:val="0"/>
          <w:numId w:val="69"/>
        </w:numPr>
        <w:rPr>
          <w:rFonts w:ascii="Arial" w:cs="Arial" w:eastAsia="Arial" w:hAnsi="Arial"/>
          <w:sz w:val="20"/>
          <w:szCs w:val="20"/>
          <w:color w:val="auto"/>
        </w:rPr>
      </w:pPr>
      <w:r>
        <w:rPr>
          <w:rFonts w:ascii="Arial" w:cs="Arial" w:eastAsia="Arial" w:hAnsi="Arial"/>
          <w:sz w:val="20"/>
          <w:szCs w:val="20"/>
          <w:color w:val="auto"/>
        </w:rPr>
        <w:t>Liens on the property of the Borrower or any of its Subsidiaries securing (i) the non-delinquent performance of bids, trade contracts (other than for borrowed money), leases, statutory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1" w:name="page62"/>
    <w:bookmarkEnd w:id="61"/>
    <w:p>
      <w:pPr>
        <w:ind w:right="20"/>
        <w:spacing w:after="0" w:line="240" w:lineRule="exact"/>
        <w:rPr>
          <w:sz w:val="20"/>
          <w:szCs w:val="20"/>
          <w:color w:val="auto"/>
        </w:rPr>
      </w:pPr>
      <w:r>
        <w:rPr>
          <w:rFonts w:ascii="Arial" w:cs="Arial" w:eastAsia="Arial" w:hAnsi="Arial"/>
          <w:sz w:val="20"/>
          <w:szCs w:val="20"/>
          <w:color w:val="auto"/>
        </w:rPr>
        <w:t>obligations, (ii) contingent obligations on surety and appeal bonds, and (iii) other non</w:t>
      </w:r>
      <w:r>
        <w:rPr>
          <w:rFonts w:ascii="MS PGothic" w:cs="MS PGothic" w:eastAsia="MS PGothic" w:hAnsi="MS PGothic"/>
          <w:sz w:val="20"/>
          <w:szCs w:val="20"/>
          <w:color w:val="auto"/>
        </w:rPr>
        <w:t>‑</w:t>
      </w:r>
      <w:r>
        <w:rPr>
          <w:rFonts w:ascii="Arial" w:cs="Arial" w:eastAsia="Arial" w:hAnsi="Arial"/>
          <w:sz w:val="20"/>
          <w:szCs w:val="20"/>
          <w:color w:val="auto"/>
        </w:rPr>
        <w:t>delinquent obligations of a like nature; in each case, incurred in the ordinary course of business;</w:t>
      </w:r>
    </w:p>
    <w:p>
      <w:pPr>
        <w:spacing w:after="0" w:line="196" w:lineRule="exact"/>
        <w:rPr>
          <w:sz w:val="20"/>
          <w:szCs w:val="20"/>
          <w:color w:val="auto"/>
        </w:rPr>
      </w:pPr>
    </w:p>
    <w:p>
      <w:pPr>
        <w:jc w:val="both"/>
        <w:ind w:firstLine="872"/>
        <w:spacing w:after="0" w:line="236" w:lineRule="exact"/>
        <w:tabs>
          <w:tab w:leader="none" w:pos="1742" w:val="left"/>
        </w:tabs>
        <w:numPr>
          <w:ilvl w:val="0"/>
          <w:numId w:val="70"/>
        </w:numPr>
        <w:rPr>
          <w:rFonts w:ascii="Arial" w:cs="Arial" w:eastAsia="Arial" w:hAnsi="Arial"/>
          <w:sz w:val="20"/>
          <w:szCs w:val="20"/>
          <w:color w:val="auto"/>
        </w:rPr>
      </w:pPr>
      <w:r>
        <w:rPr>
          <w:rFonts w:ascii="Arial" w:cs="Arial" w:eastAsia="Arial" w:hAnsi="Arial"/>
          <w:sz w:val="20"/>
          <w:szCs w:val="20"/>
          <w:color w:val="auto"/>
        </w:rPr>
        <w:t>easements, rights</w:t>
      </w:r>
      <w:r>
        <w:rPr>
          <w:rFonts w:ascii="MS PGothic" w:cs="MS PGothic" w:eastAsia="MS PGothic" w:hAnsi="MS PGothic"/>
          <w:sz w:val="20"/>
          <w:szCs w:val="20"/>
          <w:color w:val="auto"/>
        </w:rPr>
        <w:t>‑</w:t>
      </w:r>
      <w:r>
        <w:rPr>
          <w:rFonts w:ascii="Arial" w:cs="Arial" w:eastAsia="Arial" w:hAnsi="Arial"/>
          <w:sz w:val="20"/>
          <w:szCs w:val="20"/>
          <w:color w:val="auto"/>
        </w:rPr>
        <w:t>of</w:t>
      </w:r>
      <w:r>
        <w:rPr>
          <w:rFonts w:ascii="MS PGothic" w:cs="MS PGothic" w:eastAsia="MS PGothic" w:hAnsi="MS PGothic"/>
          <w:sz w:val="20"/>
          <w:szCs w:val="20"/>
          <w:color w:val="auto"/>
        </w:rPr>
        <w:t>‑</w:t>
      </w:r>
      <w:r>
        <w:rPr>
          <w:rFonts w:ascii="Arial" w:cs="Arial" w:eastAsia="Arial" w:hAnsi="Arial"/>
          <w:sz w:val="20"/>
          <w:szCs w:val="20"/>
          <w:color w:val="auto"/>
        </w:rPr>
        <w:t>way, restrictions and other similar encumbrances incurred in the ordinary course of business which, in the aggregate, are not substantial in amount, and which do not in any case materially detract from the value of the property subject thereto or interfere with the ordinary conduct of the businesses of the Borrower and its Subsidiaries;</w:t>
      </w:r>
    </w:p>
    <w:p>
      <w:pPr>
        <w:spacing w:after="0" w:line="197" w:lineRule="exact"/>
        <w:rPr>
          <w:rFonts w:ascii="Arial" w:cs="Arial" w:eastAsia="Arial" w:hAnsi="Arial"/>
          <w:sz w:val="20"/>
          <w:szCs w:val="20"/>
          <w:color w:val="auto"/>
        </w:rPr>
      </w:pPr>
    </w:p>
    <w:p>
      <w:pPr>
        <w:ind w:left="1760" w:hanging="888"/>
        <w:spacing w:after="0"/>
        <w:tabs>
          <w:tab w:leader="none" w:pos="17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Liens on property of a Person subject to an Acquisition existing at the time of such Acquisition;</w:t>
      </w:r>
    </w:p>
    <w:p>
      <w:pPr>
        <w:spacing w:after="0" w:line="215" w:lineRule="exact"/>
        <w:rPr>
          <w:rFonts w:ascii="Arial" w:cs="Arial" w:eastAsia="Arial" w:hAnsi="Arial"/>
          <w:sz w:val="20"/>
          <w:szCs w:val="20"/>
          <w:color w:val="auto"/>
        </w:rPr>
      </w:pPr>
    </w:p>
    <w:p>
      <w:pPr>
        <w:ind w:left="1700" w:hanging="828"/>
        <w:spacing w:after="0"/>
        <w:tabs>
          <w:tab w:leader="none" w:pos="1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Liens existing on the Closing Date on property of one or more Subsidiaries securing Indebtedness of such Subsidiaries;</w:t>
      </w:r>
    </w:p>
    <w:p>
      <w:pPr>
        <w:spacing w:after="0" w:line="238" w:lineRule="exact"/>
        <w:rPr>
          <w:rFonts w:ascii="Arial" w:cs="Arial" w:eastAsia="Arial" w:hAnsi="Arial"/>
          <w:sz w:val="18"/>
          <w:szCs w:val="18"/>
          <w:color w:val="auto"/>
        </w:rPr>
      </w:pPr>
    </w:p>
    <w:p>
      <w:pPr>
        <w:jc w:val="both"/>
        <w:ind w:firstLine="872"/>
        <w:spacing w:after="0" w:line="250" w:lineRule="auto"/>
        <w:tabs>
          <w:tab w:leader="none" w:pos="1698" w:val="left"/>
        </w:tabs>
        <w:numPr>
          <w:ilvl w:val="0"/>
          <w:numId w:val="70"/>
        </w:numPr>
        <w:rPr>
          <w:rFonts w:ascii="Arial" w:cs="Arial" w:eastAsia="Arial" w:hAnsi="Arial"/>
          <w:sz w:val="20"/>
          <w:szCs w:val="20"/>
          <w:color w:val="auto"/>
        </w:rPr>
      </w:pPr>
      <w:r>
        <w:rPr>
          <w:rFonts w:ascii="Arial" w:cs="Arial" w:eastAsia="Arial" w:hAnsi="Arial"/>
          <w:sz w:val="20"/>
          <w:szCs w:val="20"/>
          <w:color w:val="auto"/>
        </w:rPr>
        <w:t xml:space="preserve">Liens on Receivables, lease receivables and other obligations owing to the Borrower or any domestic Wholly-Owned Subsidiary to the extent such Receivables, lease receivables and other obligations have been sold under a Receivables Purchase Facility permitted under </w:t>
      </w:r>
      <w:r>
        <w:rPr>
          <w:rFonts w:ascii="Arial" w:cs="Arial" w:eastAsia="Arial" w:hAnsi="Arial"/>
          <w:sz w:val="20"/>
          <w:szCs w:val="20"/>
          <w:u w:val="single" w:color="auto"/>
          <w:color w:val="auto"/>
        </w:rPr>
        <w:t>Section 7.02(d)</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jc w:val="both"/>
        <w:ind w:firstLine="872"/>
        <w:spacing w:after="0" w:line="244" w:lineRule="auto"/>
        <w:tabs>
          <w:tab w:leader="none" w:pos="1742" w:val="left"/>
        </w:tabs>
        <w:numPr>
          <w:ilvl w:val="0"/>
          <w:numId w:val="70"/>
        </w:numPr>
        <w:rPr>
          <w:rFonts w:ascii="Arial" w:cs="Arial" w:eastAsia="Arial" w:hAnsi="Arial"/>
          <w:sz w:val="20"/>
          <w:szCs w:val="20"/>
          <w:color w:val="auto"/>
        </w:rPr>
      </w:pPr>
      <w:r>
        <w:rPr>
          <w:rFonts w:ascii="Arial" w:cs="Arial" w:eastAsia="Arial" w:hAnsi="Arial"/>
          <w:sz w:val="20"/>
          <w:szCs w:val="20"/>
          <w:color w:val="auto"/>
        </w:rPr>
        <w:t xml:space="preserve">Liens arising solely by virtue of any statutory or common law provision relating to banker’s liens, rights of set-off or similar rights and remedies as to deposit accounts or other funds maintained with a creditor depository institution;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deposit account is not a dedicated cash collateral account and is not subject to restrictions against access by the Borrower in excess of those set forth by regulations promulgated by the FRB, and (ii) such deposit account is not intended by the Borrower or any Subsidiary to provide collateral to the depository institution; and</w:t>
      </w:r>
    </w:p>
    <w:p>
      <w:pPr>
        <w:spacing w:after="0" w:line="194" w:lineRule="exact"/>
        <w:rPr>
          <w:rFonts w:ascii="Arial" w:cs="Arial" w:eastAsia="Arial" w:hAnsi="Arial"/>
          <w:sz w:val="20"/>
          <w:szCs w:val="20"/>
          <w:color w:val="auto"/>
        </w:rPr>
      </w:pPr>
    </w:p>
    <w:p>
      <w:pPr>
        <w:jc w:val="both"/>
        <w:ind w:firstLine="872"/>
        <w:spacing w:after="0" w:line="263" w:lineRule="auto"/>
        <w:tabs>
          <w:tab w:leader="none" w:pos="1698" w:val="left"/>
        </w:tabs>
        <w:numPr>
          <w:ilvl w:val="0"/>
          <w:numId w:val="70"/>
        </w:numPr>
        <w:rPr>
          <w:rFonts w:ascii="Arial" w:cs="Arial" w:eastAsia="Arial" w:hAnsi="Arial"/>
          <w:sz w:val="19"/>
          <w:szCs w:val="19"/>
          <w:color w:val="auto"/>
        </w:rPr>
      </w:pPr>
      <w:r>
        <w:rPr>
          <w:rFonts w:ascii="Arial" w:cs="Arial" w:eastAsia="Arial" w:hAnsi="Arial"/>
          <w:sz w:val="19"/>
          <w:szCs w:val="19"/>
          <w:color w:val="auto"/>
        </w:rPr>
        <w:t xml:space="preserve">Liens not otherwise permitted hereunder on any property securing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of Indebtedness so secured together with Indebtedness permitted to be secured pursuant to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above shall not exceed in the aggregate at any time outstanding 10% of the consolidated total tangible assets (balance sheet total assets less goodwill and intangibles) of the Borrower and its Subsidiaries determined as of the end of the most recently ended fiscal quarter of the Borrower.</w:t>
      </w:r>
    </w:p>
    <w:p>
      <w:pPr>
        <w:spacing w:after="0" w:line="170"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b w:val="1"/>
          <w:bCs w:val="1"/>
          <w:color w:val="auto"/>
        </w:rPr>
        <w:t>7.02 Disposition of Assets</w:t>
      </w:r>
      <w:r>
        <w:rPr>
          <w:rFonts w:ascii="Arial" w:cs="Arial" w:eastAsia="Arial" w:hAnsi="Arial"/>
          <w:sz w:val="19"/>
          <w:szCs w:val="19"/>
          <w:color w:val="auto"/>
        </w:rPr>
        <w:t>. The Borrower shall not, nor shall it suffer or permit any Subsidiary to, directly or indirectly,</w:t>
      </w:r>
      <w:r>
        <w:rPr>
          <w:rFonts w:ascii="Arial" w:cs="Arial" w:eastAsia="Arial" w:hAnsi="Arial"/>
          <w:sz w:val="19"/>
          <w:szCs w:val="19"/>
          <w:b w:val="1"/>
          <w:bCs w:val="1"/>
          <w:color w:val="auto"/>
        </w:rPr>
        <w:t xml:space="preserve"> </w:t>
      </w:r>
      <w:r>
        <w:rPr>
          <w:rFonts w:ascii="Arial" w:cs="Arial" w:eastAsia="Arial" w:hAnsi="Arial"/>
          <w:sz w:val="19"/>
          <w:szCs w:val="19"/>
          <w:color w:val="auto"/>
        </w:rPr>
        <w:t>sell, assign, lease, convey, transfer or otherwise dispose of (whether in one or a series of transactions) any property (including accounts and notes receivable, with or without recourse) or enter into any agreement to do any of the foregoing, except:</w:t>
      </w:r>
    </w:p>
    <w:p>
      <w:pPr>
        <w:spacing w:after="0" w:line="168" w:lineRule="exact"/>
        <w:rPr>
          <w:sz w:val="20"/>
          <w:szCs w:val="20"/>
          <w:color w:val="auto"/>
        </w:rPr>
      </w:pPr>
    </w:p>
    <w:p>
      <w:pPr>
        <w:ind w:left="1740" w:hanging="868"/>
        <w:spacing w:after="0" w:line="230" w:lineRule="exact"/>
        <w:tabs>
          <w:tab w:leader="none" w:pos="1740" w:val="left"/>
        </w:tabs>
        <w:numPr>
          <w:ilvl w:val="0"/>
          <w:numId w:val="71"/>
        </w:numPr>
        <w:rPr>
          <w:rFonts w:ascii="Arial" w:cs="Arial" w:eastAsia="Arial" w:hAnsi="Arial"/>
          <w:sz w:val="20"/>
          <w:szCs w:val="20"/>
          <w:color w:val="auto"/>
        </w:rPr>
      </w:pPr>
      <w:r>
        <w:rPr>
          <w:rFonts w:ascii="Arial" w:cs="Arial" w:eastAsia="Arial" w:hAnsi="Arial"/>
          <w:sz w:val="20"/>
          <w:szCs w:val="20"/>
          <w:color w:val="auto"/>
        </w:rPr>
        <w:t>dispositions of inventory, or used, worn</w:t>
      </w:r>
      <w:r>
        <w:rPr>
          <w:rFonts w:ascii="MS PGothic" w:cs="MS PGothic" w:eastAsia="MS PGothic" w:hAnsi="MS PGothic"/>
          <w:sz w:val="20"/>
          <w:szCs w:val="20"/>
          <w:color w:val="auto"/>
        </w:rPr>
        <w:t>‑</w:t>
      </w:r>
      <w:r>
        <w:rPr>
          <w:rFonts w:ascii="Arial" w:cs="Arial" w:eastAsia="Arial" w:hAnsi="Arial"/>
          <w:sz w:val="20"/>
          <w:szCs w:val="20"/>
          <w:color w:val="auto"/>
        </w:rPr>
        <w:t>out or surplus property, all in the ordinary course of business;</w:t>
      </w:r>
    </w:p>
    <w:p>
      <w:pPr>
        <w:spacing w:after="0" w:line="215" w:lineRule="exact"/>
        <w:rPr>
          <w:rFonts w:ascii="Arial" w:cs="Arial" w:eastAsia="Arial" w:hAnsi="Arial"/>
          <w:sz w:val="20"/>
          <w:szCs w:val="20"/>
          <w:color w:val="auto"/>
        </w:rPr>
      </w:pPr>
    </w:p>
    <w:p>
      <w:pPr>
        <w:ind w:firstLine="872"/>
        <w:spacing w:after="0" w:line="316" w:lineRule="auto"/>
        <w:tabs>
          <w:tab w:leader="none" w:pos="1742"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sale of equipment to the extent that such equipment is exchanged for credit against the purchase price of similar replacement equipment, or the proceeds of such sale are reasonably promptly applied to the purchase price of such replacement equipment;</w:t>
      </w:r>
    </w:p>
    <w:p>
      <w:pPr>
        <w:spacing w:after="0" w:line="129" w:lineRule="exact"/>
        <w:rPr>
          <w:rFonts w:ascii="Arial" w:cs="Arial" w:eastAsia="Arial" w:hAnsi="Arial"/>
          <w:sz w:val="18"/>
          <w:szCs w:val="18"/>
          <w:color w:val="auto"/>
        </w:rPr>
      </w:pPr>
    </w:p>
    <w:p>
      <w:pPr>
        <w:ind w:left="1740" w:hanging="868"/>
        <w:spacing w:after="0"/>
        <w:tabs>
          <w:tab w:leader="none" w:pos="1740" w:val="left"/>
        </w:tabs>
        <w:numPr>
          <w:ilvl w:val="0"/>
          <w:numId w:val="71"/>
        </w:numPr>
        <w:rPr>
          <w:rFonts w:ascii="Arial" w:cs="Arial" w:eastAsia="Arial" w:hAnsi="Arial"/>
          <w:sz w:val="20"/>
          <w:szCs w:val="20"/>
          <w:color w:val="auto"/>
        </w:rPr>
      </w:pPr>
      <w:r>
        <w:rPr>
          <w:rFonts w:ascii="Arial" w:cs="Arial" w:eastAsia="Arial" w:hAnsi="Arial"/>
          <w:sz w:val="20"/>
          <w:szCs w:val="20"/>
          <w:color w:val="auto"/>
        </w:rPr>
        <w:t>dispositions of Receivables of the Borrower or any Subsidiaries to Red Iron;</w:t>
      </w:r>
    </w:p>
    <w:p>
      <w:pPr>
        <w:spacing w:after="0" w:line="215" w:lineRule="exact"/>
        <w:rPr>
          <w:rFonts w:ascii="Arial" w:cs="Arial" w:eastAsia="Arial" w:hAnsi="Arial"/>
          <w:sz w:val="20"/>
          <w:szCs w:val="20"/>
          <w:color w:val="auto"/>
        </w:rPr>
      </w:pPr>
    </w:p>
    <w:p>
      <w:pPr>
        <w:jc w:val="both"/>
        <w:ind w:firstLine="872"/>
        <w:spacing w:after="0" w:line="246" w:lineRule="auto"/>
        <w:tabs>
          <w:tab w:leader="none" w:pos="1742" w:val="left"/>
        </w:tabs>
        <w:numPr>
          <w:ilvl w:val="0"/>
          <w:numId w:val="71"/>
        </w:numPr>
        <w:rPr>
          <w:rFonts w:ascii="Arial" w:cs="Arial" w:eastAsia="Arial" w:hAnsi="Arial"/>
          <w:sz w:val="20"/>
          <w:szCs w:val="20"/>
          <w:color w:val="auto"/>
        </w:rPr>
      </w:pPr>
      <w:r>
        <w:rPr>
          <w:rFonts w:ascii="Arial" w:cs="Arial" w:eastAsia="Arial" w:hAnsi="Arial"/>
          <w:sz w:val="20"/>
          <w:szCs w:val="20"/>
          <w:color w:val="auto"/>
        </w:rPr>
        <w:t xml:space="preserve">dispositions by any Originator of Receivables pursuant to Receivables Purchase Facilities or other disposition of Receivables at any time of the Borrower or its Subsidiaries, whether pursuant to a securitization facility, a factoring arrangement or other manner of monetization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outstanding unpaid amount of all such Receivables so sold in the aggregate shall not at any time exceed $200,000,000;</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2" w:name="page63"/>
    <w:bookmarkEnd w:id="62"/>
    <w:p>
      <w:pPr>
        <w:ind w:left="1740" w:hanging="868"/>
        <w:spacing w:after="0"/>
        <w:tabs>
          <w:tab w:leader="none" w:pos="17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dispositions (i) made in accordance with the Borrower’s investment policy, (ii) made in connection with Acquisitions,</w:t>
      </w:r>
    </w:p>
    <w:p>
      <w:pPr>
        <w:spacing w:after="0" w:line="38" w:lineRule="exact"/>
        <w:rPr>
          <w:rFonts w:ascii="Arial" w:cs="Arial" w:eastAsia="Arial" w:hAnsi="Arial"/>
          <w:sz w:val="18"/>
          <w:szCs w:val="18"/>
          <w:color w:val="auto"/>
        </w:rPr>
      </w:pPr>
    </w:p>
    <w:p>
      <w:pPr>
        <w:jc w:val="both"/>
        <w:ind w:right="20" w:firstLine="8"/>
        <w:spacing w:after="0" w:line="241" w:lineRule="auto"/>
        <w:tabs>
          <w:tab w:leader="none" w:pos="405" w:val="left"/>
        </w:tabs>
        <w:numPr>
          <w:ilvl w:val="0"/>
          <w:numId w:val="73"/>
        </w:numPr>
        <w:rPr>
          <w:rFonts w:ascii="Arial" w:cs="Arial" w:eastAsia="Arial" w:hAnsi="Arial"/>
          <w:sz w:val="20"/>
          <w:szCs w:val="20"/>
          <w:color w:val="auto"/>
        </w:rPr>
      </w:pPr>
      <w:r>
        <w:rPr>
          <w:rFonts w:ascii="Arial" w:cs="Arial" w:eastAsia="Arial" w:hAnsi="Arial"/>
          <w:sz w:val="20"/>
          <w:szCs w:val="20"/>
          <w:color w:val="auto"/>
        </w:rPr>
        <w:t xml:space="preserve">dispositions of interests in Joint Ventures; (iv) dispositions in connections with Swap Contracts, (v) permitted dispositions of Subsidiaries, (vi) dispositions in connection with purchases by the Borrower of shares of its capital stock and associated rights to purchase shares of the Borrower’s preferred stock pursuant to the Borrower’s shareholder rights plan to the extent permitted by </w:t>
      </w:r>
      <w:r>
        <w:rPr>
          <w:rFonts w:ascii="Arial" w:cs="Arial" w:eastAsia="Arial" w:hAnsi="Arial"/>
          <w:sz w:val="20"/>
          <w:szCs w:val="20"/>
          <w:u w:val="single" w:color="auto"/>
          <w:color w:val="auto"/>
        </w:rPr>
        <w:t>Sections 6.11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7.04(c)</w:t>
      </w:r>
      <w:r>
        <w:rPr>
          <w:rFonts w:ascii="Arial" w:cs="Arial" w:eastAsia="Arial" w:hAnsi="Arial"/>
          <w:sz w:val="20"/>
          <w:szCs w:val="20"/>
          <w:color w:val="auto"/>
        </w:rPr>
        <w:t>, and (vii) disposition of interests in Red Iron;</w:t>
      </w:r>
    </w:p>
    <w:p>
      <w:pPr>
        <w:spacing w:after="0" w:line="194" w:lineRule="exact"/>
        <w:rPr>
          <w:rFonts w:ascii="Arial" w:cs="Arial" w:eastAsia="Arial" w:hAnsi="Arial"/>
          <w:sz w:val="20"/>
          <w:szCs w:val="20"/>
          <w:color w:val="auto"/>
        </w:rPr>
      </w:pPr>
    </w:p>
    <w:p>
      <w:pPr>
        <w:jc w:val="both"/>
        <w:ind w:firstLine="872"/>
        <w:spacing w:after="0" w:line="246" w:lineRule="auto"/>
        <w:tabs>
          <w:tab w:leader="none" w:pos="1709" w:val="left"/>
        </w:tabs>
        <w:numPr>
          <w:ilvl w:val="1"/>
          <w:numId w:val="73"/>
        </w:numPr>
        <w:rPr>
          <w:rFonts w:ascii="Arial" w:cs="Arial" w:eastAsia="Arial" w:hAnsi="Arial"/>
          <w:sz w:val="20"/>
          <w:szCs w:val="20"/>
          <w:color w:val="auto"/>
        </w:rPr>
      </w:pPr>
      <w:r>
        <w:rPr>
          <w:rFonts w:ascii="Arial" w:cs="Arial" w:eastAsia="Arial" w:hAnsi="Arial"/>
          <w:sz w:val="20"/>
          <w:szCs w:val="20"/>
          <w:color w:val="auto"/>
        </w:rPr>
        <w:t xml:space="preserve">dispositions not otherwise permitted hereunder; </w:t>
      </w:r>
      <w:r>
        <w:rPr>
          <w:rFonts w:ascii="Arial" w:cs="Arial" w:eastAsia="Arial" w:hAnsi="Arial"/>
          <w:sz w:val="20"/>
          <w:szCs w:val="20"/>
          <w:u w:val="single" w:color="auto"/>
          <w:color w:val="auto"/>
        </w:rPr>
        <w:t>provided</w:t>
      </w:r>
      <w:r>
        <w:rPr>
          <w:rFonts w:ascii="Arial" w:cs="Arial" w:eastAsia="Arial" w:hAnsi="Arial"/>
          <w:sz w:val="20"/>
          <w:szCs w:val="20"/>
          <w:color w:val="auto"/>
        </w:rPr>
        <w:t>, that (i) at the time of any such disposition, no Event of Default shall exist or shall result from such disposition and (ii) the aggregate value of all assets so sold by the Borrower and its Subsidiaries shall not exceed in any fiscal year 15% of the consolidated total assets of the Borrower and its Subsidiaries determined as of the end of the most recently ended fiscal quarter of the Borrower;</w:t>
      </w:r>
    </w:p>
    <w:p>
      <w:pPr>
        <w:spacing w:after="0" w:line="191" w:lineRule="exact"/>
        <w:rPr>
          <w:rFonts w:ascii="Arial" w:cs="Arial" w:eastAsia="Arial" w:hAnsi="Arial"/>
          <w:sz w:val="20"/>
          <w:szCs w:val="20"/>
          <w:color w:val="auto"/>
        </w:rPr>
      </w:pPr>
    </w:p>
    <w:p>
      <w:pPr>
        <w:jc w:val="both"/>
        <w:ind w:firstLine="872"/>
        <w:spacing w:after="0" w:line="250" w:lineRule="auto"/>
        <w:tabs>
          <w:tab w:leader="none" w:pos="1742" w:val="left"/>
        </w:tabs>
        <w:numPr>
          <w:ilvl w:val="1"/>
          <w:numId w:val="73"/>
        </w:numPr>
        <w:rPr>
          <w:rFonts w:ascii="Arial" w:cs="Arial" w:eastAsia="Arial" w:hAnsi="Arial"/>
          <w:sz w:val="20"/>
          <w:szCs w:val="20"/>
          <w:color w:val="auto"/>
        </w:rPr>
      </w:pPr>
      <w:r>
        <w:rPr>
          <w:rFonts w:ascii="Arial" w:cs="Arial" w:eastAsia="Arial" w:hAnsi="Arial"/>
          <w:sz w:val="20"/>
          <w:szCs w:val="20"/>
          <w:color w:val="auto"/>
        </w:rPr>
        <w:t>the Borrower or any Subsidiary may sell, assign, lease, convey, transfer or otherwise dispose of assets to the Borrower or a Wholly-Owned Subsidiary or in connection with the discontinuance of any line of business if the discontinuance of such line of business will not result in a Material Adverse Effect;</w:t>
      </w:r>
    </w:p>
    <w:p>
      <w:pPr>
        <w:spacing w:after="0" w:line="185" w:lineRule="exact"/>
        <w:rPr>
          <w:rFonts w:ascii="Arial" w:cs="Arial" w:eastAsia="Arial" w:hAnsi="Arial"/>
          <w:sz w:val="20"/>
          <w:szCs w:val="20"/>
          <w:color w:val="auto"/>
        </w:rPr>
      </w:pPr>
    </w:p>
    <w:p>
      <w:pPr>
        <w:jc w:val="both"/>
        <w:ind w:firstLine="872"/>
        <w:spacing w:after="0" w:line="256" w:lineRule="auto"/>
        <w:tabs>
          <w:tab w:leader="none" w:pos="1742" w:val="left"/>
        </w:tabs>
        <w:numPr>
          <w:ilvl w:val="1"/>
          <w:numId w:val="73"/>
        </w:numPr>
        <w:rPr>
          <w:rFonts w:ascii="Arial" w:cs="Arial" w:eastAsia="Arial" w:hAnsi="Arial"/>
          <w:sz w:val="19"/>
          <w:szCs w:val="19"/>
          <w:color w:val="auto"/>
        </w:rPr>
      </w:pPr>
      <w:r>
        <w:rPr>
          <w:rFonts w:ascii="Arial" w:cs="Arial" w:eastAsia="Arial" w:hAnsi="Arial"/>
          <w:sz w:val="19"/>
          <w:szCs w:val="19"/>
          <w:color w:val="auto"/>
        </w:rPr>
        <w:t>dispositions or transfers of cash or other property including capital stock (i) in payment for goods or services in the ordinary course of business to the extent not otherwise prohibited hereunder and (ii) in connection with investments, including (A) investments in accordance with the Borrower’s investment policy as adopted from time to time, (B) extensions of credit in the nature of accounts receivable or notes receivable arising from the sale or lease of goods or services in the ordinary course of business or extensions of credit by the Borrower to any of the Borrower’s Wholly-Owned Subsidiaries or by any of the Borrower’s Wholly-Owned Subsidiaries to the Borrower or to another of the Borrower’s Wholly-Owned Subsidiaries or extensions of credit made in the ordinary course of its business consistent with past practices to distributors or dealers of the Borrower’s and its Subsidiaries’ products, (C) investments incurred in order to consummate Acquisitions, (D) investments in Joint Ventures, (E) investments under Swap Contracts, (F) investments made in Subsidiaries, and (G) investments in Red Iron;</w:t>
      </w:r>
    </w:p>
    <w:p>
      <w:pPr>
        <w:spacing w:after="0" w:line="184" w:lineRule="exact"/>
        <w:rPr>
          <w:rFonts w:ascii="Arial" w:cs="Arial" w:eastAsia="Arial" w:hAnsi="Arial"/>
          <w:sz w:val="19"/>
          <w:szCs w:val="19"/>
          <w:color w:val="auto"/>
        </w:rPr>
      </w:pPr>
    </w:p>
    <w:p>
      <w:pPr>
        <w:ind w:left="1700" w:hanging="828"/>
        <w:spacing w:after="0"/>
        <w:tabs>
          <w:tab w:leader="none" w:pos="1700" w:val="left"/>
        </w:tabs>
        <w:numPr>
          <w:ilvl w:val="1"/>
          <w:numId w:val="73"/>
        </w:numPr>
        <w:rPr>
          <w:rFonts w:ascii="Arial" w:cs="Arial" w:eastAsia="Arial" w:hAnsi="Arial"/>
          <w:sz w:val="20"/>
          <w:szCs w:val="20"/>
          <w:color w:val="auto"/>
        </w:rPr>
      </w:pPr>
      <w:r>
        <w:rPr>
          <w:rFonts w:ascii="Arial" w:cs="Arial" w:eastAsia="Arial" w:hAnsi="Arial"/>
          <w:sz w:val="20"/>
          <w:szCs w:val="20"/>
          <w:color w:val="auto"/>
        </w:rPr>
        <w:t>dispositions resulting from any casualty or condemnation;</w:t>
      </w:r>
    </w:p>
    <w:p>
      <w:pPr>
        <w:spacing w:after="0" w:line="215" w:lineRule="exact"/>
        <w:rPr>
          <w:rFonts w:ascii="Arial" w:cs="Arial" w:eastAsia="Arial" w:hAnsi="Arial"/>
          <w:sz w:val="20"/>
          <w:szCs w:val="20"/>
          <w:color w:val="auto"/>
        </w:rPr>
      </w:pPr>
    </w:p>
    <w:p>
      <w:pPr>
        <w:ind w:left="1700" w:hanging="828"/>
        <w:spacing w:after="0"/>
        <w:tabs>
          <w:tab w:leader="none" w:pos="1700" w:val="left"/>
        </w:tabs>
        <w:numPr>
          <w:ilvl w:val="1"/>
          <w:numId w:val="73"/>
        </w:numPr>
        <w:rPr>
          <w:rFonts w:ascii="Arial" w:cs="Arial" w:eastAsia="Arial" w:hAnsi="Arial"/>
          <w:sz w:val="20"/>
          <w:szCs w:val="20"/>
          <w:color w:val="auto"/>
        </w:rPr>
      </w:pPr>
      <w:r>
        <w:rPr>
          <w:rFonts w:ascii="Arial" w:cs="Arial" w:eastAsia="Arial" w:hAnsi="Arial"/>
          <w:sz w:val="20"/>
          <w:szCs w:val="20"/>
          <w:color w:val="auto"/>
        </w:rPr>
        <w:t xml:space="preserve">dispositions in connection with Restricted Payments permitted under </w:t>
      </w:r>
      <w:r>
        <w:rPr>
          <w:rFonts w:ascii="Arial" w:cs="Arial" w:eastAsia="Arial" w:hAnsi="Arial"/>
          <w:sz w:val="20"/>
          <w:szCs w:val="20"/>
          <w:u w:val="single" w:color="auto"/>
          <w:color w:val="auto"/>
        </w:rPr>
        <w:t>Section 7.04</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760" w:hanging="888"/>
        <w:spacing w:after="0"/>
        <w:tabs>
          <w:tab w:leader="none" w:pos="1760" w:val="left"/>
        </w:tabs>
        <w:numPr>
          <w:ilvl w:val="1"/>
          <w:numId w:val="73"/>
        </w:numPr>
        <w:rPr>
          <w:rFonts w:ascii="Arial" w:cs="Arial" w:eastAsia="Arial" w:hAnsi="Arial"/>
          <w:sz w:val="20"/>
          <w:szCs w:val="20"/>
          <w:color w:val="auto"/>
        </w:rPr>
      </w:pPr>
      <w:r>
        <w:rPr>
          <w:rFonts w:ascii="Arial" w:cs="Arial" w:eastAsia="Arial" w:hAnsi="Arial"/>
          <w:sz w:val="20"/>
          <w:szCs w:val="20"/>
          <w:color w:val="auto"/>
        </w:rPr>
        <w:t>dispositions in connection with the granting of Permitted Liens; and</w:t>
      </w:r>
    </w:p>
    <w:p>
      <w:pPr>
        <w:spacing w:after="0" w:line="215" w:lineRule="exact"/>
        <w:rPr>
          <w:rFonts w:ascii="Arial" w:cs="Arial" w:eastAsia="Arial" w:hAnsi="Arial"/>
          <w:sz w:val="20"/>
          <w:szCs w:val="20"/>
          <w:color w:val="auto"/>
        </w:rPr>
      </w:pPr>
    </w:p>
    <w:p>
      <w:pPr>
        <w:ind w:left="1700" w:hanging="828"/>
        <w:spacing w:after="0"/>
        <w:tabs>
          <w:tab w:leader="none" w:pos="1700" w:val="left"/>
        </w:tabs>
        <w:numPr>
          <w:ilvl w:val="1"/>
          <w:numId w:val="73"/>
        </w:numPr>
        <w:rPr>
          <w:rFonts w:ascii="Arial" w:cs="Arial" w:eastAsia="Arial" w:hAnsi="Arial"/>
          <w:sz w:val="19"/>
          <w:szCs w:val="19"/>
          <w:color w:val="auto"/>
        </w:rPr>
      </w:pPr>
      <w:r>
        <w:rPr>
          <w:rFonts w:ascii="Arial" w:cs="Arial" w:eastAsia="Arial" w:hAnsi="Arial"/>
          <w:sz w:val="19"/>
          <w:szCs w:val="19"/>
          <w:color w:val="auto"/>
        </w:rPr>
        <w:t>dispositions in connection with the payment of Contingent Obligations or Indebtedness not otherwise prohibited</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hereunder.</w:t>
      </w:r>
    </w:p>
    <w:p>
      <w:pPr>
        <w:spacing w:after="0" w:line="194" w:lineRule="exact"/>
        <w:rPr>
          <w:sz w:val="20"/>
          <w:szCs w:val="20"/>
          <w:color w:val="auto"/>
        </w:rPr>
      </w:pPr>
    </w:p>
    <w:p>
      <w:pPr>
        <w:jc w:val="both"/>
        <w:ind w:right="20" w:firstLine="864"/>
        <w:spacing w:after="0" w:line="294" w:lineRule="auto"/>
        <w:rPr>
          <w:sz w:val="20"/>
          <w:szCs w:val="20"/>
          <w:color w:val="auto"/>
        </w:rPr>
      </w:pPr>
      <w:r>
        <w:rPr>
          <w:rFonts w:ascii="Arial" w:cs="Arial" w:eastAsia="Arial" w:hAnsi="Arial"/>
          <w:sz w:val="18"/>
          <w:szCs w:val="18"/>
          <w:b w:val="1"/>
          <w:bCs w:val="1"/>
          <w:color w:val="auto"/>
        </w:rPr>
        <w:t xml:space="preserve">7.03 Consolidations and Mergers. </w:t>
      </w:r>
      <w:r>
        <w:rPr>
          <w:rFonts w:ascii="Arial" w:cs="Arial" w:eastAsia="Arial" w:hAnsi="Arial"/>
          <w:sz w:val="18"/>
          <w:szCs w:val="18"/>
          <w:color w:val="auto"/>
        </w:rPr>
        <w:t>The Borrower shall not, nor shall it permit any Subsidiary to, merge, consolidate with</w:t>
      </w:r>
      <w:r>
        <w:rPr>
          <w:rFonts w:ascii="Arial" w:cs="Arial" w:eastAsia="Arial" w:hAnsi="Arial"/>
          <w:sz w:val="18"/>
          <w:szCs w:val="18"/>
          <w:b w:val="1"/>
          <w:bCs w:val="1"/>
          <w:color w:val="auto"/>
        </w:rPr>
        <w:t xml:space="preserve"> </w:t>
      </w:r>
      <w:r>
        <w:rPr>
          <w:rFonts w:ascii="Arial" w:cs="Arial" w:eastAsia="Arial" w:hAnsi="Arial"/>
          <w:sz w:val="18"/>
          <w:szCs w:val="18"/>
          <w:color w:val="auto"/>
        </w:rPr>
        <w:t>or into, or convey, transfer, lease or otherwise dispose of (whether in one transaction or in a series of transactions) all or substantially all of its assets (whether now owned or hereafter acquired) to or in favor of any Person (including, in each case, pursuant to a Division), except:</w:t>
      </w:r>
    </w:p>
    <w:p>
      <w:pPr>
        <w:spacing w:after="0" w:line="150" w:lineRule="exact"/>
        <w:rPr>
          <w:sz w:val="20"/>
          <w:szCs w:val="20"/>
          <w:color w:val="auto"/>
        </w:rPr>
      </w:pPr>
    </w:p>
    <w:p>
      <w:pPr>
        <w:ind w:firstLine="872"/>
        <w:spacing w:after="0" w:line="287" w:lineRule="auto"/>
        <w:tabs>
          <w:tab w:leader="none" w:pos="1731"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any Subsidiary may merge with the Borrower, or with any one or more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transaction shall be between a Subsidiary and a Wholly-Owned Subsidiary, the surviving Person shall be a Wholly-Owned Subsidiary;</w:t>
      </w:r>
    </w:p>
    <w:p>
      <w:pPr>
        <w:spacing w:after="0" w:line="152" w:lineRule="exact"/>
        <w:rPr>
          <w:rFonts w:ascii="Arial" w:cs="Arial" w:eastAsia="Arial" w:hAnsi="Arial"/>
          <w:sz w:val="19"/>
          <w:szCs w:val="19"/>
          <w:color w:val="auto"/>
        </w:rPr>
      </w:pPr>
    </w:p>
    <w:p>
      <w:pPr>
        <w:ind w:firstLine="872"/>
        <w:spacing w:after="0" w:line="260" w:lineRule="auto"/>
        <w:tabs>
          <w:tab w:leader="none" w:pos="1742" w:val="left"/>
        </w:tabs>
        <w:numPr>
          <w:ilvl w:val="0"/>
          <w:numId w:val="74"/>
        </w:numPr>
        <w:rPr>
          <w:rFonts w:ascii="Arial" w:cs="Arial" w:eastAsia="Arial" w:hAnsi="Arial"/>
          <w:sz w:val="20"/>
          <w:szCs w:val="20"/>
          <w:color w:val="auto"/>
        </w:rPr>
      </w:pPr>
      <w:r>
        <w:rPr>
          <w:rFonts w:ascii="Arial" w:cs="Arial" w:eastAsia="Arial" w:hAnsi="Arial"/>
          <w:sz w:val="20"/>
          <w:szCs w:val="20"/>
          <w:color w:val="auto"/>
        </w:rPr>
        <w:t>any Subsidiary may sell all or substantially all of its assets (upon voluntary liquidation or otherwise), to the Borrower or a Wholly-Owned Subsidiary; and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3" w:name="page64"/>
    <w:bookmarkEnd w:id="63"/>
    <w:p>
      <w:pPr>
        <w:ind w:left="1740" w:hanging="868"/>
        <w:spacing w:after="0"/>
        <w:tabs>
          <w:tab w:leader="none" w:pos="1740" w:val="left"/>
        </w:tabs>
        <w:numPr>
          <w:ilvl w:val="0"/>
          <w:numId w:val="75"/>
        </w:numPr>
        <w:rPr>
          <w:rFonts w:ascii="Arial" w:cs="Arial" w:eastAsia="Arial" w:hAnsi="Arial"/>
          <w:sz w:val="20"/>
          <w:szCs w:val="20"/>
          <w:color w:val="auto"/>
        </w:rPr>
      </w:pPr>
      <w:r>
        <w:rPr>
          <w:rFonts w:ascii="Arial" w:cs="Arial" w:eastAsia="Arial" w:hAnsi="Arial"/>
          <w:sz w:val="20"/>
          <w:szCs w:val="20"/>
          <w:color w:val="auto"/>
        </w:rPr>
        <w:t xml:space="preserve">those transactions otherwise permitted under </w:t>
      </w:r>
      <w:r>
        <w:rPr>
          <w:rFonts w:ascii="Arial" w:cs="Arial" w:eastAsia="Arial" w:hAnsi="Arial"/>
          <w:sz w:val="20"/>
          <w:szCs w:val="20"/>
          <w:u w:val="single" w:color="auto"/>
          <w:color w:val="auto"/>
        </w:rPr>
        <w:t>Section 7.02</w:t>
      </w:r>
      <w:r>
        <w:rPr>
          <w:rFonts w:ascii="Arial" w:cs="Arial" w:eastAsia="Arial" w:hAnsi="Arial"/>
          <w:sz w:val="20"/>
          <w:szCs w:val="20"/>
          <w:color w:val="auto"/>
        </w:rPr>
        <w:t>; and</w:t>
      </w:r>
    </w:p>
    <w:p>
      <w:pPr>
        <w:spacing w:after="0" w:line="215" w:lineRule="exact"/>
        <w:rPr>
          <w:rFonts w:ascii="Arial" w:cs="Arial" w:eastAsia="Arial" w:hAnsi="Arial"/>
          <w:sz w:val="20"/>
          <w:szCs w:val="20"/>
          <w:color w:val="auto"/>
        </w:rPr>
      </w:pPr>
    </w:p>
    <w:p>
      <w:pPr>
        <w:ind w:left="1760" w:hanging="888"/>
        <w:spacing w:after="0"/>
        <w:tabs>
          <w:tab w:leader="none" w:pos="1760" w:val="left"/>
        </w:tabs>
        <w:numPr>
          <w:ilvl w:val="0"/>
          <w:numId w:val="75"/>
        </w:numPr>
        <w:rPr>
          <w:rFonts w:ascii="Arial" w:cs="Arial" w:eastAsia="Arial" w:hAnsi="Arial"/>
          <w:sz w:val="20"/>
          <w:szCs w:val="20"/>
          <w:color w:val="auto"/>
        </w:rPr>
      </w:pPr>
      <w:r>
        <w:rPr>
          <w:rFonts w:ascii="Arial" w:cs="Arial" w:eastAsia="Arial" w:hAnsi="Arial"/>
          <w:sz w:val="20"/>
          <w:szCs w:val="20"/>
          <w:color w:val="auto"/>
        </w:rPr>
        <w:t>transactions in order to consummate Acquisitions.</w:t>
      </w:r>
    </w:p>
    <w:p>
      <w:pPr>
        <w:spacing w:after="0" w:line="210"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9"/>
          <w:szCs w:val="19"/>
          <w:b w:val="1"/>
          <w:bCs w:val="1"/>
          <w:color w:val="auto"/>
        </w:rPr>
        <w:t xml:space="preserve">7.04 Restricted Payments. </w:t>
      </w:r>
      <w:r>
        <w:rPr>
          <w:rFonts w:ascii="Arial" w:cs="Arial" w:eastAsia="Arial" w:hAnsi="Arial"/>
          <w:sz w:val="19"/>
          <w:szCs w:val="19"/>
          <w:color w:val="auto"/>
        </w:rPr>
        <w:t>The Borrower shall not, nor shall it suffer or permit any Material Subsidiary to, declare or</w:t>
      </w:r>
      <w:r>
        <w:rPr>
          <w:rFonts w:ascii="Arial" w:cs="Arial" w:eastAsia="Arial" w:hAnsi="Arial"/>
          <w:sz w:val="19"/>
          <w:szCs w:val="19"/>
          <w:b w:val="1"/>
          <w:bCs w:val="1"/>
          <w:color w:val="auto"/>
        </w:rPr>
        <w:t xml:space="preserve"> </w:t>
      </w:r>
      <w:r>
        <w:rPr>
          <w:rFonts w:ascii="Arial" w:cs="Arial" w:eastAsia="Arial" w:hAnsi="Arial"/>
          <w:sz w:val="19"/>
          <w:szCs w:val="19"/>
          <w:color w:val="auto"/>
        </w:rPr>
        <w:t>make any dividend payment or other distribution of assets, properties, cash, rights, obligations or securities on account of any shares of any class of its capital stock, or purchase, redeem or otherwise acquire for value any shares of its capital stock or any warrants, rights or options to acquire such shares, now or hereafter outstanding (each of the foregoing a “</w:t>
      </w:r>
      <w:r>
        <w:rPr>
          <w:rFonts w:ascii="Arial" w:cs="Arial" w:eastAsia="Arial" w:hAnsi="Arial"/>
          <w:sz w:val="19"/>
          <w:szCs w:val="19"/>
          <w:u w:val="single" w:color="auto"/>
          <w:color w:val="auto"/>
        </w:rPr>
        <w:t>Restricted Payment</w:t>
      </w:r>
      <w:r>
        <w:rPr>
          <w:rFonts w:ascii="Arial" w:cs="Arial" w:eastAsia="Arial" w:hAnsi="Arial"/>
          <w:sz w:val="19"/>
          <w:szCs w:val="19"/>
          <w:color w:val="auto"/>
        </w:rPr>
        <w:t>”); except that:</w:t>
      </w:r>
    </w:p>
    <w:p>
      <w:pPr>
        <w:spacing w:after="0" w:line="175" w:lineRule="exact"/>
        <w:rPr>
          <w:sz w:val="20"/>
          <w:szCs w:val="20"/>
          <w:color w:val="auto"/>
        </w:rPr>
      </w:pPr>
    </w:p>
    <w:p>
      <w:pPr>
        <w:ind w:firstLine="872"/>
        <w:spacing w:after="0" w:line="260" w:lineRule="auto"/>
        <w:tabs>
          <w:tab w:leader="none" w:pos="1731"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Borrower and any Wholly-Owned Subsidiary may declare and make dividend payments or other distributions payable solely in its common stock;</w:t>
      </w:r>
    </w:p>
    <w:p>
      <w:pPr>
        <w:spacing w:after="0" w:line="176" w:lineRule="exact"/>
        <w:rPr>
          <w:rFonts w:ascii="Arial" w:cs="Arial" w:eastAsia="Arial" w:hAnsi="Arial"/>
          <w:sz w:val="20"/>
          <w:szCs w:val="20"/>
          <w:color w:val="auto"/>
        </w:rPr>
      </w:pPr>
    </w:p>
    <w:p>
      <w:pPr>
        <w:jc w:val="both"/>
        <w:ind w:firstLine="872"/>
        <w:spacing w:after="0" w:line="250" w:lineRule="auto"/>
        <w:tabs>
          <w:tab w:leader="none" w:pos="1742"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Borrower and any Wholly-Owned Subsidiary may purchase, redeem or otherwise acquire shares of its common stock or warrants or options to acquire any such shares with the proceeds received from the substantially concurrent issue of new shares of its common stock;</w:t>
      </w:r>
    </w:p>
    <w:p>
      <w:pPr>
        <w:spacing w:after="0" w:line="185" w:lineRule="exact"/>
        <w:rPr>
          <w:rFonts w:ascii="Arial" w:cs="Arial" w:eastAsia="Arial" w:hAnsi="Arial"/>
          <w:sz w:val="20"/>
          <w:szCs w:val="20"/>
          <w:color w:val="auto"/>
        </w:rPr>
      </w:pPr>
    </w:p>
    <w:p>
      <w:pPr>
        <w:jc w:val="both"/>
        <w:ind w:firstLine="872"/>
        <w:spacing w:after="0" w:line="244" w:lineRule="auto"/>
        <w:tabs>
          <w:tab w:leader="none" w:pos="1731" w:val="left"/>
        </w:tabs>
        <w:numPr>
          <w:ilvl w:val="0"/>
          <w:numId w:val="76"/>
        </w:numPr>
        <w:rPr>
          <w:rFonts w:ascii="Arial" w:cs="Arial" w:eastAsia="Arial" w:hAnsi="Arial"/>
          <w:sz w:val="20"/>
          <w:szCs w:val="20"/>
          <w:color w:val="auto"/>
        </w:rPr>
      </w:pPr>
      <w:r>
        <w:rPr>
          <w:rFonts w:ascii="Arial" w:cs="Arial" w:eastAsia="Arial" w:hAnsi="Arial"/>
          <w:sz w:val="20"/>
          <w:szCs w:val="20"/>
          <w:color w:val="auto"/>
        </w:rPr>
        <w:t xml:space="preserve">if (both before and after giving pro forma effect to such Restricted Payment) the Leverage Ratio for such period is less than or equal to the maximum permitted Leverage Ratio then in effect pursuant to </w:t>
      </w:r>
      <w:r>
        <w:rPr>
          <w:rFonts w:ascii="Arial" w:cs="Arial" w:eastAsia="Arial" w:hAnsi="Arial"/>
          <w:sz w:val="20"/>
          <w:szCs w:val="20"/>
          <w:u w:val="single" w:color="auto"/>
          <w:color w:val="auto"/>
        </w:rPr>
        <w:t>Section 7.06</w:t>
      </w:r>
      <w:r>
        <w:rPr>
          <w:rFonts w:ascii="Arial" w:cs="Arial" w:eastAsia="Arial" w:hAnsi="Arial"/>
          <w:sz w:val="20"/>
          <w:szCs w:val="20"/>
          <w:color w:val="auto"/>
        </w:rPr>
        <w:t xml:space="preserve">, the Borrower may declare and pay cash dividends to its stockholders and purchase, redeem or otherwise acquire shares of its capital stock or warrants, rights or options to acquire any such shares for cash without restriction; </w:t>
      </w:r>
      <w:r>
        <w:rPr>
          <w:rFonts w:ascii="Arial" w:cs="Arial" w:eastAsia="Arial" w:hAnsi="Arial"/>
          <w:sz w:val="20"/>
          <w:szCs w:val="20"/>
          <w:u w:val="single" w:color="auto"/>
          <w:color w:val="auto"/>
        </w:rPr>
        <w:t>provided</w:t>
      </w:r>
      <w:r>
        <w:rPr>
          <w:rFonts w:ascii="Arial" w:cs="Arial" w:eastAsia="Arial" w:hAnsi="Arial"/>
          <w:sz w:val="20"/>
          <w:szCs w:val="20"/>
          <w:color w:val="auto"/>
        </w:rPr>
        <w:t>, that, immediately after giving effect to any such proposed action, no Default or Event of Default would exist; and</w:t>
      </w:r>
    </w:p>
    <w:p>
      <w:pPr>
        <w:spacing w:after="0" w:line="194" w:lineRule="exact"/>
        <w:rPr>
          <w:rFonts w:ascii="Arial" w:cs="Arial" w:eastAsia="Arial" w:hAnsi="Arial"/>
          <w:sz w:val="20"/>
          <w:szCs w:val="20"/>
          <w:color w:val="auto"/>
        </w:rPr>
      </w:pPr>
    </w:p>
    <w:p>
      <w:pPr>
        <w:ind w:left="1760" w:hanging="888"/>
        <w:spacing w:after="0"/>
        <w:tabs>
          <w:tab w:leader="none" w:pos="1760" w:val="left"/>
        </w:tabs>
        <w:numPr>
          <w:ilvl w:val="0"/>
          <w:numId w:val="76"/>
        </w:numPr>
        <w:rPr>
          <w:rFonts w:ascii="Arial" w:cs="Arial" w:eastAsia="Arial" w:hAnsi="Arial"/>
          <w:sz w:val="20"/>
          <w:szCs w:val="20"/>
          <w:color w:val="auto"/>
        </w:rPr>
      </w:pPr>
      <w:r>
        <w:rPr>
          <w:rFonts w:ascii="Arial" w:cs="Arial" w:eastAsia="Arial" w:hAnsi="Arial"/>
          <w:sz w:val="20"/>
          <w:szCs w:val="20"/>
          <w:color w:val="auto"/>
        </w:rPr>
        <w:t>any Wholly-Owned Subsidiary may declare and pay dividends to its parent company.</w:t>
      </w:r>
    </w:p>
    <w:p>
      <w:pPr>
        <w:spacing w:after="0" w:line="210" w:lineRule="exact"/>
        <w:rPr>
          <w:sz w:val="20"/>
          <w:szCs w:val="20"/>
          <w:color w:val="auto"/>
        </w:rPr>
      </w:pPr>
    </w:p>
    <w:p>
      <w:pPr>
        <w:jc w:val="both"/>
        <w:ind w:right="20" w:firstLine="864"/>
        <w:spacing w:after="0" w:line="293" w:lineRule="auto"/>
        <w:rPr>
          <w:sz w:val="20"/>
          <w:szCs w:val="20"/>
          <w:color w:val="auto"/>
        </w:rPr>
      </w:pPr>
      <w:r>
        <w:rPr>
          <w:rFonts w:ascii="Arial" w:cs="Arial" w:eastAsia="Arial" w:hAnsi="Arial"/>
          <w:sz w:val="19"/>
          <w:szCs w:val="19"/>
          <w:b w:val="1"/>
          <w:bCs w:val="1"/>
          <w:color w:val="auto"/>
        </w:rPr>
        <w:t xml:space="preserve">7.05 Minimum Interest Coverage Ratio. </w:t>
      </w:r>
      <w:r>
        <w:rPr>
          <w:rFonts w:ascii="Arial" w:cs="Arial" w:eastAsia="Arial" w:hAnsi="Arial"/>
          <w:sz w:val="19"/>
          <w:szCs w:val="19"/>
          <w:color w:val="auto"/>
        </w:rPr>
        <w:t>The Borrower, on a consolidated basis, shall not permit its Consolidated Interest</w:t>
      </w:r>
      <w:r>
        <w:rPr>
          <w:rFonts w:ascii="Arial" w:cs="Arial" w:eastAsia="Arial" w:hAnsi="Arial"/>
          <w:sz w:val="19"/>
          <w:szCs w:val="19"/>
          <w:b w:val="1"/>
          <w:bCs w:val="1"/>
          <w:color w:val="auto"/>
        </w:rPr>
        <w:t xml:space="preserve"> </w:t>
      </w:r>
      <w:r>
        <w:rPr>
          <w:rFonts w:ascii="Arial" w:cs="Arial" w:eastAsia="Arial" w:hAnsi="Arial"/>
          <w:sz w:val="19"/>
          <w:szCs w:val="19"/>
          <w:color w:val="auto"/>
        </w:rPr>
        <w:t>Coverage Ratio, as at the end of any fiscal quarter for the four consecutive fiscal quarters then ended, to fall below 2.00 to 1.00.</w:t>
      </w:r>
    </w:p>
    <w:p>
      <w:pPr>
        <w:spacing w:after="0" w:line="142"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8"/>
          <w:szCs w:val="18"/>
          <w:b w:val="1"/>
          <w:bCs w:val="1"/>
          <w:color w:val="auto"/>
        </w:rPr>
        <w:t xml:space="preserve">7.06 Maximum Leverage Ratio. </w:t>
      </w:r>
      <w:r>
        <w:rPr>
          <w:rFonts w:ascii="Arial" w:cs="Arial" w:eastAsia="Arial" w:hAnsi="Arial"/>
          <w:sz w:val="18"/>
          <w:szCs w:val="18"/>
          <w:color w:val="auto"/>
        </w:rPr>
        <w:t>The Borrower, on a consolidated basis, shall not, as of the end of any fiscal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permit its consolidated ratio of (a) total Indebtedness as of such date to (b) the sum of Consolidated EBIT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depreciation and amortization expense (the “</w:t>
      </w:r>
      <w:r>
        <w:rPr>
          <w:rFonts w:ascii="Arial" w:cs="Arial" w:eastAsia="Arial" w:hAnsi="Arial"/>
          <w:sz w:val="18"/>
          <w:szCs w:val="18"/>
          <w:u w:val="single" w:color="auto"/>
          <w:color w:val="auto"/>
        </w:rPr>
        <w:t>Leverage Ratio</w:t>
      </w:r>
      <w:r>
        <w:rPr>
          <w:rFonts w:ascii="Arial" w:cs="Arial" w:eastAsia="Arial" w:hAnsi="Arial"/>
          <w:sz w:val="18"/>
          <w:szCs w:val="18"/>
          <w:color w:val="auto"/>
        </w:rPr>
        <w:t xml:space="preserve">”) for the period of four prior fiscal quarters ending on such date to be more than 3.50 to 1.00;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after the occurrence of any Acquisition (or series of related transactions for the purpose of or resulting in such Acquisition) with aggregate consideration in excess of $75,000,000, at the option of the Borrower, for each of the four consecutive fiscal quarters ending after such option exercise (a “</w:t>
      </w:r>
      <w:r>
        <w:rPr>
          <w:rFonts w:ascii="Arial" w:cs="Arial" w:eastAsia="Arial" w:hAnsi="Arial"/>
          <w:sz w:val="18"/>
          <w:szCs w:val="18"/>
          <w:u w:val="single" w:color="auto"/>
          <w:color w:val="auto"/>
        </w:rPr>
        <w:t>Covenant Holiday</w:t>
      </w:r>
      <w:r>
        <w:rPr>
          <w:rFonts w:ascii="Arial" w:cs="Arial" w:eastAsia="Arial" w:hAnsi="Arial"/>
          <w:sz w:val="18"/>
          <w:szCs w:val="18"/>
          <w:color w:val="auto"/>
        </w:rPr>
        <w:t xml:space="preserve">”), the Leverage Ratio as of the last day of such fiscal quarter shall not exceed 4.00 to 1.00;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Borrower may opt to use a maximum of two Covenant Holidays.</w:t>
      </w:r>
    </w:p>
    <w:p>
      <w:pPr>
        <w:spacing w:after="0" w:line="16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 xml:space="preserve">7.07 Red Iron. </w:t>
      </w:r>
      <w:r>
        <w:rPr>
          <w:rFonts w:ascii="Arial" w:cs="Arial" w:eastAsia="Arial" w:hAnsi="Arial"/>
          <w:sz w:val="20"/>
          <w:szCs w:val="20"/>
          <w:color w:val="auto"/>
        </w:rPr>
        <w:t>The Borrower shall not, nor shall it permit any Subsidiary to, agree to permit Red Iron to retain or defer</w:t>
      </w:r>
      <w:r>
        <w:rPr>
          <w:rFonts w:ascii="Arial" w:cs="Arial" w:eastAsia="Arial" w:hAnsi="Arial"/>
          <w:sz w:val="20"/>
          <w:szCs w:val="20"/>
          <w:b w:val="1"/>
          <w:bCs w:val="1"/>
          <w:color w:val="auto"/>
        </w:rPr>
        <w:t xml:space="preserve"> </w:t>
      </w:r>
      <w:r>
        <w:rPr>
          <w:rFonts w:ascii="Arial" w:cs="Arial" w:eastAsia="Arial" w:hAnsi="Arial"/>
          <w:sz w:val="20"/>
          <w:szCs w:val="20"/>
          <w:color w:val="auto"/>
        </w:rPr>
        <w:t>payment of undisputed amounts due by Red Iron to the Borrower or any Subsidiary (other than as an offset in payment of amounts due by the Borrower or such Subsidiaries to Red Iron) in an aggregate amount at any time in excess of $35,000,000.</w:t>
      </w:r>
    </w:p>
    <w:p>
      <w:pPr>
        <w:spacing w:after="0" w:line="177"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b w:val="1"/>
          <w:bCs w:val="1"/>
          <w:color w:val="auto"/>
        </w:rPr>
        <w:t xml:space="preserve">7.08 Sanctions. </w:t>
      </w:r>
      <w:r>
        <w:rPr>
          <w:rFonts w:ascii="Arial" w:cs="Arial" w:eastAsia="Arial" w:hAnsi="Arial"/>
          <w:sz w:val="20"/>
          <w:szCs w:val="20"/>
          <w:color w:val="auto"/>
        </w:rPr>
        <w:t>The Borrower shall not directly or indirectly use the proceeds of any Loan, or lend, contribute or</w:t>
      </w:r>
      <w:r>
        <w:rPr>
          <w:rFonts w:ascii="Arial" w:cs="Arial" w:eastAsia="Arial" w:hAnsi="Arial"/>
          <w:sz w:val="20"/>
          <w:szCs w:val="20"/>
          <w:b w:val="1"/>
          <w:bCs w:val="1"/>
          <w:color w:val="auto"/>
        </w:rPr>
        <w:t xml:space="preserve"> </w:t>
      </w:r>
      <w:r>
        <w:rPr>
          <w:rFonts w:ascii="Arial" w:cs="Arial" w:eastAsia="Arial" w:hAnsi="Arial"/>
          <w:sz w:val="20"/>
          <w:szCs w:val="20"/>
          <w:color w:val="auto"/>
        </w:rPr>
        <w:t>otherwise make available such proceeds to any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Arranger, Administrative Agent or otherwise) of Sanctions.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4" w:name="page65"/>
    <w:bookmarkEnd w:id="64"/>
    <w:p>
      <w:pPr>
        <w:jc w:val="both"/>
        <w:ind w:firstLine="864"/>
        <w:spacing w:after="0" w:line="253" w:lineRule="auto"/>
        <w:rPr>
          <w:sz w:val="20"/>
          <w:szCs w:val="20"/>
          <w:color w:val="auto"/>
        </w:rPr>
      </w:pPr>
      <w:r>
        <w:rPr>
          <w:rFonts w:ascii="Arial" w:cs="Arial" w:eastAsia="Arial" w:hAnsi="Arial"/>
          <w:sz w:val="20"/>
          <w:szCs w:val="20"/>
          <w:b w:val="1"/>
          <w:bCs w:val="1"/>
          <w:color w:val="auto"/>
        </w:rPr>
        <w:t xml:space="preserve">7.09 Anti-Corruption Laws. </w:t>
      </w:r>
      <w:r>
        <w:rPr>
          <w:rFonts w:ascii="Arial" w:cs="Arial" w:eastAsia="Arial" w:hAnsi="Arial"/>
          <w:sz w:val="20"/>
          <w:szCs w:val="20"/>
          <w:color w:val="auto"/>
        </w:rPr>
        <w:t>The Borrower shall not directly or indirectly use the proceeds of any Loan for any purpose</w:t>
      </w:r>
      <w:r>
        <w:rPr>
          <w:rFonts w:ascii="Arial" w:cs="Arial" w:eastAsia="Arial" w:hAnsi="Arial"/>
          <w:sz w:val="20"/>
          <w:szCs w:val="20"/>
          <w:b w:val="1"/>
          <w:bCs w:val="1"/>
          <w:color w:val="auto"/>
        </w:rPr>
        <w:t xml:space="preserve"> </w:t>
      </w:r>
      <w:r>
        <w:rPr>
          <w:rFonts w:ascii="Arial" w:cs="Arial" w:eastAsia="Arial" w:hAnsi="Arial"/>
          <w:sz w:val="20"/>
          <w:szCs w:val="20"/>
          <w:color w:val="auto"/>
        </w:rPr>
        <w:t>which would breach the United States Foreign Corrupt Practices Act of 1977, the UK Bribery Act 2010, or other similar legislation in other jurisdictions.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EVENTS OF DEFAULT AND REMEDIES</w:t>
      </w:r>
    </w:p>
    <w:p>
      <w:pPr>
        <w:spacing w:after="0" w:line="19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8.01</w:t>
      </w:r>
      <w:r>
        <w:rPr>
          <w:sz w:val="20"/>
          <w:szCs w:val="20"/>
          <w:color w:val="auto"/>
        </w:rPr>
        <w:tab/>
      </w:r>
      <w:r>
        <w:rPr>
          <w:rFonts w:ascii="Arial" w:cs="Arial" w:eastAsia="Arial" w:hAnsi="Arial"/>
          <w:sz w:val="18"/>
          <w:szCs w:val="18"/>
          <w:b w:val="1"/>
          <w:bCs w:val="1"/>
          <w:color w:val="auto"/>
        </w:rPr>
        <w:t xml:space="preserve">Events of Default. </w:t>
      </w:r>
      <w:r>
        <w:rPr>
          <w:rFonts w:ascii="Arial" w:cs="Arial" w:eastAsia="Arial" w:hAnsi="Arial"/>
          <w:sz w:val="18"/>
          <w:szCs w:val="18"/>
          <w:color w:val="auto"/>
        </w:rPr>
        <w:t>Any of the following shall constitute an event of default (each, an “</w:t>
      </w:r>
      <w:r>
        <w:rPr>
          <w:rFonts w:ascii="Arial" w:cs="Arial" w:eastAsia="Arial" w:hAnsi="Arial"/>
          <w:sz w:val="18"/>
          <w:szCs w:val="18"/>
          <w:u w:val="single" w:color="auto"/>
          <w:color w:val="auto"/>
        </w:rPr>
        <w:t>Event of Default</w:t>
      </w:r>
      <w:r>
        <w:rPr>
          <w:rFonts w:ascii="Arial" w:cs="Arial" w:eastAsia="Arial" w:hAnsi="Arial"/>
          <w:sz w:val="18"/>
          <w:szCs w:val="18"/>
          <w:color w:val="auto"/>
        </w:rPr>
        <w:t>”):</w:t>
      </w:r>
    </w:p>
    <w:p>
      <w:pPr>
        <w:spacing w:after="0" w:line="222" w:lineRule="exact"/>
        <w:rPr>
          <w:sz w:val="20"/>
          <w:szCs w:val="20"/>
          <w:color w:val="auto"/>
        </w:rPr>
      </w:pPr>
    </w:p>
    <w:p>
      <w:pPr>
        <w:jc w:val="both"/>
        <w:ind w:firstLine="872"/>
        <w:spacing w:after="0" w:line="250" w:lineRule="auto"/>
        <w:tabs>
          <w:tab w:leader="none" w:pos="1731"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Non-Payment</w:t>
      </w:r>
      <w:r>
        <w:rPr>
          <w:rFonts w:ascii="Arial" w:cs="Arial" w:eastAsia="Arial" w:hAnsi="Arial"/>
          <w:sz w:val="20"/>
          <w:szCs w:val="20"/>
          <w:color w:val="auto"/>
        </w:rPr>
        <w:t>. The Borrower fails to pay (i) when and as required to be paid herein, any amount of principal of any Loan, or (ii) within five (5) days after the same becomes due, any interest on any Loan, or any fee due hereunder, or (iii) within five (5) days after the same becomes due, any other amount payable hereunder or under any other Loan Document; or</w:t>
      </w:r>
    </w:p>
    <w:p>
      <w:pPr>
        <w:spacing w:after="0" w:line="185" w:lineRule="exact"/>
        <w:rPr>
          <w:rFonts w:ascii="Arial" w:cs="Arial" w:eastAsia="Arial" w:hAnsi="Arial"/>
          <w:sz w:val="20"/>
          <w:szCs w:val="20"/>
          <w:color w:val="auto"/>
        </w:rPr>
      </w:pPr>
    </w:p>
    <w:p>
      <w:pPr>
        <w:ind w:right="20" w:firstLine="872"/>
        <w:spacing w:after="0" w:line="260" w:lineRule="auto"/>
        <w:tabs>
          <w:tab w:leader="none" w:pos="1742"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Specific Covenants</w:t>
      </w:r>
      <w:r>
        <w:rPr>
          <w:rFonts w:ascii="Arial" w:cs="Arial" w:eastAsia="Arial" w:hAnsi="Arial"/>
          <w:sz w:val="20"/>
          <w:szCs w:val="20"/>
          <w:color w:val="auto"/>
        </w:rPr>
        <w:t xml:space="preserve">. The Borrower fails to perform or observe any term, covenant or agreement contained in any of </w:t>
      </w:r>
      <w:r>
        <w:rPr>
          <w:rFonts w:ascii="Arial" w:cs="Arial" w:eastAsia="Arial" w:hAnsi="Arial"/>
          <w:sz w:val="20"/>
          <w:szCs w:val="20"/>
          <w:u w:val="single" w:color="auto"/>
          <w:color w:val="auto"/>
        </w:rPr>
        <w:t>Section 6.03(a)</w:t>
      </w:r>
      <w:r>
        <w:rPr>
          <w:rFonts w:ascii="Arial" w:cs="Arial" w:eastAsia="Arial" w:hAnsi="Arial"/>
          <w:sz w:val="20"/>
          <w:szCs w:val="20"/>
          <w:color w:val="auto"/>
        </w:rPr>
        <w:t xml:space="preserve">, </w:t>
      </w:r>
      <w:r>
        <w:rPr>
          <w:rFonts w:ascii="Arial" w:cs="Arial" w:eastAsia="Arial" w:hAnsi="Arial"/>
          <w:sz w:val="20"/>
          <w:szCs w:val="20"/>
          <w:u w:val="single" w:color="auto"/>
          <w:color w:val="auto"/>
        </w:rPr>
        <w:t>6.10</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6.11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Article VII</w:t>
      </w:r>
      <w:r>
        <w:rPr>
          <w:rFonts w:ascii="Arial" w:cs="Arial" w:eastAsia="Arial" w:hAnsi="Arial"/>
          <w:sz w:val="20"/>
          <w:szCs w:val="20"/>
          <w:color w:val="auto"/>
        </w:rPr>
        <w:t>; or</w:t>
      </w:r>
    </w:p>
    <w:p>
      <w:pPr>
        <w:spacing w:after="0" w:line="176" w:lineRule="exact"/>
        <w:rPr>
          <w:rFonts w:ascii="Arial" w:cs="Arial" w:eastAsia="Arial" w:hAnsi="Arial"/>
          <w:sz w:val="20"/>
          <w:szCs w:val="20"/>
          <w:color w:val="auto"/>
        </w:rPr>
      </w:pPr>
    </w:p>
    <w:p>
      <w:pPr>
        <w:jc w:val="both"/>
        <w:ind w:firstLine="872"/>
        <w:spacing w:after="0" w:line="278" w:lineRule="auto"/>
        <w:tabs>
          <w:tab w:leader="none" w:pos="1731"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Other Defaults</w:t>
      </w:r>
      <w:r>
        <w:rPr>
          <w:rFonts w:ascii="Arial" w:cs="Arial" w:eastAsia="Arial" w:hAnsi="Arial"/>
          <w:sz w:val="18"/>
          <w:szCs w:val="18"/>
          <w:color w:val="auto"/>
        </w:rPr>
        <w:t xml:space="preserve">. The Borrower fails to perform or observe any other term or covenant contained in this Agreement or any other Loan Document (and such failure does not otherwise constitute an Event of Default under this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and such default shall continue unremedied for a period of 30 days,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Borrower is diligently and in good faith attempting to cure such default, such default is curable and such default will not possibly result in a Material Adverse Effect, then the Borrower may have additional time to cure such default as specified in writing by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additional time shall not exceed 60 days; or</w:t>
      </w:r>
    </w:p>
    <w:p>
      <w:pPr>
        <w:spacing w:after="0" w:line="164" w:lineRule="exact"/>
        <w:rPr>
          <w:rFonts w:ascii="Arial" w:cs="Arial" w:eastAsia="Arial" w:hAnsi="Arial"/>
          <w:sz w:val="18"/>
          <w:szCs w:val="18"/>
          <w:color w:val="auto"/>
        </w:rPr>
      </w:pPr>
    </w:p>
    <w:p>
      <w:pPr>
        <w:jc w:val="both"/>
        <w:ind w:firstLine="872"/>
        <w:spacing w:after="0" w:line="278" w:lineRule="auto"/>
        <w:tabs>
          <w:tab w:leader="none" w:pos="1742"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Any representation or warranty by the Borrower or any Subsidiary made or deemed made herein, in any other Loan Document, or which is contained in any certificate, document or financial or other statement by the Borrower, any Subsidiary, or any Responsible Officer, furnished at any time under this Agreement, or in or under any other Loan Document, is incorrect or misleading in any material respect (except, if a qualifier relating to materiality, Material Adverse Effect or a similar concept applies, such representation or warranty shall have been incorrect in any respect) on or as of the date made or deemed made; or</w:t>
      </w:r>
    </w:p>
    <w:p>
      <w:pPr>
        <w:spacing w:after="0" w:line="164" w:lineRule="exact"/>
        <w:rPr>
          <w:rFonts w:ascii="Arial" w:cs="Arial" w:eastAsia="Arial" w:hAnsi="Arial"/>
          <w:sz w:val="18"/>
          <w:szCs w:val="18"/>
          <w:color w:val="auto"/>
        </w:rPr>
      </w:pPr>
    </w:p>
    <w:p>
      <w:pPr>
        <w:jc w:val="both"/>
        <w:ind w:firstLine="872"/>
        <w:spacing w:after="0" w:line="254" w:lineRule="auto"/>
        <w:tabs>
          <w:tab w:leader="none" w:pos="1731"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Cross-Default</w:t>
      </w:r>
      <w:r>
        <w:rPr>
          <w:rFonts w:ascii="Arial" w:cs="Arial" w:eastAsia="Arial" w:hAnsi="Arial"/>
          <w:sz w:val="19"/>
          <w:szCs w:val="19"/>
          <w:color w:val="auto"/>
        </w:rPr>
        <w:t>. (i) The Borrower or any Material Subsidiary (A) fails to make any payment in respect of any Indebtedness or Contingent Obligation, having an aggregate principal amount (including undrawn committed or available amounts and including amounts owing to all creditors under any combined or syndicated credit arrangement) of more than $75,000,000 when due (whether by scheduled maturity, required prepayment, acceleration, demand, or otherwise) and such failure continues after the applicable grace or notice period, if any, specified in the relevant document on the date of such failure; or (B) fails to perform or observe any other condition or covenant, or any other event shall occur or condition exist, under any agreement or instrument relating to any such Indebtedness or Contingent Obligation, and such failure continues after the applicable grace, cure or notice period, if any, specified in the relevant document on the date of such failure and if the effect of such failure, event or condition is to allow the holder or holders of such Indebtedness or beneficiary or beneficiaries of such Indebtedness (or a trustee or agent on behalf of such holder or holders or beneficiary or beneficiaries) to cause such Indebtedness to be declared to be due and payable prior to its stated maturity or such Contingent Obligation to become payable or cash collateral in respect thereof to be demanded; or (ii)(A) there occurs any termination, liquidation, unwind or similar event or circumstance under any Receivables Purchase Facility other than a voluntary termination by the Borrower or a scheduled termination, as a result of which any purchaser of receivables thereunder has ceased purchasing such Receivables and such purchaser may apply all collections on previously purchased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5" w:name="page66"/>
    <w:bookmarkEnd w:id="65"/>
    <w:p>
      <w:pPr>
        <w:jc w:val="both"/>
        <w:spacing w:after="0" w:line="255" w:lineRule="auto"/>
        <w:rPr>
          <w:sz w:val="20"/>
          <w:szCs w:val="20"/>
          <w:color w:val="auto"/>
        </w:rPr>
      </w:pPr>
      <w:r>
        <w:rPr>
          <w:rFonts w:ascii="Arial" w:cs="Arial" w:eastAsia="Arial" w:hAnsi="Arial"/>
          <w:sz w:val="19"/>
          <w:szCs w:val="19"/>
          <w:color w:val="auto"/>
        </w:rPr>
        <w:t>Receivables thereunder to the payment of such purchaser’s interest in such previously purchased Receivables (any such event or circumstance referred to as a “</w:t>
      </w:r>
      <w:r>
        <w:rPr>
          <w:rFonts w:ascii="Arial" w:cs="Arial" w:eastAsia="Arial" w:hAnsi="Arial"/>
          <w:sz w:val="19"/>
          <w:szCs w:val="19"/>
          <w:u w:val="single" w:color="auto"/>
          <w:color w:val="auto"/>
        </w:rPr>
        <w:t>Receivables Purchase Facility Termination</w:t>
      </w:r>
      <w:r>
        <w:rPr>
          <w:rFonts w:ascii="Arial" w:cs="Arial" w:eastAsia="Arial" w:hAnsi="Arial"/>
          <w:sz w:val="19"/>
          <w:szCs w:val="19"/>
          <w:color w:val="auto"/>
        </w:rPr>
        <w:t>”) other than any such Receivables Purchase Facility Termination that arises solely as a result of (i) a down-grading of the credit rating of any bank or financial institution not affiliated with the Borrower that provides liquidity, credit or other support in connection with such facility; or (ii) breach of a covenant contained in any Receivables Purchase Facility and this Agreement if the Lenders have previously waived compliance with such covenant under the terms of this Agreement with respect to the particular instance of non-compliance giving rise to the breach of such covenant under such Receivables Purchase Facility, it being acknowledged by the Borrower that no waiver by the Lenders of compliance with the provisions of this Agreement in any particular instance shall constitute a waiver under either this Agreement or any Receivables Purchase Facility of any future non-compliance with such provision and (B) within 60 days after the effective date of such Receivables Purchase Facility Termination, additional financing and/or capitalization of the Borrower in replacement of such Receivables Purchase Facility, in an amount substantially similar to the amount of the Receivables Purchase Facility and upon such terms as are acceptable to the Required Lenders, shall not be completed and funding thereunder shall not be available to the Borrower; or</w:t>
      </w:r>
    </w:p>
    <w:p>
      <w:pPr>
        <w:spacing w:after="0" w:line="184" w:lineRule="exact"/>
        <w:rPr>
          <w:sz w:val="20"/>
          <w:szCs w:val="20"/>
          <w:color w:val="auto"/>
        </w:rPr>
      </w:pPr>
    </w:p>
    <w:p>
      <w:pPr>
        <w:jc w:val="both"/>
        <w:ind w:firstLine="872"/>
        <w:spacing w:after="0" w:line="263" w:lineRule="auto"/>
        <w:tabs>
          <w:tab w:leader="none" w:pos="1709"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Insolvency, Voluntary Proceedings.</w:t>
      </w:r>
      <w:r>
        <w:rPr>
          <w:rFonts w:ascii="Arial" w:cs="Arial" w:eastAsia="Arial" w:hAnsi="Arial"/>
          <w:sz w:val="19"/>
          <w:szCs w:val="19"/>
          <w:color w:val="auto"/>
        </w:rPr>
        <w:t xml:space="preserve"> The Borrower or any Material Subsidiary (i) ceases or fails to be solvent, or generally fails to pay, or admits in writing its inability to pay, its debts as they become due, subject to applicable grace periods, if any, whether at stated maturity or otherwise; (ii) voluntarily ceases to conduct its business in the ordinary course; (iii) commences any Insolvency Proceeding with respect to itself; or (iv) takes any action to effectuate or authorize any of the foregoing; or</w:t>
      </w:r>
    </w:p>
    <w:p>
      <w:pPr>
        <w:spacing w:after="0" w:line="176" w:lineRule="exact"/>
        <w:rPr>
          <w:rFonts w:ascii="Arial" w:cs="Arial" w:eastAsia="Arial" w:hAnsi="Arial"/>
          <w:sz w:val="19"/>
          <w:szCs w:val="19"/>
          <w:color w:val="auto"/>
        </w:rPr>
      </w:pPr>
    </w:p>
    <w:p>
      <w:pPr>
        <w:jc w:val="both"/>
        <w:ind w:firstLine="872"/>
        <w:spacing w:after="0" w:line="273" w:lineRule="auto"/>
        <w:tabs>
          <w:tab w:leader="none" w:pos="1742"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Involuntary Proceedings</w:t>
      </w:r>
      <w:r>
        <w:rPr>
          <w:rFonts w:ascii="Arial" w:cs="Arial" w:eastAsia="Arial" w:hAnsi="Arial"/>
          <w:sz w:val="18"/>
          <w:szCs w:val="18"/>
          <w:color w:val="auto"/>
        </w:rPr>
        <w:t>. (i) Any involuntary Insolvency Proceeding is commenced or filed against the Borrower or any Material Subsidiary, or any writ, judgment, warrant of attachment, execution or similar process, is issued or levied against a substantial part of the Borrower’s or any Material Subsidiary’s properties, and any such proceeding or petition shall not be dismissed, or such writ, judgment, warrant of attachment, execution or similar process shall not be released, vacated or fully bonded within 60 days after commencement, filing or levy; (ii) the Borrower or any Material Subsidiary admits the material allegations of a petition against it in any Insolvency Proceeding, or an order for relief (or similar order under non-U.S. law) is ordered in any Insolvency Proceeding; or (iii) the Borrower or any Material Subsidiary acquiesces in the appointment of a receiver, trustee, custodian, conservator, liquidator, mortgagee in possession (or agent therefor), or other similar Person for itself or a substantial portion of its property or business; or</w:t>
      </w:r>
    </w:p>
    <w:p>
      <w:pPr>
        <w:spacing w:after="0" w:line="168" w:lineRule="exact"/>
        <w:rPr>
          <w:rFonts w:ascii="Arial" w:cs="Arial" w:eastAsia="Arial" w:hAnsi="Arial"/>
          <w:sz w:val="18"/>
          <w:szCs w:val="18"/>
          <w:color w:val="auto"/>
        </w:rPr>
      </w:pPr>
    </w:p>
    <w:p>
      <w:pPr>
        <w:jc w:val="both"/>
        <w:ind w:firstLine="872"/>
        <w:spacing w:after="0" w:line="244" w:lineRule="auto"/>
        <w:tabs>
          <w:tab w:leader="none" w:pos="1742"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Monetary Judgments</w:t>
      </w:r>
      <w:r>
        <w:rPr>
          <w:rFonts w:ascii="Arial" w:cs="Arial" w:eastAsia="Arial" w:hAnsi="Arial"/>
          <w:sz w:val="20"/>
          <w:szCs w:val="20"/>
          <w:color w:val="auto"/>
        </w:rPr>
        <w:t>. One or more non-interlocutory judgments, non-interlocutory orders, decrees or arbitration awards is entered against the Borrower or any Material Subsidiary involving in the aggregate a liability (to the extent not covered by independent third-party insurance as to which the insurer does not dispute coverage) as to any single or related series of transactions, incidents or conditions, of $75,000,000 or more, and the same shall remain unsatisfied, unvacated and unstayed pending appeal for a period of 30 days after the entry thereof; or</w:t>
      </w:r>
    </w:p>
    <w:p>
      <w:pPr>
        <w:spacing w:after="0" w:line="194" w:lineRule="exact"/>
        <w:rPr>
          <w:rFonts w:ascii="Arial" w:cs="Arial" w:eastAsia="Arial" w:hAnsi="Arial"/>
          <w:sz w:val="20"/>
          <w:szCs w:val="20"/>
          <w:color w:val="auto"/>
        </w:rPr>
      </w:pPr>
    </w:p>
    <w:p>
      <w:pPr>
        <w:jc w:val="both"/>
        <w:ind w:firstLine="872"/>
        <w:spacing w:after="0" w:line="246" w:lineRule="auto"/>
        <w:tabs>
          <w:tab w:leader="none" w:pos="1698"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Non-Monetary Judgments.</w:t>
      </w:r>
      <w:r>
        <w:rPr>
          <w:rFonts w:ascii="Arial" w:cs="Arial" w:eastAsia="Arial" w:hAnsi="Arial"/>
          <w:sz w:val="20"/>
          <w:szCs w:val="20"/>
          <w:color w:val="auto"/>
        </w:rPr>
        <w:t xml:space="preserve"> Any non-monetary judgment, order or decree is entered against the Borrower or any Material Subsidiary which does or would reasonably be expected to have a Material Adverse Effect, and there shall be any period of 30 consecutive days during which a stay of enforcement of such judgment or order, by reason of a pending appeal or otherwise, shall not be in effect; or</w:t>
      </w:r>
    </w:p>
    <w:p>
      <w:pPr>
        <w:spacing w:after="0" w:line="191" w:lineRule="exact"/>
        <w:rPr>
          <w:rFonts w:ascii="Arial" w:cs="Arial" w:eastAsia="Arial" w:hAnsi="Arial"/>
          <w:sz w:val="20"/>
          <w:szCs w:val="20"/>
          <w:color w:val="auto"/>
        </w:rPr>
      </w:pPr>
    </w:p>
    <w:p>
      <w:pPr>
        <w:jc w:val="both"/>
        <w:ind w:firstLine="872"/>
        <w:spacing w:after="0" w:line="246" w:lineRule="auto"/>
        <w:tabs>
          <w:tab w:leader="none" w:pos="1698"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ERISA</w:t>
      </w:r>
      <w:r>
        <w:rPr>
          <w:rFonts w:ascii="Arial" w:cs="Arial" w:eastAsia="Arial" w:hAnsi="Arial"/>
          <w:sz w:val="20"/>
          <w:szCs w:val="20"/>
          <w:color w:val="auto"/>
        </w:rPr>
        <w:t>. (i) An ERISA Event occurs with respect to a Pension Plan or Multiemployer Plan which has resulted or could reasonably be expected to result in liability of the Borrower under Title IV of ERISA to the Pension Plan, Multiemployer Plan or the PBGC in an aggregate amount in excess of $75,000,000, or (ii) the Borrower or any ERISA Affiliate fails to pay when due, after the expiration of 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6" w:name="page67"/>
    <w:bookmarkEnd w:id="66"/>
    <w:p>
      <w:pPr>
        <w:ind w:right="20"/>
        <w:spacing w:after="0" w:line="260" w:lineRule="auto"/>
        <w:rPr>
          <w:sz w:val="20"/>
          <w:szCs w:val="20"/>
          <w:color w:val="auto"/>
        </w:rPr>
      </w:pPr>
      <w:r>
        <w:rPr>
          <w:rFonts w:ascii="Arial" w:cs="Arial" w:eastAsia="Arial" w:hAnsi="Arial"/>
          <w:sz w:val="20"/>
          <w:szCs w:val="20"/>
          <w:color w:val="auto"/>
        </w:rPr>
        <w:t>applicable grace period, any installment payment with respect to its withdrawal liability under Section 4201 of ERISA under a Multiemployer Plan in an aggregate amount in excess of $75,000,000; or</w:t>
      </w:r>
    </w:p>
    <w:p>
      <w:pPr>
        <w:spacing w:after="0" w:line="177" w:lineRule="exact"/>
        <w:rPr>
          <w:sz w:val="20"/>
          <w:szCs w:val="20"/>
          <w:color w:val="auto"/>
        </w:rPr>
      </w:pPr>
    </w:p>
    <w:p>
      <w:pPr>
        <w:jc w:val="both"/>
        <w:ind w:firstLine="872"/>
        <w:spacing w:after="0" w:line="243" w:lineRule="auto"/>
        <w:tabs>
          <w:tab w:leader="none" w:pos="1742"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Invalidity of Loan Documents</w:t>
      </w:r>
      <w:r>
        <w:rPr>
          <w:rFonts w:ascii="Arial" w:cs="Arial" w:eastAsia="Arial" w:hAnsi="Arial"/>
          <w:sz w:val="20"/>
          <w:szCs w:val="20"/>
          <w:color w:val="auto"/>
        </w:rPr>
        <w:t xml:space="preserve">. Any Loan Document, at any time after its execution and delivery and for any reason other than the agreement of all Lenders or satisfaction in full of all the Obligations, ceases to be in full force and effect (other than with respect to matters regarding Eurodollar Rate Loans which are subject to the application of, and the Borrower accordingly complying with the terms of, </w:t>
      </w:r>
      <w:r>
        <w:rPr>
          <w:rFonts w:ascii="Arial" w:cs="Arial" w:eastAsia="Arial" w:hAnsi="Arial"/>
          <w:sz w:val="20"/>
          <w:szCs w:val="20"/>
          <w:u w:val="single" w:color="auto"/>
          <w:color w:val="auto"/>
        </w:rPr>
        <w:t>Section 3.02</w:t>
      </w:r>
      <w:r>
        <w:rPr>
          <w:rFonts w:ascii="Arial" w:cs="Arial" w:eastAsia="Arial" w:hAnsi="Arial"/>
          <w:sz w:val="20"/>
          <w:szCs w:val="20"/>
          <w:color w:val="auto"/>
        </w:rPr>
        <w:t>) or is declared by a court of competent jurisdiction to be null and void, invalid or unenforceable in any respect; or the Borrower denies that it has any or further liability or obligation under any Loan Document, or purports to revoke, terminate or rescind any Loan Document; or</w:t>
      </w:r>
    </w:p>
    <w:p>
      <w:pPr>
        <w:spacing w:after="0" w:line="195" w:lineRule="exact"/>
        <w:rPr>
          <w:rFonts w:ascii="Arial" w:cs="Arial" w:eastAsia="Arial" w:hAnsi="Arial"/>
          <w:sz w:val="20"/>
          <w:szCs w:val="20"/>
          <w:color w:val="auto"/>
        </w:rPr>
      </w:pPr>
    </w:p>
    <w:p>
      <w:pPr>
        <w:ind w:left="1700" w:hanging="828"/>
        <w:spacing w:after="0"/>
        <w:tabs>
          <w:tab w:leader="none" w:pos="1700"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Change of Control</w:t>
      </w:r>
      <w:r>
        <w:rPr>
          <w:rFonts w:ascii="Arial" w:cs="Arial" w:eastAsia="Arial" w:hAnsi="Arial"/>
          <w:sz w:val="20"/>
          <w:szCs w:val="20"/>
          <w:color w:val="auto"/>
        </w:rPr>
        <w:t>. There occurs any Change of Control.</w:t>
      </w:r>
    </w:p>
    <w:p>
      <w:pPr>
        <w:spacing w:after="0" w:line="210" w:lineRule="exact"/>
        <w:rPr>
          <w:sz w:val="20"/>
          <w:szCs w:val="20"/>
          <w:color w:val="auto"/>
        </w:rPr>
      </w:pPr>
    </w:p>
    <w:p>
      <w:pPr>
        <w:ind w:firstLine="864"/>
        <w:spacing w:after="0" w:line="267" w:lineRule="auto"/>
        <w:rPr>
          <w:sz w:val="20"/>
          <w:szCs w:val="20"/>
          <w:color w:val="auto"/>
        </w:rPr>
      </w:pPr>
      <w:r>
        <w:rPr>
          <w:rFonts w:ascii="Arial" w:cs="Arial" w:eastAsia="Arial" w:hAnsi="Arial"/>
          <w:sz w:val="20"/>
          <w:szCs w:val="20"/>
          <w:b w:val="1"/>
          <w:bCs w:val="1"/>
          <w:color w:val="auto"/>
        </w:rPr>
        <w:t xml:space="preserve">8.02 Remedies Upon Event of Default. </w:t>
      </w:r>
      <w:r>
        <w:rPr>
          <w:rFonts w:ascii="Arial" w:cs="Arial" w:eastAsia="Arial" w:hAnsi="Arial"/>
          <w:sz w:val="20"/>
          <w:szCs w:val="20"/>
          <w:color w:val="auto"/>
        </w:rPr>
        <w:t>If any Event of Default occurs and is continuing, the Administrative Agent shall,</w:t>
      </w:r>
      <w:r>
        <w:rPr>
          <w:rFonts w:ascii="Arial" w:cs="Arial" w:eastAsia="Arial" w:hAnsi="Arial"/>
          <w:sz w:val="20"/>
          <w:szCs w:val="20"/>
          <w:b w:val="1"/>
          <w:bCs w:val="1"/>
          <w:color w:val="auto"/>
        </w:rPr>
        <w:t xml:space="preserve"> </w:t>
      </w:r>
      <w:r>
        <w:rPr>
          <w:rFonts w:ascii="Arial" w:cs="Arial" w:eastAsia="Arial" w:hAnsi="Arial"/>
          <w:sz w:val="20"/>
          <w:szCs w:val="20"/>
          <w:color w:val="auto"/>
        </w:rPr>
        <w:t>at the request of, or may, with the consent of, the Required Lenders, take any or all of the following actions:</w:t>
      </w:r>
    </w:p>
    <w:p>
      <w:pPr>
        <w:spacing w:after="0" w:line="169" w:lineRule="exact"/>
        <w:rPr>
          <w:sz w:val="20"/>
          <w:szCs w:val="20"/>
          <w:color w:val="auto"/>
        </w:rPr>
      </w:pPr>
    </w:p>
    <w:p>
      <w:pPr>
        <w:ind w:left="1740" w:hanging="868"/>
        <w:spacing w:after="0"/>
        <w:tabs>
          <w:tab w:leader="none" w:pos="17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declare the commitment of each Lender to make Loans to be terminated, whereupon such commitments and obligation</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shall be terminated;</w:t>
      </w:r>
    </w:p>
    <w:p>
      <w:pPr>
        <w:spacing w:after="0" w:line="199" w:lineRule="exact"/>
        <w:rPr>
          <w:rFonts w:ascii="Arial" w:cs="Arial" w:eastAsia="Arial" w:hAnsi="Arial"/>
          <w:sz w:val="18"/>
          <w:szCs w:val="18"/>
          <w:color w:val="auto"/>
        </w:rPr>
      </w:pPr>
    </w:p>
    <w:p>
      <w:pPr>
        <w:jc w:val="both"/>
        <w:ind w:firstLine="872"/>
        <w:spacing w:after="0" w:line="250" w:lineRule="auto"/>
        <w:tabs>
          <w:tab w:leader="none" w:pos="1742" w:val="left"/>
        </w:tabs>
        <w:numPr>
          <w:ilvl w:val="0"/>
          <w:numId w:val="80"/>
        </w:numPr>
        <w:rPr>
          <w:rFonts w:ascii="Arial" w:cs="Arial" w:eastAsia="Arial" w:hAnsi="Arial"/>
          <w:sz w:val="20"/>
          <w:szCs w:val="20"/>
          <w:color w:val="auto"/>
        </w:rPr>
      </w:pPr>
      <w:r>
        <w:rPr>
          <w:rFonts w:ascii="Arial" w:cs="Arial" w:eastAsia="Arial" w:hAnsi="Arial"/>
          <w:sz w:val="20"/>
          <w:szCs w:val="20"/>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 and</w:t>
      </w:r>
    </w:p>
    <w:p>
      <w:pPr>
        <w:spacing w:after="0" w:line="185" w:lineRule="exact"/>
        <w:rPr>
          <w:rFonts w:ascii="Arial" w:cs="Arial" w:eastAsia="Arial" w:hAnsi="Arial"/>
          <w:sz w:val="20"/>
          <w:szCs w:val="20"/>
          <w:color w:val="auto"/>
        </w:rPr>
      </w:pPr>
    </w:p>
    <w:p>
      <w:pPr>
        <w:ind w:left="1740" w:hanging="868"/>
        <w:spacing w:after="0"/>
        <w:tabs>
          <w:tab w:leader="none" w:pos="17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exercise on behalf of itself and the Lenders all rights and remedies available to it and the Lenders under the Loan</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Documents;</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upon the occurrence of an actual or deemed entry of an order for relief with respect to the Borrower under the Bankruptcy Code of the United States, the obligation of each Lender to make Loans shall automatically terminate, the unpaid principal amount of all outstanding Loans and all interest and other amounts as aforesaid shall automatically become due and payable without further act of the Administrative Agent or any Lender.</w:t>
      </w:r>
    </w:p>
    <w:p>
      <w:pPr>
        <w:spacing w:after="0" w:line="185"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b w:val="1"/>
          <w:bCs w:val="1"/>
          <w:color w:val="auto"/>
        </w:rPr>
        <w:t xml:space="preserve">8.03 Application of Funds. </w:t>
      </w:r>
      <w:r>
        <w:rPr>
          <w:rFonts w:ascii="Arial" w:cs="Arial" w:eastAsia="Arial" w:hAnsi="Arial"/>
          <w:sz w:val="19"/>
          <w:szCs w:val="19"/>
          <w:color w:val="auto"/>
        </w:rPr>
        <w:t>After the exercise of remedies provided for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8.02</w:t>
      </w:r>
      <w:r>
        <w:rPr>
          <w:rFonts w:ascii="Arial" w:cs="Arial" w:eastAsia="Arial" w:hAnsi="Arial"/>
          <w:sz w:val="19"/>
          <w:szCs w:val="19"/>
          <w:b w:val="1"/>
          <w:bCs w:val="1"/>
          <w:color w:val="auto"/>
        </w:rPr>
        <w:t xml:space="preserve"> </w:t>
      </w:r>
      <w:r>
        <w:rPr>
          <w:rFonts w:ascii="Arial" w:cs="Arial" w:eastAsia="Arial" w:hAnsi="Arial"/>
          <w:sz w:val="19"/>
          <w:szCs w:val="19"/>
          <w:color w:val="auto"/>
        </w:rPr>
        <w:t>(or after the Loans have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automatically become immediately due and payable as set forth in the proviso to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any amounts received on account of the Obligations shall, subject to the provisions of </w:t>
      </w:r>
      <w:r>
        <w:rPr>
          <w:rFonts w:ascii="Arial" w:cs="Arial" w:eastAsia="Arial" w:hAnsi="Arial"/>
          <w:sz w:val="19"/>
          <w:szCs w:val="19"/>
          <w:u w:val="single" w:color="auto"/>
          <w:color w:val="auto"/>
        </w:rPr>
        <w:t>Section 2.12</w:t>
      </w:r>
      <w:r>
        <w:rPr>
          <w:rFonts w:ascii="Arial" w:cs="Arial" w:eastAsia="Arial" w:hAnsi="Arial"/>
          <w:sz w:val="19"/>
          <w:szCs w:val="19"/>
          <w:color w:val="auto"/>
        </w:rPr>
        <w:t>, be applied by the Administrative Agent in the following order:</w:t>
      </w:r>
    </w:p>
    <w:p>
      <w:pPr>
        <w:spacing w:after="0" w:line="168"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20"/>
          <w:szCs w:val="20"/>
          <w:u w:val="single" w:color="auto"/>
          <w:color w:val="auto"/>
        </w:rPr>
        <w:t>Article III</w:t>
      </w:r>
      <w:r>
        <w:rPr>
          <w:rFonts w:ascii="Arial" w:cs="Arial" w:eastAsia="Arial" w:hAnsi="Arial"/>
          <w:sz w:val="20"/>
          <w:szCs w:val="20"/>
          <w:color w:val="auto"/>
        </w:rPr>
        <w:t>) payable to the Administrative Agent in its capacity as such;</w:t>
      </w:r>
    </w:p>
    <w:p>
      <w:pPr>
        <w:spacing w:after="0" w:line="186"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payment of that portion of the Obligations constituting fees, indemnities and other amounts (other than principal and interest) payable to the Lenders (including fees, charges and disbursements of counsel to the respective Lenders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ratably among them in proportion to the respective amounts described in this clause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payable to them;</w:t>
      </w:r>
    </w:p>
    <w:p>
      <w:pPr>
        <w:spacing w:after="0" w:line="15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xml:space="preserve">, to payment of that portion of the Obligations constituting accrued and unpaid interest on the Loans and other Obligations arising under the Loan Documents, ratably among the Lenders in proportion to the respective amounts described in this clause </w:t>
      </w:r>
      <w:r>
        <w:rPr>
          <w:rFonts w:ascii="Arial" w:cs="Arial" w:eastAsia="Arial" w:hAnsi="Arial"/>
          <w:sz w:val="20"/>
          <w:szCs w:val="20"/>
          <w:u w:val="single" w:color="auto"/>
          <w:color w:val="auto"/>
        </w:rPr>
        <w:t>Third</w:t>
      </w:r>
      <w:r>
        <w:rPr>
          <w:rFonts w:ascii="Arial" w:cs="Arial" w:eastAsia="Arial" w:hAnsi="Arial"/>
          <w:sz w:val="20"/>
          <w:szCs w:val="20"/>
          <w:color w:val="auto"/>
        </w:rPr>
        <w:t xml:space="preserve"> payable to them;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7" w:name="page68"/>
    <w:bookmarkEnd w:id="67"/>
    <w:p>
      <w:pPr>
        <w:jc w:val="both"/>
        <w:ind w:right="20" w:firstLine="864"/>
        <w:spacing w:after="0" w:line="260" w:lineRule="auto"/>
        <w:rPr>
          <w:sz w:val="20"/>
          <w:szCs w:val="20"/>
          <w:color w:val="auto"/>
        </w:rPr>
      </w:pPr>
      <w:r>
        <w:rPr>
          <w:rFonts w:ascii="Arial" w:cs="Arial" w:eastAsia="Arial" w:hAnsi="Arial"/>
          <w:sz w:val="20"/>
          <w:szCs w:val="20"/>
          <w:u w:val="single" w:color="auto"/>
          <w:color w:val="auto"/>
        </w:rPr>
        <w:t>Fourth</w:t>
      </w:r>
      <w:r>
        <w:rPr>
          <w:rFonts w:ascii="Arial" w:cs="Arial" w:eastAsia="Arial" w:hAnsi="Arial"/>
          <w:sz w:val="20"/>
          <w:szCs w:val="20"/>
          <w:color w:val="auto"/>
        </w:rPr>
        <w:t xml:space="preserve">, to payment of that portion of the Obligations constituting unpaid principal of the Loans, ratably among the Lenders in proportion to the respective amounts described in this clause </w:t>
      </w:r>
      <w:r>
        <w:rPr>
          <w:rFonts w:ascii="Arial" w:cs="Arial" w:eastAsia="Arial" w:hAnsi="Arial"/>
          <w:sz w:val="20"/>
          <w:szCs w:val="20"/>
          <w:u w:val="single" w:color="auto"/>
          <w:color w:val="auto"/>
        </w:rPr>
        <w:t>Fourth</w:t>
      </w:r>
      <w:r>
        <w:rPr>
          <w:rFonts w:ascii="Arial" w:cs="Arial" w:eastAsia="Arial" w:hAnsi="Arial"/>
          <w:sz w:val="20"/>
          <w:szCs w:val="20"/>
          <w:color w:val="auto"/>
        </w:rPr>
        <w:t xml:space="preserve"> held by them; and</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Last</w:t>
      </w:r>
      <w:r>
        <w:rPr>
          <w:rFonts w:ascii="Arial" w:cs="Arial" w:eastAsia="Arial" w:hAnsi="Arial"/>
          <w:sz w:val="18"/>
          <w:szCs w:val="18"/>
          <w:color w:val="auto"/>
        </w:rPr>
        <w:t>, the balance, if any, after all of the Obligations have been indefeasibly paid in full, to the Borrower or as otherwise required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by Law.</w:t>
      </w:r>
    </w:p>
    <w:p>
      <w:pPr>
        <w:spacing w:after="0" w:line="302" w:lineRule="exact"/>
        <w:rPr>
          <w:sz w:val="20"/>
          <w:szCs w:val="20"/>
          <w:color w:val="auto"/>
        </w:rPr>
      </w:pPr>
    </w:p>
    <w:p>
      <w:pPr>
        <w:ind w:left="5020"/>
        <w:spacing w:after="0"/>
        <w:rPr>
          <w:sz w:val="20"/>
          <w:szCs w:val="20"/>
          <w:color w:val="auto"/>
        </w:rPr>
      </w:pPr>
      <w:r>
        <w:rPr>
          <w:rFonts w:ascii="Arial" w:cs="Arial" w:eastAsia="Arial" w:hAnsi="Arial"/>
          <w:sz w:val="20"/>
          <w:szCs w:val="20"/>
          <w:b w:val="1"/>
          <w:bCs w:val="1"/>
          <w:color w:val="auto"/>
        </w:rPr>
        <w:t>ARTICLE IX.</w:t>
      </w:r>
    </w:p>
    <w:p>
      <w:pPr>
        <w:spacing w:after="0" w:line="22"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ADMINISTRATIVE AGENT</w:t>
      </w:r>
    </w:p>
    <w:p>
      <w:pPr>
        <w:spacing w:after="0" w:line="194"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20"/>
          <w:szCs w:val="20"/>
          <w:b w:val="1"/>
          <w:bCs w:val="1"/>
          <w:color w:val="auto"/>
        </w:rPr>
        <w:t xml:space="preserve">9.01 Appointment and Authority. </w:t>
      </w:r>
      <w:r>
        <w:rPr>
          <w:rFonts w:ascii="Arial" w:cs="Arial" w:eastAsia="Arial" w:hAnsi="Arial"/>
          <w:sz w:val="20"/>
          <w:szCs w:val="20"/>
          <w:color w:val="auto"/>
        </w:rPr>
        <w:t>Each of the Lenders hereby irrevocably appoints Bank of America to act on its behalf</w:t>
      </w:r>
      <w:r>
        <w:rPr>
          <w:rFonts w:ascii="Arial" w:cs="Arial" w:eastAsia="Arial" w:hAnsi="Arial"/>
          <w:sz w:val="20"/>
          <w:szCs w:val="20"/>
          <w:b w:val="1"/>
          <w:bCs w:val="1"/>
          <w:color w:val="auto"/>
        </w:rPr>
        <w:t xml:space="preserve"> </w:t>
      </w:r>
      <w:r>
        <w:rPr>
          <w:rFonts w:ascii="Arial" w:cs="Arial" w:eastAsia="Arial" w:hAnsi="Arial"/>
          <w:sz w:val="20"/>
          <w:szCs w:val="20"/>
          <w:color w:val="auto"/>
        </w:rPr>
        <w:t>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and the Lenders, and the Borrower shall not have any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94"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b w:val="1"/>
          <w:bCs w:val="1"/>
          <w:color w:val="auto"/>
        </w:rPr>
        <w:t xml:space="preserve">9.02 Rights as a Lender. </w:t>
      </w:r>
      <w:r>
        <w:rPr>
          <w:rFonts w:ascii="Arial" w:cs="Arial" w:eastAsia="Arial" w:hAnsi="Arial"/>
          <w:sz w:val="20"/>
          <w:szCs w:val="20"/>
          <w:color w:val="auto"/>
        </w:rPr>
        <w:t>The Person serving as the Administrative Agent hereunder shall have the same rights and</w:t>
      </w:r>
      <w:r>
        <w:rPr>
          <w:rFonts w:ascii="Arial" w:cs="Arial" w:eastAsia="Arial" w:hAnsi="Arial"/>
          <w:sz w:val="20"/>
          <w:szCs w:val="20"/>
          <w:b w:val="1"/>
          <w:bCs w:val="1"/>
          <w:color w:val="auto"/>
        </w:rPr>
        <w:t xml:space="preserve"> </w:t>
      </w:r>
      <w:r>
        <w:rPr>
          <w:rFonts w:ascii="Arial" w:cs="Arial" w:eastAsia="Arial" w:hAnsi="Arial"/>
          <w:sz w:val="20"/>
          <w:szCs w:val="20"/>
          <w:color w:val="auto"/>
        </w:rPr>
        <w:t>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86"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b w:val="1"/>
          <w:bCs w:val="1"/>
          <w:color w:val="auto"/>
        </w:rPr>
        <w:t xml:space="preserve">9.03 Exculpatory Provisions. </w:t>
      </w:r>
      <w:r>
        <w:rPr>
          <w:rFonts w:ascii="Arial" w:cs="Arial" w:eastAsia="Arial" w:hAnsi="Arial"/>
          <w:sz w:val="19"/>
          <w:szCs w:val="19"/>
          <w:color w:val="auto"/>
        </w:rPr>
        <w:t>The Administrative Agent or the Arranger, as applicable, shall not have any duties or</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obligations except those expressly set forth herein and in the other Loan Documents, and its duties hereunder shall be administrative in nature. Without limiting the generality of the foregoing, the Administrative Agent or the Arranger, as applicable:</w:t>
      </w:r>
    </w:p>
    <w:p>
      <w:pPr>
        <w:spacing w:after="0" w:line="168" w:lineRule="exact"/>
        <w:rPr>
          <w:sz w:val="20"/>
          <w:szCs w:val="20"/>
          <w:color w:val="auto"/>
        </w:rPr>
      </w:pPr>
    </w:p>
    <w:p>
      <w:pPr>
        <w:ind w:left="1740" w:hanging="868"/>
        <w:spacing w:after="0"/>
        <w:tabs>
          <w:tab w:leader="none" w:pos="1740" w:val="left"/>
        </w:tabs>
        <w:numPr>
          <w:ilvl w:val="0"/>
          <w:numId w:val="81"/>
        </w:numPr>
        <w:rPr>
          <w:rFonts w:ascii="Arial" w:cs="Arial" w:eastAsia="Arial" w:hAnsi="Arial"/>
          <w:sz w:val="19"/>
          <w:szCs w:val="19"/>
          <w:color w:val="auto"/>
        </w:rPr>
      </w:pPr>
      <w:r>
        <w:rPr>
          <w:rFonts w:ascii="Arial" w:cs="Arial" w:eastAsia="Arial" w:hAnsi="Arial"/>
          <w:sz w:val="19"/>
          <w:szCs w:val="19"/>
          <w:color w:val="auto"/>
        </w:rPr>
        <w:t>shall not be subject to any fiduciary or other implied duties, regardless of whether a Default has occurred and is</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continuing;</w:t>
      </w:r>
    </w:p>
    <w:p>
      <w:pPr>
        <w:spacing w:after="0" w:line="199" w:lineRule="exact"/>
        <w:rPr>
          <w:rFonts w:ascii="Arial" w:cs="Arial" w:eastAsia="Arial" w:hAnsi="Arial"/>
          <w:sz w:val="19"/>
          <w:szCs w:val="19"/>
          <w:color w:val="auto"/>
        </w:rPr>
      </w:pPr>
    </w:p>
    <w:p>
      <w:pPr>
        <w:jc w:val="both"/>
        <w:ind w:firstLine="872"/>
        <w:spacing w:after="0" w:line="274" w:lineRule="auto"/>
        <w:tabs>
          <w:tab w:leader="none" w:pos="1742"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8" w:name="page69"/>
    <w:bookmarkEnd w:id="68"/>
    <w:p>
      <w:pPr>
        <w:jc w:val="both"/>
        <w:ind w:firstLine="872"/>
        <w:spacing w:after="0" w:line="244" w:lineRule="auto"/>
        <w:tabs>
          <w:tab w:leader="none" w:pos="1731" w:val="left"/>
        </w:tabs>
        <w:numPr>
          <w:ilvl w:val="0"/>
          <w:numId w:val="82"/>
        </w:numPr>
        <w:rPr>
          <w:rFonts w:ascii="Arial" w:cs="Arial" w:eastAsia="Arial" w:hAnsi="Arial"/>
          <w:sz w:val="20"/>
          <w:szCs w:val="20"/>
          <w:color w:val="auto"/>
        </w:rPr>
      </w:pPr>
      <w:r>
        <w:rPr>
          <w:rFonts w:ascii="Arial" w:cs="Arial" w:eastAsia="Arial" w:hAnsi="Arial"/>
          <w:sz w:val="20"/>
          <w:szCs w:val="20"/>
          <w:color w:val="auto"/>
        </w:rPr>
        <w:t>shall not have any duty or responsibility to disclose, and shall not be liable for the failure to disclose, to any Lender, any credit or other information concerning the business, prospects, operations, property, financial and other condition or creditworthiness of the Borrower or any of its Affiliates, that is communicated to, obtained by or in the possession of, the Administrative Agent, Arranger or any of their Related Parties in any capacity, except for notices, reports and other documents expressly required to be furnished to the Lenders by the Administrative Agent herein;</w:t>
      </w:r>
    </w:p>
    <w:p>
      <w:pPr>
        <w:spacing w:after="0" w:line="194" w:lineRule="exact"/>
        <w:rPr>
          <w:rFonts w:ascii="Arial" w:cs="Arial" w:eastAsia="Arial" w:hAnsi="Arial"/>
          <w:sz w:val="20"/>
          <w:szCs w:val="20"/>
          <w:color w:val="auto"/>
        </w:rPr>
      </w:pPr>
    </w:p>
    <w:p>
      <w:pPr>
        <w:jc w:val="both"/>
        <w:ind w:firstLine="872"/>
        <w:spacing w:after="0" w:line="243" w:lineRule="auto"/>
        <w:tabs>
          <w:tab w:leader="none" w:pos="1742" w:val="left"/>
        </w:tabs>
        <w:numPr>
          <w:ilvl w:val="0"/>
          <w:numId w:val="82"/>
        </w:numPr>
        <w:rPr>
          <w:rFonts w:ascii="Arial" w:cs="Arial" w:eastAsia="Arial" w:hAnsi="Arial"/>
          <w:sz w:val="20"/>
          <w:szCs w:val="20"/>
          <w:color w:val="auto"/>
        </w:rPr>
      </w:pPr>
      <w:r>
        <w:rPr>
          <w:rFonts w:ascii="Arial" w:cs="Arial" w:eastAsia="Arial" w:hAnsi="Arial"/>
          <w:sz w:val="20"/>
          <w:szCs w:val="20"/>
          <w:color w:val="auto"/>
        </w:rPr>
        <w:t xml:space="preserve">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20"/>
          <w:szCs w:val="20"/>
          <w:u w:val="single" w:color="auto"/>
          <w:color w:val="auto"/>
        </w:rPr>
        <w:t>Sections 10.01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8.02</w:t>
      </w:r>
      <w:r>
        <w:rPr>
          <w:rFonts w:ascii="Arial" w:cs="Arial" w:eastAsia="Arial" w:hAnsi="Arial"/>
          <w:sz w:val="20"/>
          <w:szCs w:val="20"/>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Borrower or a Lender; and</w:t>
      </w:r>
    </w:p>
    <w:p>
      <w:pPr>
        <w:spacing w:after="0" w:line="195" w:lineRule="exact"/>
        <w:rPr>
          <w:rFonts w:ascii="Arial" w:cs="Arial" w:eastAsia="Arial" w:hAnsi="Arial"/>
          <w:sz w:val="20"/>
          <w:szCs w:val="20"/>
          <w:color w:val="auto"/>
        </w:rPr>
      </w:pPr>
    </w:p>
    <w:p>
      <w:pPr>
        <w:jc w:val="both"/>
        <w:ind w:firstLine="872"/>
        <w:spacing w:after="0" w:line="243" w:lineRule="auto"/>
        <w:tabs>
          <w:tab w:leader="none" w:pos="1731" w:val="left"/>
        </w:tabs>
        <w:numPr>
          <w:ilvl w:val="0"/>
          <w:numId w:val="82"/>
        </w:numPr>
        <w:rPr>
          <w:rFonts w:ascii="Arial" w:cs="Arial" w:eastAsia="Arial" w:hAnsi="Arial"/>
          <w:sz w:val="20"/>
          <w:szCs w:val="20"/>
          <w:color w:val="auto"/>
        </w:rPr>
      </w:pPr>
      <w:r>
        <w:rPr>
          <w:rFonts w:ascii="Arial" w:cs="Arial" w:eastAsia="Arial" w:hAnsi="Arial"/>
          <w:sz w:val="20"/>
          <w:szCs w:val="20"/>
          <w:color w:val="auto"/>
        </w:rPr>
        <w:t xml:space="preserve">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or elsewhere herein, other than to confirm receipt of items expressly required to be delivered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-2823845</wp:posOffset>
            </wp:positionV>
            <wp:extent cx="400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0005" cy="8255"/>
                    </a:xfrm>
                    <a:prstGeom prst="rect">
                      <a:avLst/>
                    </a:prstGeom>
                    <a:noFill/>
                  </pic:spPr>
                </pic:pic>
              </a:graphicData>
            </a:graphic>
          </wp:anchor>
        </w:drawing>
      </w:r>
    </w:p>
    <w:p>
      <w:pPr>
        <w:spacing w:after="0" w:line="167"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9"/>
          <w:szCs w:val="19"/>
          <w:b w:val="1"/>
          <w:bCs w:val="1"/>
          <w:color w:val="auto"/>
        </w:rPr>
        <w:t xml:space="preserve">9.04 Reliance by Administrative Agent. </w:t>
      </w:r>
      <w:r>
        <w:rPr>
          <w:rFonts w:ascii="Arial" w:cs="Arial" w:eastAsia="Arial" w:hAnsi="Arial"/>
          <w:sz w:val="19"/>
          <w:szCs w:val="19"/>
          <w:color w:val="auto"/>
        </w:rPr>
        <w:t>The Administrative Agent shall be entitled to rely upon, and shall not incur any</w:t>
      </w:r>
      <w:r>
        <w:rPr>
          <w:rFonts w:ascii="Arial" w:cs="Arial" w:eastAsia="Arial" w:hAnsi="Arial"/>
          <w:sz w:val="19"/>
          <w:szCs w:val="19"/>
          <w:b w:val="1"/>
          <w:bCs w:val="1"/>
          <w:color w:val="auto"/>
        </w:rPr>
        <w:t xml:space="preserve"> </w:t>
      </w:r>
      <w:r>
        <w:rPr>
          <w:rFonts w:ascii="Arial" w:cs="Arial" w:eastAsia="Arial" w:hAnsi="Arial"/>
          <w:sz w:val="19"/>
          <w:szCs w:val="19"/>
          <w:color w:val="auto"/>
        </w:rPr>
        <w:t>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0"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8"/>
          <w:szCs w:val="18"/>
          <w:b w:val="1"/>
          <w:bCs w:val="1"/>
          <w:color w:val="auto"/>
        </w:rPr>
        <w:t xml:space="preserve">9.05 Delegation of Duties. </w:t>
      </w:r>
      <w:r>
        <w:rPr>
          <w:rFonts w:ascii="Arial" w:cs="Arial" w:eastAsia="Arial" w:hAnsi="Arial"/>
          <w:sz w:val="18"/>
          <w:szCs w:val="18"/>
          <w:color w:val="auto"/>
        </w:rPr>
        <w:t>The Administrative Agent may perform any and all of its duties and exercise its rights and</w:t>
      </w:r>
      <w:r>
        <w:rPr>
          <w:rFonts w:ascii="Arial" w:cs="Arial" w:eastAsia="Arial" w:hAnsi="Arial"/>
          <w:sz w:val="18"/>
          <w:szCs w:val="18"/>
          <w:b w:val="1"/>
          <w:bCs w:val="1"/>
          <w:color w:val="auto"/>
        </w:rPr>
        <w:t xml:space="preserve"> </w:t>
      </w:r>
      <w:r>
        <w:rPr>
          <w:rFonts w:ascii="Arial" w:cs="Arial" w:eastAsia="Arial" w:hAnsi="Arial"/>
          <w:sz w:val="18"/>
          <w:szCs w:val="18"/>
          <w:color w:val="auto"/>
        </w:rPr>
        <w:t>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9" w:name="page70"/>
    <w:bookmarkEnd w:id="69"/>
    <w:p>
      <w:pPr>
        <w:jc w:val="both"/>
        <w:ind w:firstLine="864"/>
        <w:spacing w:after="0" w:line="274" w:lineRule="auto"/>
        <w:rPr>
          <w:sz w:val="20"/>
          <w:szCs w:val="20"/>
          <w:color w:val="auto"/>
        </w:rPr>
      </w:pPr>
      <w:r>
        <w:rPr>
          <w:rFonts w:ascii="Arial" w:cs="Arial" w:eastAsia="Arial" w:hAnsi="Arial"/>
          <w:sz w:val="18"/>
          <w:szCs w:val="18"/>
          <w:b w:val="1"/>
          <w:bCs w:val="1"/>
          <w:color w:val="auto"/>
        </w:rPr>
        <w:t xml:space="preserve">9.06 Resignation or Removal of Administrative Agent. </w:t>
      </w:r>
      <w:r>
        <w:rPr>
          <w:rFonts w:ascii="Arial" w:cs="Arial" w:eastAsia="Arial" w:hAnsi="Arial"/>
          <w:sz w:val="18"/>
          <w:szCs w:val="18"/>
          <w:color w:val="auto"/>
        </w:rPr>
        <w:t>(a) The Administrative Agent may at any time give notice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resignation to the Lenders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8"/>
          <w:szCs w:val="18"/>
          <w:u w:val="single" w:color="auto"/>
          <w:color w:val="auto"/>
        </w:rPr>
        <w:t>Resignation Closing Date</w:t>
      </w:r>
      <w:r>
        <w:rPr>
          <w:rFonts w:ascii="Arial" w:cs="Arial" w:eastAsia="Arial" w:hAnsi="Arial"/>
          <w:sz w:val="18"/>
          <w:szCs w:val="18"/>
          <w:color w:val="auto"/>
        </w:rPr>
        <w:t>”), then the retiring Administrative Agent may (but shall not be obligated to) on behalf of the Lenders, appoint a successor Administrative Agent meeting the qualifications set forth above. Whether or not a successor has been appointed, such resignation shall become effective in accordance with such notice on the Resignation Closing Date.</w:t>
      </w:r>
    </w:p>
    <w:p>
      <w:pPr>
        <w:spacing w:after="0" w:line="168" w:lineRule="exact"/>
        <w:rPr>
          <w:sz w:val="20"/>
          <w:szCs w:val="20"/>
          <w:color w:val="auto"/>
        </w:rPr>
      </w:pPr>
    </w:p>
    <w:p>
      <w:pPr>
        <w:jc w:val="both"/>
        <w:ind w:firstLine="872"/>
        <w:spacing w:after="0" w:line="243" w:lineRule="auto"/>
        <w:tabs>
          <w:tab w:leader="none" w:pos="1742" w:val="left"/>
        </w:tabs>
        <w:numPr>
          <w:ilvl w:val="0"/>
          <w:numId w:val="83"/>
        </w:numPr>
        <w:rPr>
          <w:rFonts w:ascii="Arial" w:cs="Arial" w:eastAsia="Arial" w:hAnsi="Arial"/>
          <w:sz w:val="20"/>
          <w:szCs w:val="20"/>
          <w:color w:val="auto"/>
        </w:rPr>
      </w:pPr>
      <w:r>
        <w:rPr>
          <w:rFonts w:ascii="Arial" w:cs="Arial" w:eastAsia="Arial" w:hAnsi="Arial"/>
          <w:sz w:val="20"/>
          <w:szCs w:val="20"/>
          <w:color w:val="auto"/>
        </w:rPr>
        <w:t xml:space="preserve">If the Person serving as Administrative Agent is a Defaulting Lender pursuant to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clause (d)</w:t>
      </w:r>
      <w:r>
        <w:rPr>
          <w:rFonts w:ascii="Arial" w:cs="Arial" w:eastAsia="Arial" w:hAnsi="Arial"/>
          <w:sz w:val="20"/>
          <w:szCs w:val="20"/>
          <w:color w:val="auto"/>
        </w:rPr>
        <w:t xml:space="preserve"> of the definition thereof, the Required Lenders may, to the extent permitted by Applicable Law, by notice in writing to the Borrower and such Person remove such Person as Administrative Agent and, with the consent of the Borrower unless an Event of Default has occurred and is continuing (such consent not to be unreasonably withheld)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20"/>
          <w:szCs w:val="20"/>
          <w:u w:val="single" w:color="auto"/>
          <w:color w:val="auto"/>
        </w:rPr>
        <w:t>Removal Closing Date</w:t>
      </w:r>
      <w:r>
        <w:rPr>
          <w:rFonts w:ascii="Arial" w:cs="Arial" w:eastAsia="Arial" w:hAnsi="Arial"/>
          <w:sz w:val="20"/>
          <w:szCs w:val="20"/>
          <w:color w:val="auto"/>
        </w:rPr>
        <w:t>”), then such removal shall nonetheless become effective in accordance with such notice on the Removal Closing Date.</w:t>
      </w:r>
    </w:p>
    <w:p>
      <w:pPr>
        <w:spacing w:after="0" w:line="192" w:lineRule="exact"/>
        <w:rPr>
          <w:rFonts w:ascii="Arial" w:cs="Arial" w:eastAsia="Arial" w:hAnsi="Arial"/>
          <w:sz w:val="20"/>
          <w:szCs w:val="20"/>
          <w:color w:val="auto"/>
        </w:rPr>
      </w:pPr>
    </w:p>
    <w:p>
      <w:pPr>
        <w:jc w:val="both"/>
        <w:ind w:firstLine="872"/>
        <w:spacing w:after="0" w:line="269" w:lineRule="auto"/>
        <w:tabs>
          <w:tab w:leader="none" w:pos="1731"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With effect from the Resignation Closing Date or the Removal Closing Date (as applicable) (1) the retiring or removed Administrative Agent shall be discharged from its duties and obligations hereunder and under the other Loan Documents (except that in the case of any collateral security held by the Administrative Agent on behalf of the Lenders under any of the Loan Documents, the retiring or removed Administrative Agent shall continue to hold such collateral security until such time as a successor Administrative Agent is appointed) and (2) 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Arial" w:cs="Arial" w:eastAsia="Arial" w:hAnsi="Arial"/>
          <w:sz w:val="18"/>
          <w:szCs w:val="18"/>
          <w:u w:val="single" w:color="auto"/>
          <w:color w:val="auto"/>
        </w:rPr>
        <w:t>Section 3.01(g)</w:t>
      </w:r>
      <w:r>
        <w:rPr>
          <w:rFonts w:ascii="Arial" w:cs="Arial" w:eastAsia="Arial" w:hAnsi="Arial"/>
          <w:sz w:val="18"/>
          <w:szCs w:val="18"/>
          <w:color w:val="auto"/>
        </w:rPr>
        <w:t xml:space="preserve"> and other than any rights to indemnity payments or other amounts owed to the retiring or removed Administrative Agent as of the Resignation Closing Date or the Removal Closing Date, as applicable),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shall continue in effect for the benefit of such retiring or removed Administrative Agent, its sub agents and their respective Related Parties in respect of any actions taken or omitted to be taken by any of them while the retiring or removed Administrative Agent was acting as Administrative Agent.</w:t>
      </w:r>
    </w:p>
    <w:p>
      <w:pPr>
        <w:spacing w:after="0" w:line="168" w:lineRule="exact"/>
        <w:rPr>
          <w:sz w:val="20"/>
          <w:szCs w:val="20"/>
          <w:color w:val="auto"/>
        </w:rPr>
      </w:pPr>
    </w:p>
    <w:p>
      <w:pPr>
        <w:jc w:val="both"/>
        <w:ind w:firstLine="864"/>
        <w:spacing w:after="0" w:line="262" w:lineRule="auto"/>
        <w:rPr>
          <w:sz w:val="20"/>
          <w:szCs w:val="20"/>
          <w:color w:val="auto"/>
        </w:rPr>
      </w:pPr>
      <w:r>
        <w:rPr>
          <w:rFonts w:ascii="Arial" w:cs="Arial" w:eastAsia="Arial" w:hAnsi="Arial"/>
          <w:sz w:val="19"/>
          <w:szCs w:val="19"/>
          <w:b w:val="1"/>
          <w:bCs w:val="1"/>
          <w:color w:val="auto"/>
        </w:rPr>
        <w:t>Non-Reliance on the Administrative Agent, the Arrangers and the Other Lenders</w:t>
      </w:r>
      <w:r>
        <w:rPr>
          <w:rFonts w:ascii="Arial" w:cs="Arial" w:eastAsia="Arial" w:hAnsi="Arial"/>
          <w:sz w:val="19"/>
          <w:szCs w:val="19"/>
          <w:color w:val="auto"/>
        </w:rPr>
        <w:t>. Each Lender expressly acknowledges that</w:t>
      </w:r>
      <w:r>
        <w:rPr>
          <w:rFonts w:ascii="Arial" w:cs="Arial" w:eastAsia="Arial" w:hAnsi="Arial"/>
          <w:sz w:val="19"/>
          <w:szCs w:val="19"/>
          <w:b w:val="1"/>
          <w:bCs w:val="1"/>
          <w:color w:val="auto"/>
        </w:rPr>
        <w:t xml:space="preserve"> </w:t>
      </w:r>
      <w:r>
        <w:rPr>
          <w:rFonts w:ascii="Arial" w:cs="Arial" w:eastAsia="Arial" w:hAnsi="Arial"/>
          <w:sz w:val="19"/>
          <w:szCs w:val="19"/>
          <w:color w:val="auto"/>
        </w:rPr>
        <w:t>none of the Administrative Agent nor the Arranger has made any representation or warranty to it, and that no act by the Administrative Agent or the Arranger hereafter taken, including any consent to, and acceptance of any assignment or review of the affairs of the Borrower or any Affiliate thereof, shall be deemed to constitute any representation or warranty by the Administrative Agent or the Arranger to any Lender as to any matter, including whether the Administrative Agent or the Arranger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0" w:name="page71"/>
    <w:bookmarkEnd w:id="70"/>
    <w:p>
      <w:pPr>
        <w:jc w:val="both"/>
        <w:spacing w:after="0" w:line="268" w:lineRule="auto"/>
        <w:rPr>
          <w:sz w:val="20"/>
          <w:szCs w:val="20"/>
          <w:color w:val="auto"/>
        </w:rPr>
      </w:pPr>
      <w:r>
        <w:rPr>
          <w:rFonts w:ascii="Arial" w:cs="Arial" w:eastAsia="Arial" w:hAnsi="Arial"/>
          <w:sz w:val="18"/>
          <w:szCs w:val="18"/>
          <w:color w:val="auto"/>
        </w:rPr>
        <w:t>have disclosed material information in their (or their Related Parties’) possession. Each Lender represents to the Administrative Agent and the Arranger that it has, independently and without reliance upon the Administrative Agent, the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Borrower and its Subsidiaries, and all applicable bank or other regulatory Laws relating to the transactions contemplated hereby, and made its own decision to enter into this Agreement and to extend credit to the Borrower hereunder. Each Lender also acknowledges that it will, independently and without reliance upon the Administrative Agent, the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Borrower. Each Lender represents and warrants that (i) the Loan Documents set forth the terms of a commercial lending facility and (ii) it is engaged in making, acquiring or holding commercial loans in the ordinary course and is entering into this Agreement as a Lender for the purpose of making, acquiring or holding commercial loans and providing other facilities set forth herein as may be applicable to such Lender, and not for the purpose of purchasing, acquiring or holding any other type of financial instrument, and each Lender agrees not to assert a claim in contravention of the foregoing. Each Lender represents and warrants that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79" w:lineRule="exact"/>
        <w:rPr>
          <w:sz w:val="20"/>
          <w:szCs w:val="20"/>
          <w:color w:val="auto"/>
        </w:rPr>
      </w:pPr>
    </w:p>
    <w:p>
      <w:pPr>
        <w:jc w:val="both"/>
        <w:ind w:right="20" w:firstLine="864"/>
        <w:spacing w:after="0" w:line="253" w:lineRule="auto"/>
        <w:rPr>
          <w:sz w:val="20"/>
          <w:szCs w:val="20"/>
          <w:color w:val="auto"/>
        </w:rPr>
      </w:pPr>
      <w:r>
        <w:rPr>
          <w:rFonts w:ascii="Arial" w:cs="Arial" w:eastAsia="Arial" w:hAnsi="Arial"/>
          <w:sz w:val="20"/>
          <w:szCs w:val="20"/>
          <w:b w:val="1"/>
          <w:bCs w:val="1"/>
          <w:color w:val="auto"/>
        </w:rPr>
        <w:t xml:space="preserve">9.08 No Other Duties, Etc. </w:t>
      </w:r>
      <w:r>
        <w:rPr>
          <w:rFonts w:ascii="Arial" w:cs="Arial" w:eastAsia="Arial" w:hAnsi="Arial"/>
          <w:sz w:val="20"/>
          <w:szCs w:val="20"/>
          <w:color w:val="auto"/>
        </w:rPr>
        <w:t>Anything herein to the contrary notwithstanding, none of the Bookrunner, the Arranger or the</w:t>
      </w:r>
      <w:r>
        <w:rPr>
          <w:rFonts w:ascii="Arial" w:cs="Arial" w:eastAsia="Arial" w:hAnsi="Arial"/>
          <w:sz w:val="20"/>
          <w:szCs w:val="20"/>
          <w:b w:val="1"/>
          <w:bCs w:val="1"/>
          <w:color w:val="auto"/>
        </w:rPr>
        <w:t xml:space="preserve"> </w:t>
      </w:r>
      <w:r>
        <w:rPr>
          <w:rFonts w:ascii="Arial" w:cs="Arial" w:eastAsia="Arial" w:hAnsi="Arial"/>
          <w:sz w:val="20"/>
          <w:szCs w:val="20"/>
          <w:color w:val="auto"/>
        </w:rPr>
        <w:t>Syndication Agent listed on the cover page hereof shall have any powers, duties or responsibilities under this Agreement or any of the other Loan Documents, except in its capacity, as applicable, as the Administrative Agent or a Lender hereunder.</w:t>
      </w:r>
    </w:p>
    <w:p>
      <w:pPr>
        <w:spacing w:after="0" w:line="177"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b w:val="1"/>
          <w:bCs w:val="1"/>
          <w:color w:val="auto"/>
        </w:rPr>
        <w:t xml:space="preserve">9.09 Administrative Agent May File Proofs of Claim. </w:t>
      </w:r>
      <w:r>
        <w:rPr>
          <w:rFonts w:ascii="Arial" w:cs="Arial" w:eastAsia="Arial" w:hAnsi="Arial"/>
          <w:sz w:val="20"/>
          <w:szCs w:val="20"/>
          <w:color w:val="auto"/>
        </w:rPr>
        <w:t>In case of the pendency of any receivership, insolvency,</w:t>
      </w:r>
      <w:r>
        <w:rPr>
          <w:rFonts w:ascii="Arial" w:cs="Arial" w:eastAsia="Arial" w:hAnsi="Arial"/>
          <w:sz w:val="20"/>
          <w:szCs w:val="20"/>
          <w:b w:val="1"/>
          <w:bCs w:val="1"/>
          <w:color w:val="auto"/>
        </w:rPr>
        <w:t xml:space="preserve"> </w:t>
      </w:r>
      <w:r>
        <w:rPr>
          <w:rFonts w:ascii="Arial" w:cs="Arial" w:eastAsia="Arial" w:hAnsi="Arial"/>
          <w:sz w:val="20"/>
          <w:szCs w:val="20"/>
          <w:color w:val="auto"/>
        </w:rPr>
        <w:t>liquidation, bankruptcy, reorganization, arrangement, adjustment, composition or other judicial proceeding relative to the Borrower,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91" w:lineRule="exact"/>
        <w:rPr>
          <w:sz w:val="20"/>
          <w:szCs w:val="20"/>
          <w:color w:val="auto"/>
        </w:rPr>
      </w:pPr>
    </w:p>
    <w:p>
      <w:pPr>
        <w:jc w:val="both"/>
        <w:ind w:firstLine="872"/>
        <w:spacing w:after="0" w:line="260" w:lineRule="auto"/>
        <w:tabs>
          <w:tab w:leader="none" w:pos="1731"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Arial" w:cs="Arial" w:eastAsia="Arial" w:hAnsi="Arial"/>
          <w:sz w:val="19"/>
          <w:szCs w:val="19"/>
          <w:u w:val="single" w:color="auto"/>
          <w:color w:val="auto"/>
        </w:rPr>
        <w:t>Sections 2.07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10.04</w:t>
      </w:r>
      <w:r>
        <w:rPr>
          <w:rFonts w:ascii="Arial" w:cs="Arial" w:eastAsia="Arial" w:hAnsi="Arial"/>
          <w:sz w:val="19"/>
          <w:szCs w:val="19"/>
          <w:color w:val="auto"/>
        </w:rPr>
        <w:t>) allowed in such judicial proceeding; and</w:t>
      </w:r>
    </w:p>
    <w:p>
      <w:pPr>
        <w:spacing w:after="0" w:line="180" w:lineRule="exact"/>
        <w:rPr>
          <w:rFonts w:ascii="Arial" w:cs="Arial" w:eastAsia="Arial" w:hAnsi="Arial"/>
          <w:sz w:val="19"/>
          <w:szCs w:val="19"/>
          <w:color w:val="auto"/>
        </w:rPr>
      </w:pPr>
    </w:p>
    <w:p>
      <w:pPr>
        <w:ind w:left="1760" w:hanging="888"/>
        <w:spacing w:after="0"/>
        <w:tabs>
          <w:tab w:leader="none" w:pos="17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same;</w:t>
      </w:r>
    </w:p>
    <w:p>
      <w:pPr>
        <w:spacing w:after="0" w:line="20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71" w:name="page72"/>
    <w:bookmarkEnd w:id="71"/>
    <w:p>
      <w:pPr>
        <w:jc w:val="both"/>
        <w:spacing w:after="0" w:line="260" w:lineRule="auto"/>
        <w:rPr>
          <w:sz w:val="20"/>
          <w:szCs w:val="20"/>
          <w:color w:val="auto"/>
        </w:rPr>
      </w:pPr>
      <w:r>
        <w:rPr>
          <w:rFonts w:ascii="Arial" w:cs="Arial" w:eastAsia="Arial" w:hAnsi="Arial"/>
          <w:sz w:val="20"/>
          <w:szCs w:val="20"/>
          <w:color w:val="auto"/>
        </w:rPr>
        <w:t xml:space="preserve">expenses, disbursements and advances of the Administrative Agent and its agents and counsel, and any other amounts due the Administrative Agent under </w:t>
      </w:r>
      <w:r>
        <w:rPr>
          <w:rFonts w:ascii="Arial" w:cs="Arial" w:eastAsia="Arial" w:hAnsi="Arial"/>
          <w:sz w:val="20"/>
          <w:szCs w:val="20"/>
          <w:u w:val="single" w:color="auto"/>
          <w:color w:val="auto"/>
        </w:rPr>
        <w:t>Sections 2.07</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10.04</w:t>
      </w:r>
      <w:r>
        <w:rPr>
          <w:rFonts w:ascii="Arial" w:cs="Arial" w:eastAsia="Arial" w:hAnsi="Arial"/>
          <w:sz w:val="20"/>
          <w:szCs w:val="20"/>
          <w:color w:val="auto"/>
        </w:rPr>
        <w:t>.</w:t>
      </w:r>
    </w:p>
    <w:p>
      <w:pPr>
        <w:spacing w:after="0" w:line="177"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9"/>
          <w:szCs w:val="19"/>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6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9.10</w:t>
      </w:r>
      <w:r>
        <w:rPr>
          <w:sz w:val="20"/>
          <w:szCs w:val="20"/>
          <w:color w:val="auto"/>
        </w:rPr>
        <w:tab/>
      </w:r>
      <w:r>
        <w:rPr>
          <w:rFonts w:ascii="Arial" w:cs="Arial" w:eastAsia="Arial" w:hAnsi="Arial"/>
          <w:sz w:val="16"/>
          <w:szCs w:val="16"/>
          <w:b w:val="1"/>
          <w:bCs w:val="1"/>
          <w:color w:val="auto"/>
        </w:rPr>
        <w:t>No Lender is an Employee Benefit Plan.</w:t>
      </w:r>
    </w:p>
    <w:p>
      <w:pPr>
        <w:spacing w:after="0" w:line="222" w:lineRule="exact"/>
        <w:rPr>
          <w:sz w:val="20"/>
          <w:szCs w:val="20"/>
          <w:color w:val="auto"/>
        </w:rPr>
      </w:pPr>
    </w:p>
    <w:p>
      <w:pPr>
        <w:jc w:val="both"/>
        <w:ind w:firstLine="872"/>
        <w:spacing w:after="0" w:line="246" w:lineRule="auto"/>
        <w:tabs>
          <w:tab w:leader="none" w:pos="1731" w:val="left"/>
        </w:tabs>
        <w:numPr>
          <w:ilvl w:val="1"/>
          <w:numId w:val="85"/>
        </w:numPr>
        <w:rPr>
          <w:rFonts w:ascii="Arial" w:cs="Arial" w:eastAsia="Arial" w:hAnsi="Arial"/>
          <w:sz w:val="20"/>
          <w:szCs w:val="20"/>
          <w:color w:val="auto"/>
        </w:rPr>
      </w:pPr>
      <w:r>
        <w:rPr>
          <w:rFonts w:ascii="Arial" w:cs="Arial" w:eastAsia="Arial" w:hAnsi="Arial"/>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 and their respective Affiliates, and not, for the avoidance of doubt, to or for the benefit of the Borrower, that at least one of the following is and will be true:</w:t>
      </w:r>
    </w:p>
    <w:p>
      <w:pPr>
        <w:spacing w:after="0" w:line="191" w:lineRule="exact"/>
        <w:rPr>
          <w:rFonts w:ascii="Arial" w:cs="Arial" w:eastAsia="Arial" w:hAnsi="Arial"/>
          <w:sz w:val="20"/>
          <w:szCs w:val="20"/>
          <w:color w:val="auto"/>
        </w:rPr>
      </w:pPr>
    </w:p>
    <w:p>
      <w:pPr>
        <w:jc w:val="both"/>
        <w:ind w:left="880" w:firstLine="789"/>
        <w:spacing w:after="0" w:line="250" w:lineRule="auto"/>
        <w:tabs>
          <w:tab w:leader="none" w:pos="2512" w:val="left"/>
        </w:tabs>
        <w:numPr>
          <w:ilvl w:val="2"/>
          <w:numId w:val="85"/>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spacing w:after="0" w:line="185" w:lineRule="exact"/>
        <w:rPr>
          <w:rFonts w:ascii="Arial" w:cs="Arial" w:eastAsia="Arial" w:hAnsi="Arial"/>
          <w:sz w:val="20"/>
          <w:szCs w:val="20"/>
          <w:color w:val="auto"/>
        </w:rPr>
      </w:pPr>
    </w:p>
    <w:p>
      <w:pPr>
        <w:jc w:val="both"/>
        <w:ind w:left="880" w:firstLine="789"/>
        <w:spacing w:after="0" w:line="243" w:lineRule="auto"/>
        <w:tabs>
          <w:tab w:leader="none" w:pos="2567" w:val="left"/>
        </w:tabs>
        <w:numPr>
          <w:ilvl w:val="2"/>
          <w:numId w:val="85"/>
        </w:numPr>
        <w:rPr>
          <w:rFonts w:ascii="Arial" w:cs="Arial" w:eastAsia="Arial" w:hAnsi="Arial"/>
          <w:sz w:val="20"/>
          <w:szCs w:val="20"/>
          <w:color w:val="auto"/>
        </w:rPr>
      </w:pPr>
      <w:r>
        <w:rPr>
          <w:rFonts w:ascii="Arial" w:cs="Arial" w:eastAsia="Arial" w:hAnsi="Arial"/>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192" w:lineRule="exact"/>
        <w:rPr>
          <w:rFonts w:ascii="Arial" w:cs="Arial" w:eastAsia="Arial" w:hAnsi="Arial"/>
          <w:sz w:val="20"/>
          <w:szCs w:val="20"/>
          <w:color w:val="auto"/>
        </w:rPr>
      </w:pPr>
    </w:p>
    <w:p>
      <w:pPr>
        <w:jc w:val="both"/>
        <w:ind w:left="880" w:firstLine="789"/>
        <w:spacing w:after="0" w:line="274" w:lineRule="auto"/>
        <w:tabs>
          <w:tab w:leader="none" w:pos="2622" w:val="left"/>
        </w:tabs>
        <w:numPr>
          <w:ilvl w:val="2"/>
          <w:numId w:val="85"/>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68" w:lineRule="exact"/>
        <w:rPr>
          <w:rFonts w:ascii="Arial" w:cs="Arial" w:eastAsia="Arial" w:hAnsi="Arial"/>
          <w:sz w:val="18"/>
          <w:szCs w:val="18"/>
          <w:color w:val="auto"/>
        </w:rPr>
      </w:pPr>
    </w:p>
    <w:p>
      <w:pPr>
        <w:ind w:left="880" w:firstLine="789"/>
        <w:spacing w:after="0" w:line="260" w:lineRule="auto"/>
        <w:tabs>
          <w:tab w:leader="none" w:pos="2611" w:val="left"/>
        </w:tabs>
        <w:numPr>
          <w:ilvl w:val="2"/>
          <w:numId w:val="85"/>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76" w:lineRule="exact"/>
        <w:rPr>
          <w:rFonts w:ascii="Arial" w:cs="Arial" w:eastAsia="Arial" w:hAnsi="Arial"/>
          <w:sz w:val="20"/>
          <w:szCs w:val="20"/>
          <w:color w:val="auto"/>
        </w:rPr>
      </w:pPr>
    </w:p>
    <w:p>
      <w:pPr>
        <w:ind w:left="1760" w:hanging="888"/>
        <w:spacing w:after="0"/>
        <w:tabs>
          <w:tab w:leader="none" w:pos="17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In addition, unless either (1) sub</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in the immediately preceding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is true with respect to a Lender or</w:t>
      </w:r>
    </w:p>
    <w:p>
      <w:pPr>
        <w:spacing w:after="0" w:line="38" w:lineRule="exact"/>
        <w:rPr>
          <w:rFonts w:ascii="Arial" w:cs="Arial" w:eastAsia="Arial" w:hAnsi="Arial"/>
          <w:sz w:val="18"/>
          <w:szCs w:val="18"/>
          <w:color w:val="auto"/>
        </w:rPr>
      </w:pPr>
    </w:p>
    <w:p>
      <w:pPr>
        <w:jc w:val="both"/>
        <w:ind w:firstLine="8"/>
        <w:spacing w:after="0"/>
        <w:tabs>
          <w:tab w:leader="none" w:pos="299" w:val="left"/>
        </w:tabs>
        <w:numPr>
          <w:ilvl w:val="0"/>
          <w:numId w:val="86"/>
        </w:numPr>
        <w:rPr>
          <w:rFonts w:ascii="Arial" w:cs="Arial" w:eastAsia="Arial" w:hAnsi="Arial"/>
          <w:sz w:val="20"/>
          <w:szCs w:val="20"/>
          <w:color w:val="auto"/>
        </w:rPr>
      </w:pPr>
      <w:r>
        <w:rPr>
          <w:rFonts w:ascii="Arial" w:cs="Arial" w:eastAsia="Arial" w:hAnsi="Arial"/>
          <w:sz w:val="20"/>
          <w:szCs w:val="20"/>
          <w:color w:val="auto"/>
        </w:rPr>
        <w:t xml:space="preserve">a Lender has provided another representation, warranty and covenant in accordance with </w:t>
      </w:r>
      <w:r>
        <w:rPr>
          <w:rFonts w:ascii="Arial" w:cs="Arial" w:eastAsia="Arial" w:hAnsi="Arial"/>
          <w:sz w:val="20"/>
          <w:szCs w:val="20"/>
          <w:u w:val="single" w:color="auto"/>
          <w:color w:val="auto"/>
        </w:rPr>
        <w:t>sub-clause (iv)</w:t>
      </w:r>
      <w:r>
        <w:rPr>
          <w:rFonts w:ascii="Arial" w:cs="Arial" w:eastAsia="Arial" w:hAnsi="Arial"/>
          <w:sz w:val="20"/>
          <w:szCs w:val="20"/>
          <w:color w:val="auto"/>
        </w:rPr>
        <w:t xml:space="preserve"> in the immediately preceding </w:t>
      </w:r>
      <w:r>
        <w:rPr>
          <w:rFonts w:ascii="Arial" w:cs="Arial" w:eastAsia="Arial" w:hAnsi="Arial"/>
          <w:sz w:val="20"/>
          <w:szCs w:val="20"/>
          <w:u w:val="single" w:color="auto"/>
          <w:color w:val="auto"/>
        </w:rPr>
        <w:t>clause (a)</w:t>
      </w:r>
      <w:r>
        <w:rPr>
          <w:rFonts w:ascii="Arial" w:cs="Arial" w:eastAsia="Arial" w:hAnsi="Arial"/>
          <w:sz w:val="20"/>
          <w:szCs w:val="20"/>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Arranger and their respective Affiliates, and not, for the avoidance of doubt, to or for the benefit of the Borrower, that none of the Administrative Agent or the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72" w:name="page73"/>
    <w:bookmarkEnd w:id="72"/>
    <w:p>
      <w:pPr>
        <w:jc w:val="both"/>
        <w:spacing w:after="0" w:line="246" w:lineRule="auto"/>
        <w:rPr>
          <w:sz w:val="20"/>
          <w:szCs w:val="20"/>
          <w:color w:val="auto"/>
        </w:rPr>
      </w:pPr>
      <w:r>
        <w:rPr>
          <w:rFonts w:ascii="Arial" w:cs="Arial" w:eastAsia="Arial" w:hAnsi="Arial"/>
          <w:sz w:val="20"/>
          <w:szCs w:val="20"/>
          <w:color w:val="auto"/>
        </w:rPr>
        <w:t>Arranger or any of their respective Affiliates is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194"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b w:val="1"/>
          <w:bCs w:val="1"/>
          <w:color w:val="auto"/>
        </w:rPr>
        <w:t xml:space="preserve">10.01 Amendments, Etc. </w:t>
      </w:r>
      <w:r>
        <w:rPr>
          <w:rFonts w:ascii="Arial" w:cs="Arial" w:eastAsia="Arial" w:hAnsi="Arial"/>
          <w:sz w:val="20"/>
          <w:szCs w:val="20"/>
          <w:color w:val="auto"/>
        </w:rPr>
        <w:t>Subject to</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3.03(c)</w:t>
      </w:r>
      <w:r>
        <w:rPr>
          <w:rFonts w:ascii="Arial" w:cs="Arial" w:eastAsia="Arial" w:hAnsi="Arial"/>
          <w:sz w:val="20"/>
          <w:szCs w:val="20"/>
          <w:color w:val="auto"/>
        </w:rPr>
        <w:t>, unless otherwise expressly provided herein, no amendment 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waiver of any provision of this Agreement or any other Loan Document, and no consent to any departure by the Borrower therefrom, shall be effective unless in writing signed by the Required Lenders and the Borrower and acknowledged by the Administrative Agent, and each such waiver or consent shall be effective only in the specific instance and for the specific purpose for which given;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 such amendment, waiver or consent shall:</w:t>
      </w:r>
    </w:p>
    <w:p>
      <w:pPr>
        <w:spacing w:after="0" w:line="191" w:lineRule="exact"/>
        <w:rPr>
          <w:sz w:val="20"/>
          <w:szCs w:val="20"/>
          <w:color w:val="auto"/>
        </w:rPr>
      </w:pPr>
    </w:p>
    <w:p>
      <w:pPr>
        <w:ind w:left="1740" w:hanging="868"/>
        <w:spacing w:after="0"/>
        <w:tabs>
          <w:tab w:leader="none" w:pos="17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waive any condition set forth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4.01(c)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without the written consent of</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each Lender;</w:t>
      </w:r>
    </w:p>
    <w:p>
      <w:pPr>
        <w:spacing w:after="0" w:line="199" w:lineRule="exact"/>
        <w:rPr>
          <w:rFonts w:ascii="Arial" w:cs="Arial" w:eastAsia="Arial" w:hAnsi="Arial"/>
          <w:sz w:val="18"/>
          <w:szCs w:val="18"/>
          <w:color w:val="auto"/>
        </w:rPr>
      </w:pPr>
    </w:p>
    <w:p>
      <w:pPr>
        <w:ind w:firstLine="872"/>
        <w:spacing w:after="0" w:line="260" w:lineRule="auto"/>
        <w:tabs>
          <w:tab w:leader="none" w:pos="1742" w:val="left"/>
        </w:tabs>
        <w:numPr>
          <w:ilvl w:val="0"/>
          <w:numId w:val="87"/>
        </w:numPr>
        <w:rPr>
          <w:rFonts w:ascii="Arial" w:cs="Arial" w:eastAsia="Arial" w:hAnsi="Arial"/>
          <w:sz w:val="20"/>
          <w:szCs w:val="20"/>
          <w:color w:val="auto"/>
        </w:rPr>
      </w:pPr>
      <w:r>
        <w:rPr>
          <w:rFonts w:ascii="Arial" w:cs="Arial" w:eastAsia="Arial" w:hAnsi="Arial"/>
          <w:sz w:val="20"/>
          <w:szCs w:val="20"/>
          <w:color w:val="auto"/>
        </w:rPr>
        <w:t xml:space="preserve">extend or increase any Commitment of any Lender (or reinstate any Commitment terminated pursuant to </w:t>
      </w:r>
      <w:r>
        <w:rPr>
          <w:rFonts w:ascii="Arial" w:cs="Arial" w:eastAsia="Arial" w:hAnsi="Arial"/>
          <w:sz w:val="20"/>
          <w:szCs w:val="20"/>
          <w:u w:val="single" w:color="auto"/>
          <w:color w:val="auto"/>
        </w:rPr>
        <w:t>Section 8.02</w:t>
      </w:r>
      <w:r>
        <w:rPr>
          <w:rFonts w:ascii="Arial" w:cs="Arial" w:eastAsia="Arial" w:hAnsi="Arial"/>
          <w:sz w:val="20"/>
          <w:szCs w:val="20"/>
          <w:color w:val="auto"/>
        </w:rPr>
        <w:t>) without the written consent of such Lender;</w:t>
      </w:r>
    </w:p>
    <w:p>
      <w:pPr>
        <w:spacing w:after="0" w:line="176" w:lineRule="exact"/>
        <w:rPr>
          <w:rFonts w:ascii="Arial" w:cs="Arial" w:eastAsia="Arial" w:hAnsi="Arial"/>
          <w:sz w:val="20"/>
          <w:szCs w:val="20"/>
          <w:color w:val="auto"/>
        </w:rPr>
      </w:pPr>
    </w:p>
    <w:p>
      <w:pPr>
        <w:jc w:val="both"/>
        <w:ind w:firstLine="872"/>
        <w:spacing w:after="0" w:line="250" w:lineRule="auto"/>
        <w:tabs>
          <w:tab w:leader="none" w:pos="1731" w:val="left"/>
        </w:tabs>
        <w:numPr>
          <w:ilvl w:val="0"/>
          <w:numId w:val="87"/>
        </w:numPr>
        <w:rPr>
          <w:rFonts w:ascii="Arial" w:cs="Arial" w:eastAsia="Arial" w:hAnsi="Arial"/>
          <w:sz w:val="20"/>
          <w:szCs w:val="20"/>
          <w:color w:val="auto"/>
        </w:rPr>
      </w:pPr>
      <w:r>
        <w:rPr>
          <w:rFonts w:ascii="Arial" w:cs="Arial" w:eastAsia="Arial" w:hAnsi="Arial"/>
          <w:sz w:val="20"/>
          <w:szCs w:val="20"/>
          <w:color w:val="auto"/>
        </w:rPr>
        <w:t>postpone any date fixed by this Agreement or any other Loan Document for any payment of principal, interest, fees or other amounts due to the Lenders (or any of them) hereunder (excluding mandatory prepayments) or under any other Loan Document without the written consent of each Lender directly affected thereby;</w:t>
      </w:r>
    </w:p>
    <w:p>
      <w:pPr>
        <w:spacing w:after="0" w:line="185" w:lineRule="exact"/>
        <w:rPr>
          <w:rFonts w:ascii="Arial" w:cs="Arial" w:eastAsia="Arial" w:hAnsi="Arial"/>
          <w:sz w:val="20"/>
          <w:szCs w:val="20"/>
          <w:color w:val="auto"/>
        </w:rPr>
      </w:pPr>
    </w:p>
    <w:p>
      <w:pPr>
        <w:jc w:val="both"/>
        <w:ind w:firstLine="872"/>
        <w:spacing w:after="0" w:line="243" w:lineRule="auto"/>
        <w:tabs>
          <w:tab w:leader="none" w:pos="1742" w:val="left"/>
        </w:tabs>
        <w:numPr>
          <w:ilvl w:val="0"/>
          <w:numId w:val="87"/>
        </w:numPr>
        <w:rPr>
          <w:rFonts w:ascii="Arial" w:cs="Arial" w:eastAsia="Arial" w:hAnsi="Arial"/>
          <w:sz w:val="20"/>
          <w:szCs w:val="20"/>
          <w:color w:val="auto"/>
        </w:rPr>
      </w:pPr>
      <w:r>
        <w:rPr>
          <w:rFonts w:ascii="Arial" w:cs="Arial" w:eastAsia="Arial" w:hAnsi="Arial"/>
          <w:sz w:val="20"/>
          <w:szCs w:val="20"/>
          <w:color w:val="auto"/>
        </w:rPr>
        <w:t xml:space="preserve">reduce the principal of, or the rate of interest specified herein on, any Loan, or (subject to </w:t>
      </w:r>
      <w:r>
        <w:rPr>
          <w:rFonts w:ascii="Arial" w:cs="Arial" w:eastAsia="Arial" w:hAnsi="Arial"/>
          <w:sz w:val="20"/>
          <w:szCs w:val="20"/>
          <w:u w:val="single" w:color="auto"/>
          <w:color w:val="auto"/>
        </w:rPr>
        <w:t>clause (ii)</w:t>
      </w:r>
      <w:r>
        <w:rPr>
          <w:rFonts w:ascii="Arial" w:cs="Arial" w:eastAsia="Arial" w:hAnsi="Arial"/>
          <w:sz w:val="20"/>
          <w:szCs w:val="20"/>
          <w:color w:val="auto"/>
        </w:rPr>
        <w:t xml:space="preserve"> of the second proviso to this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any fees or other amounts payable hereunder or under any other Loan Document without the written consent of each Lender directly affected thereby;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only the consent of the Required Lenders shall be necessary (i) to amend the definition of “Default Rate” or to waive any obligation of the Borrower to pay interest at the Default Rate or (ii) to amend any financial covenant hereunder (or any defined term used therein) even if the effect of such amendment would be to reduce the rate of interest on any Loan or to reduce any fee payable hereunder;</w:t>
      </w:r>
    </w:p>
    <w:p>
      <w:pPr>
        <w:spacing w:after="0" w:line="195" w:lineRule="exact"/>
        <w:rPr>
          <w:rFonts w:ascii="Arial" w:cs="Arial" w:eastAsia="Arial" w:hAnsi="Arial"/>
          <w:sz w:val="20"/>
          <w:szCs w:val="20"/>
          <w:color w:val="auto"/>
        </w:rPr>
      </w:pPr>
    </w:p>
    <w:p>
      <w:pPr>
        <w:ind w:firstLine="872"/>
        <w:spacing w:after="0" w:line="260" w:lineRule="auto"/>
        <w:tabs>
          <w:tab w:leader="none" w:pos="1731" w:val="left"/>
        </w:tabs>
        <w:numPr>
          <w:ilvl w:val="0"/>
          <w:numId w:val="87"/>
        </w:numPr>
        <w:rPr>
          <w:rFonts w:ascii="Arial" w:cs="Arial" w:eastAsia="Arial" w:hAnsi="Arial"/>
          <w:sz w:val="20"/>
          <w:szCs w:val="20"/>
          <w:color w:val="auto"/>
        </w:rPr>
      </w:pPr>
      <w:r>
        <w:rPr>
          <w:rFonts w:ascii="Arial" w:cs="Arial" w:eastAsia="Arial" w:hAnsi="Arial"/>
          <w:sz w:val="20"/>
          <w:szCs w:val="20"/>
          <w:color w:val="auto"/>
        </w:rPr>
        <w:t xml:space="preserve">change </w:t>
      </w:r>
      <w:r>
        <w:rPr>
          <w:rFonts w:ascii="Arial" w:cs="Arial" w:eastAsia="Arial" w:hAnsi="Arial"/>
          <w:sz w:val="20"/>
          <w:szCs w:val="20"/>
          <w:u w:val="single" w:color="auto"/>
          <w:color w:val="auto"/>
        </w:rPr>
        <w:t>Section 8.03</w:t>
      </w:r>
      <w:r>
        <w:rPr>
          <w:rFonts w:ascii="Arial" w:cs="Arial" w:eastAsia="Arial" w:hAnsi="Arial"/>
          <w:sz w:val="20"/>
          <w:szCs w:val="20"/>
          <w:color w:val="auto"/>
        </w:rPr>
        <w:t xml:space="preserve"> in a manner that would alter the pro rata sharing of payments or reductions in Commitments required thereby without the written consent of each Lender; and</w:t>
      </w:r>
    </w:p>
    <w:p>
      <w:pPr>
        <w:spacing w:after="0" w:line="176" w:lineRule="exact"/>
        <w:rPr>
          <w:rFonts w:ascii="Arial" w:cs="Arial" w:eastAsia="Arial" w:hAnsi="Arial"/>
          <w:sz w:val="20"/>
          <w:szCs w:val="20"/>
          <w:color w:val="auto"/>
        </w:rPr>
      </w:pPr>
    </w:p>
    <w:p>
      <w:pPr>
        <w:jc w:val="both"/>
        <w:ind w:firstLine="872"/>
        <w:spacing w:after="0" w:line="250" w:lineRule="auto"/>
        <w:tabs>
          <w:tab w:leader="none" w:pos="1709" w:val="left"/>
        </w:tabs>
        <w:numPr>
          <w:ilvl w:val="0"/>
          <w:numId w:val="87"/>
        </w:numPr>
        <w:rPr>
          <w:rFonts w:ascii="Arial" w:cs="Arial" w:eastAsia="Arial" w:hAnsi="Arial"/>
          <w:sz w:val="20"/>
          <w:szCs w:val="20"/>
          <w:color w:val="auto"/>
        </w:rPr>
      </w:pPr>
      <w:r>
        <w:rPr>
          <w:rFonts w:ascii="Arial" w:cs="Arial" w:eastAsia="Arial" w:hAnsi="Arial"/>
          <w:sz w:val="20"/>
          <w:szCs w:val="20"/>
          <w:color w:val="auto"/>
        </w:rPr>
        <w:t>change any provision of this Section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186"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(i) no amendment, waiver or consent shall, unless in writing and signed by the Administrative Agent in addition to the Lenders required above, affect the rights or duties of the Administrative Agent under this Agreement or any other Loan Document; and</w:t>
      </w:r>
    </w:p>
    <w:p>
      <w:pPr>
        <w:spacing w:after="0" w:line="1" w:lineRule="exact"/>
        <w:rPr>
          <w:sz w:val="20"/>
          <w:szCs w:val="20"/>
          <w:color w:val="auto"/>
        </w:rPr>
      </w:pPr>
    </w:p>
    <w:p>
      <w:pPr>
        <w:jc w:val="both"/>
        <w:ind w:firstLine="8"/>
        <w:spacing w:after="0"/>
        <w:tabs>
          <w:tab w:leader="none" w:pos="380"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Fee Letters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no Commitment of any Defaulting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73" w:name="page74"/>
    <w:bookmarkEnd w:id="73"/>
    <w:p>
      <w:pPr>
        <w:jc w:val="both"/>
        <w:spacing w:after="0" w:line="250" w:lineRule="auto"/>
        <w:rPr>
          <w:sz w:val="20"/>
          <w:szCs w:val="20"/>
          <w:color w:val="auto"/>
        </w:rPr>
      </w:pPr>
      <w:r>
        <w:rPr>
          <w:rFonts w:ascii="Arial" w:cs="Arial" w:eastAsia="Arial" w:hAnsi="Arial"/>
          <w:sz w:val="20"/>
          <w:szCs w:val="20"/>
          <w:color w:val="auto"/>
        </w:rPr>
        <w:t>Lender may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w:t>
      </w:r>
    </w:p>
    <w:p>
      <w:pPr>
        <w:spacing w:after="0" w:line="18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9"/>
          <w:szCs w:val="19"/>
          <w:color w:val="auto"/>
        </w:rPr>
        <w:t>Notwithstanding any provision herein to the contrary, if the Administrative Agent and the Borrower acting together identify any ambiguity, omission, mistake, typographical error or other defect in any provision of this Agreement or any other Loan Document (including the schedules and exhibits thereto),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74"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10.02</w:t>
      </w:r>
      <w:r>
        <w:rPr>
          <w:sz w:val="20"/>
          <w:szCs w:val="20"/>
          <w:color w:val="auto"/>
        </w:rPr>
        <w:tab/>
      </w:r>
      <w:r>
        <w:rPr>
          <w:rFonts w:ascii="Arial" w:cs="Arial" w:eastAsia="Arial" w:hAnsi="Arial"/>
          <w:sz w:val="16"/>
          <w:szCs w:val="16"/>
          <w:b w:val="1"/>
          <w:bCs w:val="1"/>
          <w:color w:val="auto"/>
        </w:rPr>
        <w:t>Notices; Effectiveness; Electronic Communication.</w:t>
      </w:r>
    </w:p>
    <w:p>
      <w:pPr>
        <w:spacing w:after="0" w:line="222" w:lineRule="exact"/>
        <w:rPr>
          <w:sz w:val="20"/>
          <w:szCs w:val="20"/>
          <w:color w:val="auto"/>
        </w:rPr>
      </w:pPr>
    </w:p>
    <w:p>
      <w:pPr>
        <w:jc w:val="both"/>
        <w:ind w:firstLine="872"/>
        <w:spacing w:after="0" w:line="244" w:lineRule="auto"/>
        <w:tabs>
          <w:tab w:leader="none" w:pos="1731"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Notices Generally</w:t>
      </w:r>
      <w:r>
        <w:rPr>
          <w:rFonts w:ascii="Arial" w:cs="Arial" w:eastAsia="Arial" w:hAnsi="Arial"/>
          <w:sz w:val="20"/>
          <w:szCs w:val="20"/>
          <w:color w:val="auto"/>
        </w:rPr>
        <w:t xml:space="preserve">. Except in the case of notices and other communications expressly permitted to be given by telephone (and except as provided in </w:t>
      </w:r>
      <w:r>
        <w:rPr>
          <w:rFonts w:ascii="Arial" w:cs="Arial" w:eastAsia="Arial" w:hAnsi="Arial"/>
          <w:sz w:val="20"/>
          <w:szCs w:val="20"/>
          <w:u w:val="single" w:color="auto"/>
          <w:color w:val="auto"/>
        </w:rPr>
        <w:t>subsection (b)</w:t>
      </w:r>
      <w:r>
        <w:rPr>
          <w:rFonts w:ascii="Arial" w:cs="Arial" w:eastAsia="Arial" w:hAnsi="Arial"/>
          <w:sz w:val="20"/>
          <w:szCs w:val="20"/>
          <w:color w:val="auto"/>
        </w:rPr>
        <w:t xml:space="preserve"> below), all notices and other communications provided for herein shall be in writing and shall be delivered by hand or overnight courier service, mailed by certified or registered mail or sent by electronic communication as follows, and all notices and other communications expressly permitted hereunder to be given by telephone shall be made to the applicable telephone number, as follows:</w:t>
      </w:r>
    </w:p>
    <w:p>
      <w:pPr>
        <w:spacing w:after="0" w:line="194" w:lineRule="exact"/>
        <w:rPr>
          <w:rFonts w:ascii="Arial" w:cs="Arial" w:eastAsia="Arial" w:hAnsi="Arial"/>
          <w:sz w:val="20"/>
          <w:szCs w:val="20"/>
          <w:color w:val="auto"/>
        </w:rPr>
      </w:pPr>
    </w:p>
    <w:p>
      <w:pPr>
        <w:ind w:left="880" w:firstLine="789"/>
        <w:spacing w:after="0" w:line="260" w:lineRule="auto"/>
        <w:tabs>
          <w:tab w:leader="none" w:pos="2512" w:val="left"/>
        </w:tabs>
        <w:numPr>
          <w:ilvl w:val="1"/>
          <w:numId w:val="89"/>
        </w:numPr>
        <w:rPr>
          <w:rFonts w:ascii="Arial" w:cs="Arial" w:eastAsia="Arial" w:hAnsi="Arial"/>
          <w:sz w:val="20"/>
          <w:szCs w:val="20"/>
          <w:color w:val="auto"/>
        </w:rPr>
      </w:pPr>
      <w:r>
        <w:rPr>
          <w:rFonts w:ascii="Arial" w:cs="Arial" w:eastAsia="Arial" w:hAnsi="Arial"/>
          <w:sz w:val="20"/>
          <w:szCs w:val="20"/>
          <w:color w:val="auto"/>
        </w:rPr>
        <w:t xml:space="preserve">if to the Borrower or the Administrative Agent to the address, electronic mail address or telephone number specified for such Person on </w:t>
      </w:r>
      <w:r>
        <w:rPr>
          <w:rFonts w:ascii="Arial" w:cs="Arial" w:eastAsia="Arial" w:hAnsi="Arial"/>
          <w:sz w:val="20"/>
          <w:szCs w:val="20"/>
          <w:u w:val="single" w:color="auto"/>
          <w:color w:val="auto"/>
        </w:rPr>
        <w:t>Schedule 10.02</w:t>
      </w:r>
      <w:r>
        <w:rPr>
          <w:rFonts w:ascii="Arial" w:cs="Arial" w:eastAsia="Arial" w:hAnsi="Arial"/>
          <w:sz w:val="20"/>
          <w:szCs w:val="20"/>
          <w:color w:val="auto"/>
        </w:rPr>
        <w:t>; and</w:t>
      </w:r>
    </w:p>
    <w:p>
      <w:pPr>
        <w:spacing w:after="0" w:line="176" w:lineRule="exact"/>
        <w:rPr>
          <w:rFonts w:ascii="Arial" w:cs="Arial" w:eastAsia="Arial" w:hAnsi="Arial"/>
          <w:sz w:val="20"/>
          <w:szCs w:val="20"/>
          <w:color w:val="auto"/>
        </w:rPr>
      </w:pPr>
    </w:p>
    <w:p>
      <w:pPr>
        <w:jc w:val="both"/>
        <w:ind w:left="880" w:firstLine="789"/>
        <w:spacing w:after="0" w:line="246" w:lineRule="auto"/>
        <w:tabs>
          <w:tab w:leader="none" w:pos="2567" w:val="left"/>
        </w:tabs>
        <w:numPr>
          <w:ilvl w:val="1"/>
          <w:numId w:val="89"/>
        </w:numPr>
        <w:rPr>
          <w:rFonts w:ascii="Arial" w:cs="Arial" w:eastAsia="Arial" w:hAnsi="Arial"/>
          <w:sz w:val="20"/>
          <w:szCs w:val="20"/>
          <w:color w:val="auto"/>
        </w:rPr>
      </w:pPr>
      <w:r>
        <w:rPr>
          <w:rFonts w:ascii="Arial" w:cs="Arial" w:eastAsia="Arial" w:hAnsi="Arial"/>
          <w:sz w:val="20"/>
          <w:szCs w:val="20"/>
          <w:color w:val="auto"/>
        </w:rPr>
        <w:t>if to any other Lender, to the address,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Notices and other communications sent by hand or overnight courier service, or mailed by certified or registered mail, shall be deemed to have been given when received. Notices and other communications delivered through electronic communications to the extent provided in </w:t>
      </w:r>
      <w:r>
        <w:rPr>
          <w:rFonts w:ascii="Arial" w:cs="Arial" w:eastAsia="Arial" w:hAnsi="Arial"/>
          <w:sz w:val="20"/>
          <w:szCs w:val="20"/>
          <w:u w:val="single" w:color="auto"/>
          <w:color w:val="auto"/>
        </w:rPr>
        <w:t>subsection (b)</w:t>
      </w:r>
      <w:r>
        <w:rPr>
          <w:rFonts w:ascii="Arial" w:cs="Arial" w:eastAsia="Arial" w:hAnsi="Arial"/>
          <w:sz w:val="20"/>
          <w:szCs w:val="20"/>
          <w:color w:val="auto"/>
        </w:rPr>
        <w:t xml:space="preserve"> below, shall be effective as provided in such </w:t>
      </w:r>
      <w:r>
        <w:rPr>
          <w:rFonts w:ascii="Arial" w:cs="Arial" w:eastAsia="Arial" w:hAnsi="Arial"/>
          <w:sz w:val="20"/>
          <w:szCs w:val="20"/>
          <w:u w:val="single" w:color="auto"/>
          <w:color w:val="auto"/>
        </w:rPr>
        <w:t>subsection (b)</w:t>
      </w:r>
      <w:r>
        <w:rPr>
          <w:rFonts w:ascii="Arial" w:cs="Arial" w:eastAsia="Arial" w:hAnsi="Arial"/>
          <w:sz w:val="20"/>
          <w:szCs w:val="20"/>
          <w:color w:val="auto"/>
        </w:rPr>
        <w:t>.</w:t>
      </w:r>
    </w:p>
    <w:p>
      <w:pPr>
        <w:spacing w:after="0" w:line="186" w:lineRule="exact"/>
        <w:rPr>
          <w:sz w:val="20"/>
          <w:szCs w:val="20"/>
          <w:color w:val="auto"/>
        </w:rPr>
      </w:pPr>
    </w:p>
    <w:p>
      <w:pPr>
        <w:jc w:val="both"/>
        <w:ind w:firstLine="872"/>
        <w:spacing w:after="0" w:line="276" w:lineRule="auto"/>
        <w:tabs>
          <w:tab w:leader="none" w:pos="1742"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to the Lenders hereunder may be delivered or furnished by electronic communication (including e-mail and Internet or intranet websites)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if such Lender has notified the Administrative Agent that it is incapable of receiving notices under such Article by electronic communication. The Administrative Agent or the Borrower may each,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65"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of notification that such notice or communication is available and identifying the website address therefor;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both </w:t>
      </w:r>
      <w:r>
        <w:rPr>
          <w:rFonts w:ascii="Arial" w:cs="Arial" w:eastAsia="Arial" w:hAnsi="Arial"/>
          <w:sz w:val="20"/>
          <w:szCs w:val="20"/>
          <w:u w:val="single" w:color="auto"/>
          <w:color w:val="auto"/>
        </w:rPr>
        <w:t>clauses (i)</w:t>
      </w:r>
      <w:r>
        <w:rPr>
          <w:rFonts w:ascii="Arial" w:cs="Arial" w:eastAsia="Arial" w:hAnsi="Arial"/>
          <w:sz w:val="20"/>
          <w:szCs w:val="20"/>
          <w:color w:val="auto"/>
        </w:rPr>
        <w:t xml:space="preserve"> and (ii), if such notice, e-mail or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74" w:name="page75"/>
    <w:bookmarkEnd w:id="74"/>
    <w:p>
      <w:pPr>
        <w:spacing w:after="0" w:line="260" w:lineRule="auto"/>
        <w:rPr>
          <w:sz w:val="20"/>
          <w:szCs w:val="20"/>
          <w:color w:val="auto"/>
        </w:rPr>
      </w:pPr>
      <w:r>
        <w:rPr>
          <w:rFonts w:ascii="Arial" w:cs="Arial" w:eastAsia="Arial" w:hAnsi="Arial"/>
          <w:sz w:val="20"/>
          <w:szCs w:val="20"/>
          <w:color w:val="auto"/>
        </w:rPr>
        <w:t>other communication is not sent during the normal business hours of the recipient, such notice, e-mail or communication shall be deemed to have been sent at the opening of business on the next Business Day for the recipient.</w:t>
      </w:r>
    </w:p>
    <w:p>
      <w:pPr>
        <w:spacing w:after="0" w:line="177" w:lineRule="exact"/>
        <w:rPr>
          <w:sz w:val="20"/>
          <w:szCs w:val="20"/>
          <w:color w:val="auto"/>
        </w:rPr>
      </w:pPr>
    </w:p>
    <w:p>
      <w:pPr>
        <w:ind w:left="1740" w:hanging="868"/>
        <w:spacing w:after="0"/>
        <w:tabs>
          <w:tab w:leader="none" w:pos="1740"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The Platform</w:t>
      </w:r>
      <w:r>
        <w:rPr>
          <w:rFonts w:ascii="Arial" w:cs="Arial" w:eastAsia="Arial" w:hAnsi="Arial"/>
          <w:sz w:val="19"/>
          <w:szCs w:val="19"/>
          <w:color w:val="auto"/>
        </w:rPr>
        <w:t>.  THE PLATFORM IS PROVIDED “AS IS” AND “AS AVAILABLE.”  THE AGENT PARTIES (AS</w:t>
      </w:r>
    </w:p>
    <w:p>
      <w:pPr>
        <w:spacing w:after="0" w:line="27" w:lineRule="exact"/>
        <w:rPr>
          <w:rFonts w:ascii="Arial" w:cs="Arial" w:eastAsia="Arial" w:hAnsi="Arial"/>
          <w:sz w:val="19"/>
          <w:szCs w:val="19"/>
          <w:color w:val="auto"/>
        </w:rPr>
      </w:pPr>
    </w:p>
    <w:p>
      <w:pPr>
        <w:jc w:val="both"/>
        <w:spacing w:after="0" w:line="253" w:lineRule="auto"/>
        <w:rPr>
          <w:rFonts w:ascii="Arial" w:cs="Arial" w:eastAsia="Arial" w:hAnsi="Arial"/>
          <w:sz w:val="19"/>
          <w:szCs w:val="19"/>
          <w:color w:val="auto"/>
        </w:rPr>
      </w:pPr>
      <w:r>
        <w:rPr>
          <w:rFonts w:ascii="Arial" w:cs="Arial" w:eastAsia="Arial" w:hAnsi="Arial"/>
          <w:sz w:val="19"/>
          <w:szCs w:val="19"/>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9"/>
          <w:szCs w:val="19"/>
          <w:u w:val="single" w:color="auto"/>
          <w:color w:val="auto"/>
        </w:rPr>
        <w:t>Agent Parties</w:t>
      </w:r>
      <w:r>
        <w:rPr>
          <w:rFonts w:ascii="Arial" w:cs="Arial" w:eastAsia="Arial" w:hAnsi="Arial"/>
          <w:sz w:val="19"/>
          <w:szCs w:val="19"/>
          <w:color w:val="auto"/>
        </w:rPr>
        <w:t xml:space="preserve">”) have any liability to the Borrower, any Lender or any other Person for losses, claims, damages, liabilities or expenses of any kind (whether in tort, contract or otherwise) (x) arising out of the Borrower’s or the Administrative Agent’s transmission of Borrower Materials or notices through the Platform, any other electronic platform or electronic messaging service, or through the Internet or (y) arising from the use by unintended recipients of such Borrower Materials obtained by such unintended recipients through interception or misdirection of electronic telecommunications or other information transmission systems in connection with this Agreement or the other Loan Documents or the transactions contemplated hereby or thereby, in each case,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no event shall any Agent Party have any liability to the Borrower, any Lender or any other Person for indirect, special, incidental, consequential or punitive damages (as opposed to direct or actual damages).</w:t>
      </w:r>
    </w:p>
    <w:p>
      <w:pPr>
        <w:spacing w:after="0" w:line="186" w:lineRule="exact"/>
        <w:rPr>
          <w:rFonts w:ascii="Arial" w:cs="Arial" w:eastAsia="Arial" w:hAnsi="Arial"/>
          <w:sz w:val="19"/>
          <w:szCs w:val="19"/>
          <w:color w:val="auto"/>
        </w:rPr>
      </w:pPr>
    </w:p>
    <w:p>
      <w:pPr>
        <w:jc w:val="both"/>
        <w:ind w:firstLine="872"/>
        <w:spacing w:after="0" w:line="271" w:lineRule="auto"/>
        <w:tabs>
          <w:tab w:leader="none" w:pos="1742"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Change of Address, Etc</w:t>
      </w:r>
      <w:r>
        <w:rPr>
          <w:rFonts w:ascii="Arial" w:cs="Arial" w:eastAsia="Arial" w:hAnsi="Arial"/>
          <w:sz w:val="18"/>
          <w:szCs w:val="18"/>
          <w:color w:val="auto"/>
        </w:rPr>
        <w:t>. Each of the Borrower and the Administrative Agent may change its address, electronic mail address or telephone number for notices and other communications hereunder by notice to the other parties hereto. Each other Lender may change its address, electronic mail address or telephone number for notices and other communications hereunder by notice to the Borrower and the Administrative Agent. In addition, each Lender agrees to notify the Administrative Agent from time to time to ensure that the Administrative Agent has on record (i) an effective address, contact name, telephone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69" w:lineRule="exact"/>
        <w:rPr>
          <w:rFonts w:ascii="Arial" w:cs="Arial" w:eastAsia="Arial" w:hAnsi="Arial"/>
          <w:sz w:val="18"/>
          <w:szCs w:val="18"/>
          <w:color w:val="auto"/>
        </w:rPr>
      </w:pPr>
    </w:p>
    <w:p>
      <w:pPr>
        <w:jc w:val="both"/>
        <w:ind w:firstLine="872"/>
        <w:spacing w:after="0" w:line="276" w:lineRule="auto"/>
        <w:tabs>
          <w:tab w:leader="none" w:pos="1731"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Reliance by Administrative Agent and Lenders</w:t>
      </w:r>
      <w:r>
        <w:rPr>
          <w:rFonts w:ascii="Arial" w:cs="Arial" w:eastAsia="Arial" w:hAnsi="Arial"/>
          <w:sz w:val="18"/>
          <w:szCs w:val="18"/>
          <w:color w:val="auto"/>
        </w:rPr>
        <w:t>. The Administrative Agent and the Lenders shall be entitled to rely and act upon any notices (including telephonic notices and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Lender and the Related Parties of each of them from all losses, costs, expenses and liabilities resulting from the reliance by such Person on each notice purportedly given by or on behalf of the Borrower. All telephonic notices to and other telephonic</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75" w:name="page76"/>
    <w:bookmarkEnd w:id="75"/>
    <w:p>
      <w:pPr>
        <w:jc w:val="both"/>
        <w:spacing w:after="0" w:line="260" w:lineRule="auto"/>
        <w:rPr>
          <w:sz w:val="20"/>
          <w:szCs w:val="20"/>
          <w:color w:val="auto"/>
        </w:rPr>
      </w:pPr>
      <w:r>
        <w:rPr>
          <w:rFonts w:ascii="Arial" w:cs="Arial" w:eastAsia="Arial" w:hAnsi="Arial"/>
          <w:sz w:val="20"/>
          <w:szCs w:val="20"/>
          <w:color w:val="auto"/>
        </w:rPr>
        <w:t>communications with the Administrative Agent may be recorded by the Administrative Agent, and each of the parties hereto hereby consents to such recording.</w:t>
      </w:r>
    </w:p>
    <w:p>
      <w:pPr>
        <w:spacing w:after="0" w:line="171"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b w:val="1"/>
          <w:bCs w:val="1"/>
          <w:color w:val="auto"/>
        </w:rPr>
        <w:t xml:space="preserve">10.03 No Waiver; Cumulative Remedies; Enforcement. </w:t>
      </w:r>
      <w:r>
        <w:rPr>
          <w:rFonts w:ascii="Arial" w:cs="Arial" w:eastAsia="Arial" w:hAnsi="Arial"/>
          <w:sz w:val="20"/>
          <w:szCs w:val="20"/>
          <w:color w:val="auto"/>
        </w:rPr>
        <w:t>No failure by any Lender or the Administrative Agent to</w:t>
      </w:r>
      <w:r>
        <w:rPr>
          <w:rFonts w:ascii="Arial" w:cs="Arial" w:eastAsia="Arial" w:hAnsi="Arial"/>
          <w:sz w:val="20"/>
          <w:szCs w:val="20"/>
          <w:b w:val="1"/>
          <w:bCs w:val="1"/>
          <w:color w:val="auto"/>
        </w:rPr>
        <w:t xml:space="preserve"> </w:t>
      </w:r>
      <w:r>
        <w:rPr>
          <w:rFonts w:ascii="Arial" w:cs="Arial" w:eastAsia="Arial" w:hAnsi="Arial"/>
          <w:sz w:val="20"/>
          <w:szCs w:val="20"/>
          <w:color w:val="auto"/>
        </w:rPr>
        <w:t>exercise, and no delay by any such Person in exercising,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91"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9"/>
          <w:szCs w:val="19"/>
          <w:color w:val="auto"/>
        </w:rPr>
        <w:t xml:space="preserve">Notwithstanding anything to the contrary contained herein or in any other Loan Document, the authority to enforce rights and remedies hereunder and under the other Loan Documents against the Borrower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for the benefit of all the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w:t>
      </w:r>
      <w:r>
        <w:rPr>
          <w:rFonts w:ascii="Arial" w:cs="Arial" w:eastAsia="Arial" w:hAnsi="Arial"/>
          <w:sz w:val="19"/>
          <w:szCs w:val="19"/>
          <w:u w:val="single" w:color="auto"/>
          <w:color w:val="auto"/>
        </w:rPr>
        <w:t>Section 10.08</w:t>
      </w:r>
      <w:r>
        <w:rPr>
          <w:rFonts w:ascii="Arial" w:cs="Arial" w:eastAsia="Arial" w:hAnsi="Arial"/>
          <w:sz w:val="19"/>
          <w:szCs w:val="19"/>
          <w:color w:val="auto"/>
        </w:rPr>
        <w:t xml:space="preserve"> (subject to the terms of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or (d) any Lender from filing proofs of claim or appearing and filing pleadings on its own behalf during the pendency of a proceeding relative to the Borrower under any Debtor Relief Law;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and (ii) in addition to the matters set forth in </w:t>
      </w:r>
      <w:r>
        <w:rPr>
          <w:rFonts w:ascii="Arial" w:cs="Arial" w:eastAsia="Arial" w:hAnsi="Arial"/>
          <w:sz w:val="19"/>
          <w:szCs w:val="19"/>
          <w:u w:val="single" w:color="auto"/>
          <w:color w:val="auto"/>
        </w:rPr>
        <w:t>clauses (b)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of the preceding proviso and subject to </w:t>
      </w:r>
      <w:r>
        <w:rPr>
          <w:rFonts w:ascii="Arial" w:cs="Arial" w:eastAsia="Arial" w:hAnsi="Arial"/>
          <w:sz w:val="19"/>
          <w:szCs w:val="19"/>
          <w:u w:val="single" w:color="auto"/>
          <w:color w:val="auto"/>
        </w:rPr>
        <w:t>Section 2.11</w:t>
      </w:r>
      <w:r>
        <w:rPr>
          <w:rFonts w:ascii="Arial" w:cs="Arial" w:eastAsia="Arial" w:hAnsi="Arial"/>
          <w:sz w:val="19"/>
          <w:szCs w:val="19"/>
          <w:color w:val="auto"/>
        </w:rPr>
        <w:t>, any Lender may, with the consent of the Required Lenders, enforce any rights and remedies available to it and as authorized by the Required Lenders.</w:t>
      </w:r>
    </w:p>
    <w:p>
      <w:pPr>
        <w:spacing w:after="0" w:line="178"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10.04</w:t>
      </w:r>
      <w:r>
        <w:rPr>
          <w:sz w:val="20"/>
          <w:szCs w:val="20"/>
          <w:color w:val="auto"/>
        </w:rPr>
        <w:tab/>
      </w:r>
      <w:r>
        <w:rPr>
          <w:rFonts w:ascii="Arial" w:cs="Arial" w:eastAsia="Arial" w:hAnsi="Arial"/>
          <w:sz w:val="16"/>
          <w:szCs w:val="16"/>
          <w:b w:val="1"/>
          <w:bCs w:val="1"/>
          <w:color w:val="auto"/>
        </w:rPr>
        <w:t>Expenses; Indemnity; Damage Waiver.</w:t>
      </w:r>
    </w:p>
    <w:p>
      <w:pPr>
        <w:spacing w:after="0" w:line="222"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Costs and Expenses</w:t>
      </w:r>
      <w:r>
        <w:rPr>
          <w:rFonts w:ascii="Arial" w:cs="Arial" w:eastAsia="Arial" w:hAnsi="Arial"/>
          <w:sz w:val="18"/>
          <w:szCs w:val="18"/>
          <w:color w:val="auto"/>
        </w:rPr>
        <w:t>. The Borrower shall pay (i) all reasonable out of pocket expenses incurred by the Administrative Agent and its Affiliates (including the reasonable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and (ii) all out of pocket expenses incurred by the Administrative Agent or any Lender (including the fees, charges and disbursements of any counsel for the Administrative Agent or any Lender), in connection with the enforcement or protection of its rights (A) in connection with this Agreement and the other Loan Documents, including its rights under this Section, or (B) in connection with the Loans made hereunder, including all such out of pocket expenses incurred during any workout, restructuring or negotiations in respect of such Loans.</w:t>
      </w:r>
    </w:p>
    <w:p>
      <w:pPr>
        <w:spacing w:after="0" w:line="170" w:lineRule="exact"/>
        <w:rPr>
          <w:sz w:val="20"/>
          <w:szCs w:val="20"/>
          <w:color w:val="auto"/>
        </w:rPr>
      </w:pPr>
    </w:p>
    <w:p>
      <w:pPr>
        <w:jc w:val="both"/>
        <w:ind w:firstLine="872"/>
        <w:spacing w:after="0" w:line="273" w:lineRule="auto"/>
        <w:tabs>
          <w:tab w:leader="none" w:pos="1742"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Indemnification by the Borrower</w:t>
      </w:r>
      <w:r>
        <w:rPr>
          <w:rFonts w:ascii="Arial" w:cs="Arial" w:eastAsia="Arial" w:hAnsi="Arial"/>
          <w:sz w:val="18"/>
          <w:szCs w:val="18"/>
          <w:color w:val="auto"/>
        </w:rPr>
        <w:t>. The Borrower shall indemnify the Administrative Agent (and any sub-agent thereof) and each Lender, and each Related Party of any of the foregoing Persons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against, and hold each Indemnitee harmless from, any and all losses, claims, damages, liabilities and related expenses (including the fees, charges and disbursements of any counsel for any Indemnitee), incurred by any Indemnitee or asserted against any Indemnitee by any third party or by the Borrower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76" w:name="page77"/>
    <w:bookmarkEnd w:id="76"/>
    <w:p>
      <w:pPr>
        <w:jc w:val="both"/>
        <w:spacing w:after="0" w:line="269" w:lineRule="auto"/>
        <w:rPr>
          <w:sz w:val="20"/>
          <w:szCs w:val="20"/>
          <w:color w:val="auto"/>
        </w:rPr>
      </w:pPr>
      <w:r>
        <w:rPr>
          <w:rFonts w:ascii="Arial" w:cs="Arial" w:eastAsia="Arial" w:hAnsi="Arial"/>
          <w:sz w:val="18"/>
          <w:szCs w:val="18"/>
          <w:color w:val="auto"/>
        </w:rPr>
        <w:t xml:space="preserve">the other Loan Documents (including in respect of any matters addressed in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(ii) any Loan or the use or proposed use of the proceeds therefrom, (iii) any actual or alleged presence or release of Hazardous Materials on or from any property owned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whether brought by a third party or by the Borrower, and regardless of whether any Indemnitee is a party thereto, </w:t>
      </w:r>
      <w:r>
        <w:rPr>
          <w:rFonts w:ascii="Arial" w:cs="Arial" w:eastAsia="Arial" w:hAnsi="Arial"/>
          <w:sz w:val="18"/>
          <w:szCs w:val="18"/>
          <w:b w:val="1"/>
          <w:bCs w:val="1"/>
          <w:color w:val="auto"/>
        </w:rPr>
        <w:t>IN ALL</w:t>
      </w:r>
    </w:p>
    <w:p>
      <w:pPr>
        <w:spacing w:after="0" w:line="4" w:lineRule="exact"/>
        <w:rPr>
          <w:sz w:val="20"/>
          <w:szCs w:val="20"/>
          <w:color w:val="auto"/>
        </w:rPr>
      </w:pPr>
    </w:p>
    <w:p>
      <w:pPr>
        <w:jc w:val="both"/>
        <w:spacing w:after="0" w:line="254" w:lineRule="auto"/>
        <w:rPr>
          <w:sz w:val="20"/>
          <w:szCs w:val="20"/>
          <w:color w:val="auto"/>
        </w:rPr>
      </w:pPr>
      <w:r>
        <w:rPr>
          <w:rFonts w:ascii="Arial" w:cs="Arial" w:eastAsia="Arial" w:hAnsi="Arial"/>
          <w:sz w:val="19"/>
          <w:szCs w:val="19"/>
          <w:b w:val="1"/>
          <w:bCs w:val="1"/>
          <w:color w:val="auto"/>
        </w:rPr>
        <w:t>CASES, WHETHER OR NOT CAUSED BY OR ARISING, IN WHOLE OR IN PART, OUT OF THE COMPARATIVE, CONTRIBUTORY OR SOLE NEGLIGENCE OF THE INDEMNITEE</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that such indemnity shall not, as to any Indemnitee,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the Borrower against an Indemnitee for breach in bad faith of such Indemnitee’s obligations hereunder or under any other Loan Document, if the Borrower has obtained a final and nonappealable judgment in its favor on such claim as determined by a court of competent jurisdiction. Without limiting the provisions of </w:t>
      </w:r>
      <w:r>
        <w:rPr>
          <w:rFonts w:ascii="Arial" w:cs="Arial" w:eastAsia="Arial" w:hAnsi="Arial"/>
          <w:sz w:val="19"/>
          <w:szCs w:val="19"/>
          <w:u w:val="single" w:color="auto"/>
          <w:color w:val="auto"/>
        </w:rPr>
        <w:t>Section 3.01(c),</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10.04(b)</w:t>
      </w:r>
      <w:r>
        <w:rPr>
          <w:rFonts w:ascii="Arial" w:cs="Arial" w:eastAsia="Arial" w:hAnsi="Arial"/>
          <w:sz w:val="19"/>
          <w:szCs w:val="19"/>
          <w:color w:val="auto"/>
        </w:rPr>
        <w:t xml:space="preserve"> shall not apply with respect to Taxes other than any Taxes that represent losses, claims, damages, etc. arising from any non-Tax claim.</w:t>
      </w:r>
    </w:p>
    <w:p>
      <w:pPr>
        <w:spacing w:after="0" w:line="186" w:lineRule="exact"/>
        <w:rPr>
          <w:sz w:val="20"/>
          <w:szCs w:val="20"/>
          <w:color w:val="auto"/>
        </w:rPr>
      </w:pPr>
    </w:p>
    <w:p>
      <w:pPr>
        <w:jc w:val="both"/>
        <w:ind w:firstLine="872"/>
        <w:spacing w:after="0" w:line="255" w:lineRule="auto"/>
        <w:tabs>
          <w:tab w:leader="none" w:pos="1731"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Reimbursement by Lenders</w:t>
      </w:r>
      <w:r>
        <w:rPr>
          <w:rFonts w:ascii="Arial" w:cs="Arial" w:eastAsia="Arial" w:hAnsi="Arial"/>
          <w:sz w:val="19"/>
          <w:szCs w:val="19"/>
          <w:color w:val="auto"/>
        </w:rPr>
        <w:t xml:space="preserve">. To the extent that the Borrower for any reason fails to indefeasibly pay any amount required under </w:t>
      </w:r>
      <w:r>
        <w:rPr>
          <w:rFonts w:ascii="Arial" w:cs="Arial" w:eastAsia="Arial" w:hAnsi="Arial"/>
          <w:sz w:val="19"/>
          <w:szCs w:val="19"/>
          <w:u w:val="single" w:color="auto"/>
          <w:color w:val="auto"/>
        </w:rPr>
        <w:t>subsection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Section to be paid by it to the Administrative Agent (or any sub-agent thereof) or any Related Party, each Lender severally agrees to pay to the Administrative Agent (or any such sub-agent)or any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of such unpaid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unreimbursed expense or indemnified loss, claim, damage, liability or related expense, as the case may be, was incurred by or asserted against the Administrative Agent (or any such sub-agent) in its capacity as such, or against any Related Party acting for the Administrative Agent (or any such sub-agent) in connection with such capacity. The obligations of the Lenders under this </w:t>
      </w:r>
      <w:r>
        <w:rPr>
          <w:rFonts w:ascii="Arial" w:cs="Arial" w:eastAsia="Arial" w:hAnsi="Arial"/>
          <w:sz w:val="19"/>
          <w:szCs w:val="19"/>
          <w:u w:val="single" w:color="auto"/>
          <w:color w:val="auto"/>
        </w:rPr>
        <w:t>subsection (c)</w:t>
      </w:r>
      <w:r>
        <w:rPr>
          <w:rFonts w:ascii="Arial" w:cs="Arial" w:eastAsia="Arial" w:hAnsi="Arial"/>
          <w:sz w:val="19"/>
          <w:szCs w:val="19"/>
          <w:color w:val="auto"/>
        </w:rPr>
        <w:t xml:space="preserve"> are subject to the provisions of </w:t>
      </w:r>
      <w:r>
        <w:rPr>
          <w:rFonts w:ascii="Arial" w:cs="Arial" w:eastAsia="Arial" w:hAnsi="Arial"/>
          <w:sz w:val="19"/>
          <w:szCs w:val="19"/>
          <w:u w:val="single" w:color="auto"/>
          <w:color w:val="auto"/>
        </w:rPr>
        <w:t>Section 2.10(d)</w:t>
      </w:r>
      <w:r>
        <w:rPr>
          <w:rFonts w:ascii="Arial" w:cs="Arial" w:eastAsia="Arial" w:hAnsi="Arial"/>
          <w:sz w:val="19"/>
          <w:szCs w:val="19"/>
          <w:color w:val="auto"/>
        </w:rPr>
        <w:t>.</w:t>
      </w:r>
    </w:p>
    <w:p>
      <w:pPr>
        <w:spacing w:after="0" w:line="186" w:lineRule="exact"/>
        <w:rPr>
          <w:rFonts w:ascii="Arial" w:cs="Arial" w:eastAsia="Arial" w:hAnsi="Arial"/>
          <w:sz w:val="19"/>
          <w:szCs w:val="19"/>
          <w:color w:val="auto"/>
        </w:rPr>
      </w:pPr>
    </w:p>
    <w:p>
      <w:pPr>
        <w:jc w:val="both"/>
        <w:ind w:firstLine="872"/>
        <w:spacing w:after="0" w:line="255" w:lineRule="auto"/>
        <w:tabs>
          <w:tab w:leader="none" w:pos="1742"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Waiver of Consequential Damages, Etc.</w:t>
      </w:r>
      <w:r>
        <w:rPr>
          <w:rFonts w:ascii="Arial" w:cs="Arial" w:eastAsia="Arial" w:hAnsi="Arial"/>
          <w:sz w:val="19"/>
          <w:szCs w:val="19"/>
          <w:color w:val="auto"/>
        </w:rPr>
        <w:t xml:space="preserve"> To the fullest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No Indemnitee referred to in </w:t>
      </w:r>
      <w:r>
        <w:rPr>
          <w:rFonts w:ascii="Arial" w:cs="Arial" w:eastAsia="Arial" w:hAnsi="Arial"/>
          <w:sz w:val="19"/>
          <w:szCs w:val="19"/>
          <w:u w:val="single" w:color="auto"/>
          <w:color w:val="auto"/>
        </w:rPr>
        <w:t>subsection (b)</w:t>
      </w:r>
      <w:r>
        <w:rPr>
          <w:rFonts w:ascii="Arial" w:cs="Arial" w:eastAsia="Arial" w:hAnsi="Arial"/>
          <w:sz w:val="19"/>
          <w:szCs w:val="19"/>
          <w:color w:val="auto"/>
        </w:rPr>
        <w:t xml:space="preserve"> above shall be liable for any damages arising from the use by unintended recipients of any information or other materials obtained by such unintended recipients by such Indemnitee through interception or misdirection of electronic telecommunications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89" w:lineRule="exact"/>
        <w:rPr>
          <w:rFonts w:ascii="Arial" w:cs="Arial" w:eastAsia="Arial" w:hAnsi="Arial"/>
          <w:sz w:val="19"/>
          <w:szCs w:val="19"/>
          <w:color w:val="auto"/>
        </w:rPr>
      </w:pPr>
    </w:p>
    <w:p>
      <w:pPr>
        <w:ind w:left="1740" w:hanging="868"/>
        <w:spacing w:after="0"/>
        <w:tabs>
          <w:tab w:leader="none" w:pos="1740"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All amounts due under this Section shall be payable not later than thirty days after demand therefor.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77" w:name="page78"/>
    <w:bookmarkEnd w:id="77"/>
    <w:p>
      <w:pPr>
        <w:ind w:right="20" w:firstLine="872"/>
        <w:spacing w:after="0" w:line="316" w:lineRule="auto"/>
        <w:tabs>
          <w:tab w:leader="none" w:pos="1709"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agreements in this Section shall survive the resignation of the Administrative Agent, the replacement of any Lender, the termination of the Aggregate Commitments and the repayment, satisfaction or discharge of all the other Obligations.</w:t>
      </w:r>
    </w:p>
    <w:p>
      <w:pPr>
        <w:spacing w:after="0" w:line="124"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9"/>
          <w:szCs w:val="19"/>
          <w:b w:val="1"/>
          <w:bCs w:val="1"/>
          <w:color w:val="auto"/>
        </w:rPr>
        <w:t xml:space="preserve">10.05 Payments Set Aside. </w:t>
      </w:r>
      <w:r>
        <w:rPr>
          <w:rFonts w:ascii="Arial" w:cs="Arial" w:eastAsia="Arial" w:hAnsi="Arial"/>
          <w:sz w:val="19"/>
          <w:szCs w:val="19"/>
          <w:color w:val="auto"/>
        </w:rPr>
        <w:t>To the extent that any payment by or on behalf of the Borrower is made to the Administrative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Federal Funds Rate from time to time in effect. The obligations of the Lenders under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of the preceding sentence shall survive the payment in full of the Obligations and the termination of this Agreement.</w:t>
      </w:r>
    </w:p>
    <w:p>
      <w:pPr>
        <w:spacing w:after="0" w:line="177"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10.06</w:t>
      </w:r>
      <w:r>
        <w:rPr>
          <w:sz w:val="20"/>
          <w:szCs w:val="20"/>
          <w:color w:val="auto"/>
        </w:rPr>
        <w:tab/>
      </w:r>
      <w:r>
        <w:rPr>
          <w:rFonts w:ascii="Arial" w:cs="Arial" w:eastAsia="Arial" w:hAnsi="Arial"/>
          <w:sz w:val="16"/>
          <w:szCs w:val="16"/>
          <w:b w:val="1"/>
          <w:bCs w:val="1"/>
          <w:color w:val="auto"/>
        </w:rPr>
        <w:t>Successors and Assigns.</w:t>
      </w:r>
    </w:p>
    <w:p>
      <w:pPr>
        <w:spacing w:after="0" w:line="222" w:lineRule="exact"/>
        <w:rPr>
          <w:sz w:val="20"/>
          <w:szCs w:val="20"/>
          <w:color w:val="auto"/>
        </w:rPr>
      </w:pPr>
    </w:p>
    <w:p>
      <w:pPr>
        <w:jc w:val="both"/>
        <w:ind w:firstLine="872"/>
        <w:spacing w:after="0" w:line="304" w:lineRule="auto"/>
        <w:tabs>
          <w:tab w:leader="none" w:pos="1731" w:val="left"/>
        </w:tabs>
        <w:numPr>
          <w:ilvl w:val="1"/>
          <w:numId w:val="95"/>
        </w:numPr>
        <w:rPr>
          <w:rFonts w:ascii="Arial" w:cs="Arial" w:eastAsia="Arial" w:hAnsi="Arial"/>
          <w:sz w:val="16"/>
          <w:szCs w:val="16"/>
          <w:color w:val="auto"/>
        </w:rPr>
      </w:pP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xml:space="preserve">.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6"/>
          <w:szCs w:val="16"/>
          <w:u w:val="single" w:color="auto"/>
          <w:color w:val="auto"/>
        </w:rPr>
        <w:t>subsection</w:t>
      </w:r>
    </w:p>
    <w:p>
      <w:pPr>
        <w:spacing w:after="0" w:line="1" w:lineRule="exact"/>
        <w:rPr>
          <w:rFonts w:ascii="Arial" w:cs="Arial" w:eastAsia="Arial" w:hAnsi="Arial"/>
          <w:sz w:val="16"/>
          <w:szCs w:val="16"/>
          <w:color w:val="auto"/>
        </w:rPr>
      </w:pPr>
    </w:p>
    <w:p>
      <w:pPr>
        <w:jc w:val="both"/>
        <w:ind w:firstLine="8"/>
        <w:spacing w:after="0" w:line="272" w:lineRule="auto"/>
        <w:tabs>
          <w:tab w:leader="none" w:pos="282" w:val="left"/>
        </w:tabs>
        <w:numPr>
          <w:ilvl w:val="0"/>
          <w:numId w:val="96"/>
        </w:numPr>
        <w:rPr>
          <w:rFonts w:ascii="Arial" w:cs="Arial" w:eastAsia="Arial" w:hAnsi="Arial"/>
          <w:sz w:val="18"/>
          <w:szCs w:val="18"/>
          <w:u w:val="single" w:color="auto"/>
          <w:color w:val="auto"/>
        </w:rPr>
      </w:pPr>
      <w:r>
        <w:rPr>
          <w:rFonts w:ascii="Arial" w:cs="Arial" w:eastAsia="Arial" w:hAnsi="Arial"/>
          <w:sz w:val="18"/>
          <w:szCs w:val="18"/>
          <w:color w:val="auto"/>
        </w:rPr>
        <w:t xml:space="preserve">of this Section, (ii) by way of participation in accordance with the provisions of </w:t>
      </w:r>
      <w:r>
        <w:rPr>
          <w:rFonts w:ascii="Arial" w:cs="Arial" w:eastAsia="Arial" w:hAnsi="Arial"/>
          <w:sz w:val="18"/>
          <w:szCs w:val="18"/>
          <w:u w:val="single" w:color="auto"/>
          <w:color w:val="auto"/>
        </w:rPr>
        <w:t>subsection (d)</w:t>
      </w:r>
      <w:r>
        <w:rPr>
          <w:rFonts w:ascii="Arial" w:cs="Arial" w:eastAsia="Arial" w:hAnsi="Arial"/>
          <w:sz w:val="18"/>
          <w:szCs w:val="18"/>
          <w:color w:val="auto"/>
        </w:rPr>
        <w:t xml:space="preserve"> of this Section, or (iii) by way of pledge or assignment of a security interest subject to the restrictions of </w:t>
      </w:r>
      <w:r>
        <w:rPr>
          <w:rFonts w:ascii="Arial" w:cs="Arial" w:eastAsia="Arial" w:hAnsi="Arial"/>
          <w:sz w:val="18"/>
          <w:szCs w:val="18"/>
          <w:u w:val="single" w:color="auto"/>
          <w:color w:val="auto"/>
        </w:rPr>
        <w:t>subsection (f)</w:t>
      </w:r>
      <w:r>
        <w:rPr>
          <w:rFonts w:ascii="Arial" w:cs="Arial" w:eastAsia="Arial" w:hAnsi="Arial"/>
          <w:sz w:val="18"/>
          <w:szCs w:val="18"/>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8"/>
          <w:szCs w:val="18"/>
          <w:u w:val="single" w:color="auto"/>
          <w:color w:val="auto"/>
        </w:rPr>
        <w:t>subsection (d)</w:t>
      </w:r>
      <w:r>
        <w:rPr>
          <w:rFonts w:ascii="Arial" w:cs="Arial" w:eastAsia="Arial" w:hAnsi="Arial"/>
          <w:sz w:val="18"/>
          <w:szCs w:val="18"/>
          <w:color w:val="auto"/>
        </w:rPr>
        <w:t xml:space="preserve"> of this Section and, to the extent expressly contemplated hereby, the Related Parties of each of the Administrative Agent and the Lenders) any legal or equitable right, remedy or claim under or by reason of this Agreement.</w:t>
      </w:r>
    </w:p>
    <w:p>
      <w:pPr>
        <w:spacing w:after="0" w:line="169" w:lineRule="exact"/>
        <w:rPr>
          <w:rFonts w:ascii="Arial" w:cs="Arial" w:eastAsia="Arial" w:hAnsi="Arial"/>
          <w:sz w:val="18"/>
          <w:szCs w:val="18"/>
          <w:u w:val="single" w:color="auto"/>
          <w:color w:val="auto"/>
        </w:rPr>
      </w:pPr>
    </w:p>
    <w:p>
      <w:pPr>
        <w:jc w:val="both"/>
        <w:ind w:firstLine="872"/>
        <w:spacing w:after="0" w:line="250" w:lineRule="auto"/>
        <w:tabs>
          <w:tab w:leader="none" w:pos="1742" w:val="left"/>
        </w:tabs>
        <w:numPr>
          <w:ilvl w:val="1"/>
          <w:numId w:val="96"/>
        </w:numPr>
        <w:rPr>
          <w:rFonts w:ascii="Arial" w:cs="Arial" w:eastAsia="Arial" w:hAnsi="Arial"/>
          <w:sz w:val="20"/>
          <w:szCs w:val="20"/>
          <w:color w:val="auto"/>
        </w:rPr>
      </w:pPr>
      <w:r>
        <w:rPr>
          <w:rFonts w:ascii="Arial" w:cs="Arial" w:eastAsia="Arial" w:hAnsi="Arial"/>
          <w:sz w:val="20"/>
          <w:szCs w:val="20"/>
          <w:u w:val="single" w:color="auto"/>
          <w:color w:val="auto"/>
        </w:rPr>
        <w:t>Assignments by Lenders</w:t>
      </w:r>
      <w:r>
        <w:rPr>
          <w:rFonts w:ascii="Arial" w:cs="Arial" w:eastAsia="Arial" w:hAnsi="Arial"/>
          <w:sz w:val="20"/>
          <w:szCs w:val="20"/>
          <w:color w:val="auto"/>
        </w:rPr>
        <w:t xml:space="preserve">. Any Lender may at any time assign to one or more assignees all or a portion of its rights and obligations under this Agreement (including all or a portion of its Commitment and the Loans at the time owing to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assignment shall be subject to the following conditions:</w:t>
      </w:r>
    </w:p>
    <w:p>
      <w:pPr>
        <w:spacing w:after="0" w:line="185" w:lineRule="exact"/>
        <w:rPr>
          <w:rFonts w:ascii="Arial" w:cs="Arial" w:eastAsia="Arial" w:hAnsi="Arial"/>
          <w:sz w:val="20"/>
          <w:szCs w:val="20"/>
          <w:color w:val="auto"/>
        </w:rPr>
      </w:pPr>
    </w:p>
    <w:p>
      <w:pPr>
        <w:ind w:left="2500" w:hanging="831"/>
        <w:spacing w:after="0"/>
        <w:tabs>
          <w:tab w:leader="none" w:pos="2500" w:val="left"/>
        </w:tabs>
        <w:numPr>
          <w:ilvl w:val="2"/>
          <w:numId w:val="96"/>
        </w:numPr>
        <w:rPr>
          <w:rFonts w:ascii="Arial" w:cs="Arial" w:eastAsia="Arial" w:hAnsi="Arial"/>
          <w:sz w:val="20"/>
          <w:szCs w:val="20"/>
          <w:color w:val="auto"/>
        </w:rPr>
      </w:pPr>
      <w:r>
        <w:rPr>
          <w:rFonts w:ascii="Arial" w:cs="Arial" w:eastAsia="Arial" w:hAnsi="Arial"/>
          <w:sz w:val="20"/>
          <w:szCs w:val="20"/>
          <w:u w:val="single" w:color="auto"/>
          <w:color w:val="auto"/>
        </w:rPr>
        <w:t>Minimum Amounts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1740" w:firstLine="726"/>
        <w:spacing w:after="0" w:line="238" w:lineRule="auto"/>
        <w:tabs>
          <w:tab w:leader="none" w:pos="3419" w:val="left"/>
        </w:tabs>
        <w:numPr>
          <w:ilvl w:val="3"/>
          <w:numId w:val="96"/>
        </w:numPr>
        <w:rPr>
          <w:rFonts w:ascii="Arial" w:cs="Arial" w:eastAsia="Arial" w:hAnsi="Arial"/>
          <w:sz w:val="22"/>
          <w:szCs w:val="22"/>
          <w:color w:val="auto"/>
        </w:rPr>
      </w:pPr>
      <w:r>
        <w:rPr>
          <w:rFonts w:ascii="Arial" w:cs="Arial" w:eastAsia="Arial" w:hAnsi="Arial"/>
          <w:sz w:val="20"/>
          <w:szCs w:val="20"/>
          <w:color w:val="auto"/>
        </w:rPr>
        <w:t>in the case of an assignment of the entire remaining amount of the assigning Lender’s Commitment and the Loans at the time owing to it under or in the case of an assignment to a Lender, an Affiliate of a Lender or an Approved Fund, no minimum amount need be assigned; and</w:t>
      </w:r>
    </w:p>
    <w:p>
      <w:pPr>
        <w:spacing w:after="0" w:line="211" w:lineRule="exact"/>
        <w:rPr>
          <w:rFonts w:ascii="Arial" w:cs="Arial" w:eastAsia="Arial" w:hAnsi="Arial"/>
          <w:sz w:val="22"/>
          <w:szCs w:val="22"/>
          <w:color w:val="auto"/>
        </w:rPr>
      </w:pPr>
    </w:p>
    <w:p>
      <w:pPr>
        <w:jc w:val="both"/>
        <w:ind w:left="1740" w:firstLine="726"/>
        <w:spacing w:after="0" w:line="238" w:lineRule="auto"/>
        <w:tabs>
          <w:tab w:leader="none" w:pos="3407" w:val="left"/>
        </w:tabs>
        <w:numPr>
          <w:ilvl w:val="3"/>
          <w:numId w:val="96"/>
        </w:numPr>
        <w:rPr>
          <w:rFonts w:ascii="Arial" w:cs="Arial" w:eastAsia="Arial" w:hAnsi="Arial"/>
          <w:sz w:val="22"/>
          <w:szCs w:val="22"/>
          <w:color w:val="auto"/>
        </w:rPr>
      </w:pPr>
      <w:r>
        <w:rPr>
          <w:rFonts w:ascii="Arial" w:cs="Arial" w:eastAsia="Arial" w:hAnsi="Arial"/>
          <w:sz w:val="20"/>
          <w:szCs w:val="20"/>
          <w:color w:val="auto"/>
        </w:rPr>
        <w:t xml:space="preserve">in any case not described in </w:t>
      </w:r>
      <w:r>
        <w:rPr>
          <w:rFonts w:ascii="Arial" w:cs="Arial" w:eastAsia="Arial" w:hAnsi="Arial"/>
          <w:sz w:val="20"/>
          <w:szCs w:val="20"/>
          <w:u w:val="single" w:color="auto"/>
          <w:color w:val="auto"/>
        </w:rPr>
        <w:t>subsection (b)(i)(A)</w:t>
      </w:r>
      <w:r>
        <w:rPr>
          <w:rFonts w:ascii="Arial" w:cs="Arial" w:eastAsia="Arial" w:hAnsi="Arial"/>
          <w:sz w:val="20"/>
          <w:szCs w:val="20"/>
          <w:color w:val="auto"/>
        </w:rPr>
        <w:t xml:space="preserve"> of this Section, the aggregate amount of the applicable Commitment (which for this purpose includes Loans outstanding thereunder) or, if the applicable Commitment is not then in effect, the principal outstanding balance of the Loans of the assigning Lender subject to each such assignment,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78" w:name="page79"/>
    <w:bookmarkEnd w:id="78"/>
    <w:p>
      <w:pPr>
        <w:jc w:val="both"/>
        <w:ind w:left="620"/>
        <w:spacing w:after="0" w:line="242" w:lineRule="auto"/>
        <w:rPr>
          <w:sz w:val="20"/>
          <w:szCs w:val="20"/>
          <w:color w:val="auto"/>
        </w:rPr>
      </w:pPr>
      <w:r>
        <w:rPr>
          <w:rFonts w:ascii="Arial" w:cs="Arial" w:eastAsia="Arial" w:hAnsi="Arial"/>
          <w:sz w:val="20"/>
          <w:szCs w:val="20"/>
          <w:color w:val="auto"/>
        </w:rPr>
        <w:t xml:space="preserve">determined as of the date the Assignment and Assumption with respect to such assignment is delivered to the Administrative Agent or, if “Trade Date” is specified in the Assignment and Assumption, as of the Trade Date, shall not be less than $1,000,000, unless each of the Administrative Agent and, so long as no Event of Default has occurred and is continuing, the Borrower otherwise consents (each such consent not to be unreasonably withheld or delayed);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97" w:lineRule="exact"/>
        <w:rPr>
          <w:sz w:val="20"/>
          <w:szCs w:val="20"/>
          <w:color w:val="auto"/>
        </w:rPr>
      </w:pPr>
    </w:p>
    <w:p>
      <w:pPr>
        <w:jc w:val="both"/>
        <w:ind w:left="-240" w:firstLine="789"/>
        <w:spacing w:after="0" w:line="246" w:lineRule="auto"/>
        <w:tabs>
          <w:tab w:leader="none" w:pos="1447"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Proportionate Amounts</w:t>
      </w:r>
      <w:r>
        <w:rPr>
          <w:rFonts w:ascii="Arial" w:cs="Arial" w:eastAsia="Arial" w:hAnsi="Arial"/>
          <w:sz w:val="20"/>
          <w:szCs w:val="20"/>
          <w:color w:val="auto"/>
        </w:rPr>
        <w:t xml:space="preserve">. Each partial assignment shall be made as an assignment of a proportionate part of all the assigning Lender’s rights and obligations under this Agreement with respect to the Loans or the Commitment assigned, except that this </w:t>
      </w:r>
      <w:r>
        <w:rPr>
          <w:rFonts w:ascii="Arial" w:cs="Arial" w:eastAsia="Arial" w:hAnsi="Arial"/>
          <w:sz w:val="20"/>
          <w:szCs w:val="20"/>
          <w:u w:val="single" w:color="auto"/>
          <w:color w:val="auto"/>
        </w:rPr>
        <w:t>clause (ii)</w:t>
      </w:r>
      <w:r>
        <w:rPr>
          <w:rFonts w:ascii="Arial" w:cs="Arial" w:eastAsia="Arial" w:hAnsi="Arial"/>
          <w:sz w:val="20"/>
          <w:szCs w:val="20"/>
          <w:color w:val="auto"/>
        </w:rPr>
        <w:t xml:space="preserve"> shall not prohibit any Lender from assigning all or a portion of its rights and obligations provided hereunder among the Facilities on a non-pro rata basis.</w:t>
      </w:r>
    </w:p>
    <w:p>
      <w:pPr>
        <w:spacing w:after="0" w:line="191" w:lineRule="exact"/>
        <w:rPr>
          <w:rFonts w:ascii="Arial" w:cs="Arial" w:eastAsia="Arial" w:hAnsi="Arial"/>
          <w:sz w:val="20"/>
          <w:szCs w:val="20"/>
          <w:color w:val="auto"/>
        </w:rPr>
      </w:pPr>
    </w:p>
    <w:p>
      <w:pPr>
        <w:ind w:left="-240" w:firstLine="789"/>
        <w:spacing w:after="0" w:line="260" w:lineRule="auto"/>
        <w:tabs>
          <w:tab w:leader="none" w:pos="1502"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xml:space="preserve">. No consent shall be required for any assignment except to the extent required by </w:t>
      </w:r>
      <w:r>
        <w:rPr>
          <w:rFonts w:ascii="Arial" w:cs="Arial" w:eastAsia="Arial" w:hAnsi="Arial"/>
          <w:sz w:val="20"/>
          <w:szCs w:val="20"/>
          <w:u w:val="single" w:color="auto"/>
          <w:color w:val="auto"/>
        </w:rPr>
        <w:t>subsection (b)(i)(B)</w:t>
      </w:r>
      <w:r>
        <w:rPr>
          <w:rFonts w:ascii="Arial" w:cs="Arial" w:eastAsia="Arial" w:hAnsi="Arial"/>
          <w:sz w:val="20"/>
          <w:szCs w:val="20"/>
          <w:color w:val="auto"/>
        </w:rPr>
        <w:t xml:space="preserve"> of this Section and, in addition:</w:t>
      </w:r>
    </w:p>
    <w:p>
      <w:pPr>
        <w:spacing w:after="0" w:line="190" w:lineRule="exact"/>
        <w:rPr>
          <w:rFonts w:ascii="Arial" w:cs="Arial" w:eastAsia="Arial" w:hAnsi="Arial"/>
          <w:sz w:val="20"/>
          <w:szCs w:val="20"/>
          <w:color w:val="auto"/>
        </w:rPr>
      </w:pPr>
    </w:p>
    <w:p>
      <w:pPr>
        <w:jc w:val="both"/>
        <w:ind w:left="620" w:firstLine="726"/>
        <w:spacing w:after="0" w:line="239" w:lineRule="auto"/>
        <w:tabs>
          <w:tab w:leader="none" w:pos="2299" w:val="left"/>
        </w:tabs>
        <w:numPr>
          <w:ilvl w:val="1"/>
          <w:numId w:val="97"/>
        </w:numPr>
        <w:rPr>
          <w:rFonts w:ascii="Arial" w:cs="Arial" w:eastAsia="Arial" w:hAnsi="Arial"/>
          <w:sz w:val="22"/>
          <w:szCs w:val="22"/>
          <w:color w:val="auto"/>
        </w:rPr>
      </w:pPr>
      <w:r>
        <w:rPr>
          <w:rFonts w:ascii="Arial" w:cs="Arial" w:eastAsia="Arial" w:hAnsi="Arial"/>
          <w:sz w:val="20"/>
          <w:szCs w:val="20"/>
          <w:color w:val="auto"/>
        </w:rPr>
        <w:t xml:space="preserve">the consent of the Borrower (such consent not to be unreasonably withheld or delayed) shall be required unless (1) an Event of Default has occurred and is continuing at the time of such assignment or (2) such assignment is to a Lender, an Affiliate of a Lender or an Approved Fund;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be deemed to have consented to any such assignment unless it shall object thereto by written notice to the Administrative Agent within ten (10) days after having received notice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further that the Borrower’s consent shall be deemed reasonably withheld where such assignment would result in additional or increased costs to the Borrower pursuant to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3.04</w:t>
      </w:r>
      <w:r>
        <w:rPr>
          <w:rFonts w:ascii="Arial" w:cs="Arial" w:eastAsia="Arial" w:hAnsi="Arial"/>
          <w:sz w:val="20"/>
          <w:szCs w:val="20"/>
          <w:color w:val="auto"/>
        </w:rPr>
        <w:t>; and</w:t>
      </w:r>
    </w:p>
    <w:p>
      <w:pPr>
        <w:spacing w:after="0" w:line="209" w:lineRule="exact"/>
        <w:rPr>
          <w:rFonts w:ascii="Arial" w:cs="Arial" w:eastAsia="Arial" w:hAnsi="Arial"/>
          <w:sz w:val="22"/>
          <w:szCs w:val="22"/>
          <w:color w:val="auto"/>
        </w:rPr>
      </w:pPr>
    </w:p>
    <w:p>
      <w:pPr>
        <w:ind w:left="620" w:firstLine="726"/>
        <w:spacing w:after="0" w:line="335" w:lineRule="auto"/>
        <w:tabs>
          <w:tab w:leader="none" w:pos="2287" w:val="left"/>
        </w:tabs>
        <w:numPr>
          <w:ilvl w:val="1"/>
          <w:numId w:val="97"/>
        </w:numPr>
        <w:rPr>
          <w:rFonts w:ascii="Arial" w:cs="Arial" w:eastAsia="Arial" w:hAnsi="Arial"/>
          <w:sz w:val="18"/>
          <w:szCs w:val="18"/>
          <w:color w:val="auto"/>
        </w:rPr>
      </w:pPr>
      <w:r>
        <w:rPr>
          <w:rFonts w:ascii="Arial" w:cs="Arial" w:eastAsia="Arial" w:hAnsi="Arial"/>
          <w:sz w:val="17"/>
          <w:szCs w:val="17"/>
          <w:color w:val="auto"/>
        </w:rPr>
        <w:t>the consent of the Administrative Agent (such consent not to be unreasonably withheld or delayed) shall be required if such assignment is to a Person that is not a Lender, an Affiliate of a Lender or an Approved Fund.</w:t>
      </w:r>
    </w:p>
    <w:p>
      <w:pPr>
        <w:spacing w:after="0" w:line="113" w:lineRule="exact"/>
        <w:rPr>
          <w:rFonts w:ascii="Arial" w:cs="Arial" w:eastAsia="Arial" w:hAnsi="Arial"/>
          <w:sz w:val="18"/>
          <w:szCs w:val="18"/>
          <w:color w:val="auto"/>
        </w:rPr>
      </w:pPr>
    </w:p>
    <w:p>
      <w:pPr>
        <w:jc w:val="both"/>
        <w:ind w:left="-240" w:firstLine="789"/>
        <w:spacing w:after="0" w:line="282" w:lineRule="auto"/>
        <w:tabs>
          <w:tab w:leader="none" w:pos="1491"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61" w:lineRule="exact"/>
        <w:rPr>
          <w:rFonts w:ascii="Arial" w:cs="Arial" w:eastAsia="Arial" w:hAnsi="Arial"/>
          <w:sz w:val="18"/>
          <w:szCs w:val="18"/>
          <w:color w:val="auto"/>
        </w:rPr>
      </w:pPr>
    </w:p>
    <w:p>
      <w:pPr>
        <w:jc w:val="both"/>
        <w:ind w:left="-240" w:firstLine="789"/>
        <w:spacing w:after="0" w:line="282" w:lineRule="auto"/>
        <w:tabs>
          <w:tab w:leader="none" w:pos="1436"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xml:space="preserve">. No such assignment shall be made (A) to the Borrower or its Affiliates or Subsidiaries, or (B) to any Defaulting Lender or any of its Subsidiaries, or any Person who, upon becoming a Lender hereunder, would constitute any of the foregoing Persons described in this </w:t>
      </w:r>
      <w:r>
        <w:rPr>
          <w:rFonts w:ascii="Arial" w:cs="Arial" w:eastAsia="Arial" w:hAnsi="Arial"/>
          <w:sz w:val="18"/>
          <w:szCs w:val="18"/>
          <w:u w:val="single" w:color="auto"/>
          <w:color w:val="auto"/>
        </w:rPr>
        <w:t>clause (B)</w:t>
      </w:r>
      <w:r>
        <w:rPr>
          <w:rFonts w:ascii="Arial" w:cs="Arial" w:eastAsia="Arial" w:hAnsi="Arial"/>
          <w:sz w:val="18"/>
          <w:szCs w:val="18"/>
          <w:color w:val="auto"/>
        </w:rPr>
        <w:t>, or (C) to a natural person (or a holding company, investment vehicle or trust for, or owned and operated for the primary benefit of one or more natural persons).</w:t>
      </w:r>
    </w:p>
    <w:p>
      <w:pPr>
        <w:spacing w:after="0" w:line="161" w:lineRule="exact"/>
        <w:rPr>
          <w:rFonts w:ascii="Arial" w:cs="Arial" w:eastAsia="Arial" w:hAnsi="Arial"/>
          <w:sz w:val="18"/>
          <w:szCs w:val="18"/>
          <w:color w:val="auto"/>
        </w:rPr>
      </w:pPr>
    </w:p>
    <w:p>
      <w:pPr>
        <w:jc w:val="both"/>
        <w:ind w:left="-240" w:firstLine="789"/>
        <w:spacing w:after="0" w:line="246" w:lineRule="auto"/>
        <w:tabs>
          <w:tab w:leader="none" w:pos="1491"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Certain Additional Payments</w:t>
      </w:r>
      <w:r>
        <w:rPr>
          <w:rFonts w:ascii="Arial" w:cs="Arial" w:eastAsia="Arial" w:hAnsi="Arial"/>
          <w:sz w:val="20"/>
          <w:szCs w:val="20"/>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w:t>
      </w:r>
    </w:p>
    <w:p>
      <w:pPr>
        <w:spacing w:after="0" w:line="18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170180</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39" w:right="339" w:bottom="1440" w:gutter="0" w:footer="0" w:header="0"/>
        </w:sectPr>
      </w:pPr>
    </w:p>
    <w:bookmarkStart w:id="79" w:name="page80"/>
    <w:bookmarkEnd w:id="79"/>
    <w:p>
      <w:pPr>
        <w:jc w:val="both"/>
        <w:ind w:left="880"/>
        <w:spacing w:after="0" w:line="272" w:lineRule="auto"/>
        <w:rPr>
          <w:sz w:val="20"/>
          <w:szCs w:val="20"/>
          <w:color w:val="auto"/>
        </w:rPr>
      </w:pPr>
      <w:r>
        <w:rPr>
          <w:rFonts w:ascii="Arial" w:cs="Arial" w:eastAsia="Arial" w:hAnsi="Arial"/>
          <w:sz w:val="18"/>
          <w:szCs w:val="18"/>
          <w:color w:val="auto"/>
        </w:rPr>
        <w:t>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Subject to acceptance and recording thereof by the Administrative Agent pursuant to </w:t>
      </w:r>
      <w:r>
        <w:rPr>
          <w:rFonts w:ascii="Arial" w:cs="Arial" w:eastAsia="Arial" w:hAnsi="Arial"/>
          <w:sz w:val="18"/>
          <w:szCs w:val="18"/>
          <w:u w:val="single" w:color="auto"/>
          <w:color w:val="auto"/>
        </w:rPr>
        <w:t>subsection (c)</w:t>
      </w:r>
      <w:r>
        <w:rPr>
          <w:rFonts w:ascii="Arial" w:cs="Arial" w:eastAsia="Arial" w:hAnsi="Arial"/>
          <w:sz w:val="18"/>
          <w:szCs w:val="18"/>
          <w:color w:val="auto"/>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10.04</w:t>
      </w:r>
      <w:r>
        <w:rPr>
          <w:rFonts w:ascii="Arial" w:cs="Arial" w:eastAsia="Arial" w:hAnsi="Arial"/>
          <w:sz w:val="18"/>
          <w:szCs w:val="18"/>
          <w:color w:val="auto"/>
        </w:rPr>
        <w:t xml:space="preserve"> with respect to facts and circumstances occurring prior to the effective date of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8"/>
          <w:szCs w:val="18"/>
          <w:u w:val="single" w:color="auto"/>
          <w:color w:val="auto"/>
        </w:rPr>
        <w:t>subsection (d)</w:t>
      </w:r>
      <w:r>
        <w:rPr>
          <w:rFonts w:ascii="Arial" w:cs="Arial" w:eastAsia="Arial" w:hAnsi="Arial"/>
          <w:sz w:val="18"/>
          <w:szCs w:val="18"/>
          <w:color w:val="auto"/>
        </w:rPr>
        <w:t xml:space="preserve"> of this Section.</w:t>
      </w:r>
    </w:p>
    <w:p>
      <w:pPr>
        <w:spacing w:after="0" w:line="176" w:lineRule="exact"/>
        <w:rPr>
          <w:sz w:val="20"/>
          <w:szCs w:val="20"/>
          <w:color w:val="auto"/>
        </w:rPr>
      </w:pPr>
    </w:p>
    <w:p>
      <w:pPr>
        <w:jc w:val="both"/>
        <w:ind w:firstLine="872"/>
        <w:spacing w:after="0" w:line="257" w:lineRule="auto"/>
        <w:tabs>
          <w:tab w:leader="none" w:pos="1731"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Register</w:t>
      </w:r>
      <w:r>
        <w:rPr>
          <w:rFonts w:ascii="Arial" w:cs="Arial" w:eastAsia="Arial" w:hAnsi="Arial"/>
          <w:sz w:val="19"/>
          <w:szCs w:val="19"/>
          <w:color w:val="auto"/>
        </w:rPr>
        <w:t>. The Administrative Agent, acting solely for this purpose as an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180" w:lineRule="exact"/>
        <w:rPr>
          <w:rFonts w:ascii="Arial" w:cs="Arial" w:eastAsia="Arial" w:hAnsi="Arial"/>
          <w:sz w:val="19"/>
          <w:szCs w:val="19"/>
          <w:color w:val="auto"/>
        </w:rPr>
      </w:pPr>
    </w:p>
    <w:p>
      <w:pPr>
        <w:jc w:val="both"/>
        <w:ind w:firstLine="872"/>
        <w:spacing w:after="0" w:line="257" w:lineRule="auto"/>
        <w:tabs>
          <w:tab w:leader="none" w:pos="1742"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Any Lender may at any time, without the consent of, or notice to, the Borrower or the Administrative Agent, sell participations to any Person (other than a natural Person, or a holding company, investment vehicle or trust for, or owned and operated for the primary benefit of one or more natural Persons, a Defaulting Lender or the Borrower or any of the Borrower’s Affiliates or Subsidiaries)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its Commitment and/or the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Lender’s obligations under this Agreement shall remain unchanged, (ii) such Lender shall remain solely responsible to the other parties hereto for the performance of such obligations and (iii) the Borrower, the Administrative Agent and the Lenders shall continue to deal solely and directly with such Lender in connection with such Lender's rights and obligations under this Agreement. For the avoidance of doubt,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0" w:name="page81"/>
    <w:bookmarkEnd w:id="80"/>
    <w:p>
      <w:pPr>
        <w:spacing w:after="0"/>
        <w:rPr>
          <w:sz w:val="20"/>
          <w:szCs w:val="20"/>
          <w:color w:val="auto"/>
        </w:rPr>
      </w:pPr>
      <w:r>
        <w:rPr>
          <w:rFonts w:ascii="Arial" w:cs="Arial" w:eastAsia="Arial" w:hAnsi="Arial"/>
          <w:sz w:val="20"/>
          <w:szCs w:val="20"/>
          <w:color w:val="auto"/>
        </w:rPr>
        <w:t xml:space="preserve">each Lender shall be responsible for the indemnity under </w:t>
      </w:r>
      <w:r>
        <w:rPr>
          <w:rFonts w:ascii="Arial" w:cs="Arial" w:eastAsia="Arial" w:hAnsi="Arial"/>
          <w:sz w:val="20"/>
          <w:szCs w:val="20"/>
          <w:u w:val="single" w:color="auto"/>
          <w:color w:val="auto"/>
        </w:rPr>
        <w:t>Section 10.04(c)</w:t>
      </w:r>
      <w:r>
        <w:rPr>
          <w:rFonts w:ascii="Arial" w:cs="Arial" w:eastAsia="Arial" w:hAnsi="Arial"/>
          <w:sz w:val="20"/>
          <w:szCs w:val="20"/>
          <w:color w:val="auto"/>
        </w:rPr>
        <w:t xml:space="preserve"> without regard to the existence of any participation.</w:t>
      </w:r>
    </w:p>
    <w:p>
      <w:pPr>
        <w:spacing w:after="0" w:line="216"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that affects such Participant. Subject to </w:t>
      </w:r>
      <w:r>
        <w:rPr>
          <w:rFonts w:ascii="Arial" w:cs="Arial" w:eastAsia="Arial" w:hAnsi="Arial"/>
          <w:sz w:val="18"/>
          <w:szCs w:val="18"/>
          <w:u w:val="single" w:color="auto"/>
          <w:color w:val="auto"/>
        </w:rPr>
        <w:t>subsection (e)</w:t>
      </w:r>
      <w:r>
        <w:rPr>
          <w:rFonts w:ascii="Arial" w:cs="Arial" w:eastAsia="Arial" w:hAnsi="Arial"/>
          <w:sz w:val="18"/>
          <w:szCs w:val="18"/>
          <w:color w:val="auto"/>
        </w:rPr>
        <w:t xml:space="preserve"> of this Section, the Borrower agrees that each Participant shall be entitled to the benefits of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to the same extent as if it were a Lender and had acquired its interest by assignment pursuant to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of this Section (it being understood that the documentation required under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shall be delivered to the Lender who sells the participation) to the same extent as if it were a Lender and had acquired its interest by assignment pursuant to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 agrees to be subject to the provisions of </w:t>
      </w:r>
      <w:r>
        <w:rPr>
          <w:rFonts w:ascii="Arial" w:cs="Arial" w:eastAsia="Arial" w:hAnsi="Arial"/>
          <w:sz w:val="18"/>
          <w:szCs w:val="18"/>
          <w:u w:val="single" w:color="auto"/>
          <w:color w:val="auto"/>
        </w:rPr>
        <w:t>Sections 3.06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10.13</w:t>
      </w:r>
      <w:r>
        <w:rPr>
          <w:rFonts w:ascii="Arial" w:cs="Arial" w:eastAsia="Arial" w:hAnsi="Arial"/>
          <w:sz w:val="18"/>
          <w:szCs w:val="18"/>
          <w:color w:val="auto"/>
        </w:rPr>
        <w:t xml:space="preserve"> as if it were an assignee under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and (B) shall not be entitled to receive any greater payment under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Arial" w:cs="Arial" w:eastAsia="Arial" w:hAnsi="Arial"/>
          <w:sz w:val="18"/>
          <w:szCs w:val="18"/>
          <w:u w:val="single" w:color="auto"/>
          <w:color w:val="auto"/>
        </w:rPr>
        <w:t>Section 3.06</w:t>
      </w:r>
      <w:r>
        <w:rPr>
          <w:rFonts w:ascii="Arial" w:cs="Arial" w:eastAsia="Arial" w:hAnsi="Arial"/>
          <w:sz w:val="18"/>
          <w:szCs w:val="18"/>
          <w:color w:val="auto"/>
        </w:rPr>
        <w:t xml:space="preserve"> with respect to any Participant. To the extent permitted by law, each Participant also shall be entitled to the benefits of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Participant agrees to be subject to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as though it were a Lender.</w:t>
      </w:r>
    </w:p>
    <w:p>
      <w:pPr>
        <w:spacing w:after="0" w:line="179"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color w:val="auto"/>
        </w:rPr>
        <w:t>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4" w:lineRule="exact"/>
        <w:rPr>
          <w:sz w:val="20"/>
          <w:szCs w:val="20"/>
          <w:color w:val="auto"/>
        </w:rPr>
      </w:pPr>
    </w:p>
    <w:p>
      <w:pPr>
        <w:jc w:val="both"/>
        <w:ind w:firstLine="872"/>
        <w:spacing w:after="0" w:line="278" w:lineRule="auto"/>
        <w:tabs>
          <w:tab w:leader="none" w:pos="1731"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Limitation upon Participant Rights</w:t>
      </w:r>
      <w:r>
        <w:rPr>
          <w:rFonts w:ascii="Arial" w:cs="Arial" w:eastAsia="Arial" w:hAnsi="Arial"/>
          <w:sz w:val="18"/>
          <w:szCs w:val="18"/>
          <w:color w:val="auto"/>
        </w:rPr>
        <w:t xml:space="preserve">. A Participant shall not be entitled to receive any greater payment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unless the Borrower is notified of the participation sold to such Participant and such Participant agrees, for the benefit of the Borrower, to comply with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as though it were a Lender.</w:t>
      </w:r>
    </w:p>
    <w:p>
      <w:pPr>
        <w:spacing w:after="0" w:line="164" w:lineRule="exact"/>
        <w:rPr>
          <w:rFonts w:ascii="Arial" w:cs="Arial" w:eastAsia="Arial" w:hAnsi="Arial"/>
          <w:sz w:val="18"/>
          <w:szCs w:val="18"/>
          <w:color w:val="auto"/>
        </w:rPr>
      </w:pPr>
    </w:p>
    <w:p>
      <w:pPr>
        <w:jc w:val="both"/>
        <w:ind w:firstLine="872"/>
        <w:spacing w:after="0" w:line="246" w:lineRule="auto"/>
        <w:tabs>
          <w:tab w:leader="none" w:pos="1709"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Certain Pledges</w:t>
      </w:r>
      <w:r>
        <w:rPr>
          <w:rFonts w:ascii="Arial" w:cs="Arial" w:eastAsia="Arial" w:hAnsi="Arial"/>
          <w:sz w:val="20"/>
          <w:szCs w:val="20"/>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1" w:name="page82"/>
    <w:bookmarkEnd w:id="81"/>
    <w:p>
      <w:pPr>
        <w:jc w:val="both"/>
        <w:ind w:firstLine="864"/>
        <w:spacing w:after="0" w:line="269" w:lineRule="auto"/>
        <w:rPr>
          <w:sz w:val="20"/>
          <w:szCs w:val="20"/>
          <w:color w:val="auto"/>
        </w:rPr>
      </w:pPr>
      <w:r>
        <w:rPr>
          <w:rFonts w:ascii="Arial" w:cs="Arial" w:eastAsia="Arial" w:hAnsi="Arial"/>
          <w:sz w:val="18"/>
          <w:szCs w:val="18"/>
          <w:b w:val="1"/>
          <w:bCs w:val="1"/>
          <w:color w:val="auto"/>
        </w:rPr>
        <w:t>10.07 Treatment of Certain Information; Confidentiality</w:t>
      </w:r>
      <w:r>
        <w:rPr>
          <w:rFonts w:ascii="Arial" w:cs="Arial" w:eastAsia="Arial" w:hAnsi="Arial"/>
          <w:sz w:val="18"/>
          <w:szCs w:val="18"/>
          <w:color w:val="auto"/>
        </w:rPr>
        <w:t>. Each of the Administrative Agent and the Lenders agrees to</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 the confidentiality of the Information (as defined below), except that Information may be disclosed (a) to its Affiliates, its auditors and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the Borrower and its obligations, (g) on a confidential basis to (i) any rating agency in connection with rating the Borrower or its Subsidiaries or the credit facilities provided hereunder or (ii) the CUSIP Service Bureau or any similar agency in connection with the issuance and monitoring of CUSIP numbers or other market identifiers with respect to the credit facilities provided hereunder, (h) with the consent of the Borrower or (i) to the extent such Information (x) becomes publicly available other than as a result of a breach of this Section or (y) becomes available to the Administrative Agent, any Lender or any of their respective Affiliates on a nonconfidential basis from a source other than the Borrower.</w:t>
      </w:r>
    </w:p>
    <w:p>
      <w:pPr>
        <w:spacing w:after="0" w:line="18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For purposes of this Section, “</w:t>
      </w:r>
      <w:r>
        <w:rPr>
          <w:rFonts w:ascii="Arial" w:cs="Arial" w:eastAsia="Arial" w:hAnsi="Arial"/>
          <w:sz w:val="20"/>
          <w:szCs w:val="20"/>
          <w:u w:val="single" w:color="auto"/>
          <w:color w:val="auto"/>
        </w:rPr>
        <w:t>Information</w:t>
      </w:r>
      <w:r>
        <w:rPr>
          <w:rFonts w:ascii="Arial" w:cs="Arial" w:eastAsia="Arial" w:hAnsi="Arial"/>
          <w:sz w:val="20"/>
          <w:szCs w:val="20"/>
          <w:color w:val="auto"/>
        </w:rPr>
        <w:t>” means all information received from the Borrower or any Subsidiary relating to the Borrower or any Subsidiary or any of their respective businesses, other than any such information that is available to the Administrative Agent or any Lender on a nonconfidential basis prior to disclosure by the Borrower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9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Each of the Administrative Agent and the Lenders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85"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b w:val="1"/>
          <w:bCs w:val="1"/>
          <w:color w:val="auto"/>
        </w:rPr>
        <w:t xml:space="preserve">10.08 Right of Setoff. </w:t>
      </w:r>
      <w:r>
        <w:rPr>
          <w:rFonts w:ascii="Arial" w:cs="Arial" w:eastAsia="Arial" w:hAnsi="Arial"/>
          <w:sz w:val="18"/>
          <w:szCs w:val="18"/>
          <w:color w:val="auto"/>
        </w:rPr>
        <w:t>If an Event of Default shall have occurred and be continuing, each Lender and each of their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respective Affiliates is hereby authorized at any time and from time to time, after obtaining the prior written consent of the Administrative Agent,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to or for the credit or the account of the Borrower against any and all of the obligations of the Borrower now or hereafter existing under this Agreement or any other Loan Document to such Lender, irrespective of whether or not such Lender shall have made any demand under this Agreement or any other Loan Document and although such obligations of the Borrower may be contingent or unmatured or are owed to a branch or office of such Lender different from the branch or office holding such deposit or obligated on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and, pending such payment, shall be segregated by such Defaulting Lender from its other funds and deemed held in trust for the benefit of the Administrative Agent and the Lenders, and (y) the Defaulting Lender shall provide promptly to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2" w:name="page83"/>
    <w:bookmarkEnd w:id="82"/>
    <w:p>
      <w:pPr>
        <w:jc w:val="both"/>
        <w:spacing w:after="0" w:line="244" w:lineRule="auto"/>
        <w:rPr>
          <w:sz w:val="20"/>
          <w:szCs w:val="20"/>
          <w:color w:val="auto"/>
        </w:rPr>
      </w:pPr>
      <w:r>
        <w:rPr>
          <w:rFonts w:ascii="Arial" w:cs="Arial" w:eastAsia="Arial" w:hAnsi="Arial"/>
          <w:sz w:val="20"/>
          <w:szCs w:val="20"/>
          <w:color w:val="auto"/>
        </w:rPr>
        <w:t xml:space="preserve">Administrative Agent a statement describing in reasonable detail the Obligations owing to such Defaulting Lender as to which it exercised such right of setoff. The rights of each Lender and their respective Affiliates under this Section are in addition to other rights and remedies (including other rights of setoff) that such Lender or their respective Affiliates may have. Each Lender agrees to notify the Borrower and the Administrative Agent promptly after any such setoff and application,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failure to give such notice shall not affect the validity of such setoff and application.</w:t>
      </w:r>
    </w:p>
    <w:p>
      <w:pPr>
        <w:spacing w:after="0" w:line="188"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8"/>
          <w:szCs w:val="18"/>
          <w:b w:val="1"/>
          <w:bCs w:val="1"/>
          <w:color w:val="auto"/>
        </w:rPr>
        <w:t xml:space="preserve">10.09 Interest Rate Limitation. </w:t>
      </w:r>
      <w:r>
        <w:rPr>
          <w:rFonts w:ascii="Arial" w:cs="Arial" w:eastAsia="Arial" w:hAnsi="Arial"/>
          <w:sz w:val="18"/>
          <w:szCs w:val="18"/>
          <w:color w:val="auto"/>
        </w:rPr>
        <w:t>Notwithstanding anything to the contrary contained in any Loan Document, the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paid or agreed to be paid under the Loan Documents shall not exceed the maximum rate of non-usurious interest permitted by Applicable Law (the “</w:t>
      </w:r>
      <w:r>
        <w:rPr>
          <w:rFonts w:ascii="Arial" w:cs="Arial" w:eastAsia="Arial" w:hAnsi="Arial"/>
          <w:sz w:val="18"/>
          <w:szCs w:val="18"/>
          <w:u w:val="single" w:color="auto"/>
          <w:color w:val="auto"/>
        </w:rPr>
        <w:t>Maximum Rate</w:t>
      </w:r>
      <w:r>
        <w:rPr>
          <w:rFonts w:ascii="Arial" w:cs="Arial" w:eastAsia="Arial" w:hAnsi="Arial"/>
          <w:sz w:val="18"/>
          <w:szCs w:val="18"/>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62"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b w:val="1"/>
          <w:bCs w:val="1"/>
          <w:color w:val="auto"/>
        </w:rPr>
        <w:t xml:space="preserve">10.10 Counterparts; Integration; Effectiveness. </w:t>
      </w:r>
      <w:r>
        <w:rPr>
          <w:rFonts w:ascii="Arial" w:cs="Arial" w:eastAsia="Arial" w:hAnsi="Arial"/>
          <w:sz w:val="19"/>
          <w:szCs w:val="19"/>
          <w:color w:val="auto"/>
        </w:rPr>
        <w:t>This Agreement and the other Loan Documents may be executed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counterparts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9"/>
          <w:szCs w:val="19"/>
          <w:u w:val="single" w:color="auto"/>
          <w:color w:val="auto"/>
        </w:rPr>
        <w:t>Section 4.01</w:t>
      </w:r>
      <w:r>
        <w:rPr>
          <w:rFonts w:ascii="Arial" w:cs="Arial" w:eastAsia="Arial" w:hAnsi="Arial"/>
          <w:sz w:val="19"/>
          <w:szCs w:val="19"/>
          <w:color w:val="auto"/>
        </w:rPr>
        <w:t>, this Agreement and the other Loan Documents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and any other Loan Document by telecopy or other electronic imaging means (including PDF) shall be effective as delivery of a manually executed counterpart of this Agreement and the other Loan Documents.</w:t>
      </w:r>
    </w:p>
    <w:p>
      <w:pPr>
        <w:spacing w:after="0" w:line="176"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b w:val="1"/>
          <w:bCs w:val="1"/>
          <w:color w:val="auto"/>
        </w:rPr>
        <w:t xml:space="preserve">10.11 Survival of Representations and Warranties. </w:t>
      </w:r>
      <w:r>
        <w:rPr>
          <w:rFonts w:ascii="Arial" w:cs="Arial" w:eastAsia="Arial" w:hAnsi="Arial"/>
          <w:sz w:val="18"/>
          <w:szCs w:val="18"/>
          <w:color w:val="auto"/>
        </w:rPr>
        <w:t>All representations and warranties made hereunder and in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Loan, and shall continue in full force and effect as long as any Loan or any other Obligation hereunder shall remain unpaid or unsatisfied.</w:t>
      </w:r>
    </w:p>
    <w:p>
      <w:pPr>
        <w:spacing w:after="0" w:line="160"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8"/>
          <w:szCs w:val="18"/>
          <w:b w:val="1"/>
          <w:bCs w:val="1"/>
          <w:color w:val="auto"/>
        </w:rPr>
        <w:t xml:space="preserve">10.12 Severability. </w:t>
      </w:r>
      <w:r>
        <w:rPr>
          <w:rFonts w:ascii="Arial" w:cs="Arial" w:eastAsia="Arial" w:hAnsi="Arial"/>
          <w:sz w:val="18"/>
          <w:szCs w:val="18"/>
          <w:color w:val="auto"/>
        </w:rPr>
        <w:t>If any provision of this Agreement or the other Loan Documents is held to be illegal, invalid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8"/>
          <w:szCs w:val="18"/>
          <w:u w:val="single" w:color="auto"/>
          <w:color w:val="auto"/>
        </w:rPr>
        <w:t>Section 10.12</w:t>
      </w:r>
      <w:r>
        <w:rPr>
          <w:rFonts w:ascii="Arial" w:cs="Arial" w:eastAsia="Arial" w:hAnsi="Arial"/>
          <w:sz w:val="18"/>
          <w:szCs w:val="18"/>
          <w:color w:val="auto"/>
        </w:rPr>
        <w:t>, if and to the extent that the enforceability of any provisions in this Agreement relating to Defaulting Lenders shall be limited by Debtor Relief Laws, as determined in good faith by the Administrative Agent, , then such provisions shall be deemed to be in effect only to the extent not so limited.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3" w:name="page84"/>
    <w:bookmarkEnd w:id="83"/>
    <w:p>
      <w:pPr>
        <w:jc w:val="both"/>
        <w:ind w:firstLine="864"/>
        <w:spacing w:after="0" w:line="264" w:lineRule="auto"/>
        <w:rPr>
          <w:sz w:val="20"/>
          <w:szCs w:val="20"/>
          <w:color w:val="auto"/>
        </w:rPr>
      </w:pPr>
      <w:r>
        <w:rPr>
          <w:rFonts w:ascii="Arial" w:cs="Arial" w:eastAsia="Arial" w:hAnsi="Arial"/>
          <w:sz w:val="19"/>
          <w:szCs w:val="19"/>
          <w:b w:val="1"/>
          <w:bCs w:val="1"/>
          <w:color w:val="auto"/>
        </w:rPr>
        <w:t xml:space="preserve">10.13 Replacement of Lenders. </w:t>
      </w:r>
      <w:r>
        <w:rPr>
          <w:rFonts w:ascii="Arial" w:cs="Arial" w:eastAsia="Arial" w:hAnsi="Arial"/>
          <w:sz w:val="19"/>
          <w:szCs w:val="19"/>
          <w:color w:val="auto"/>
        </w:rPr>
        <w:t>If (i) any Lender requests compensation under</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3.04</w:t>
      </w:r>
      <w:r>
        <w:rPr>
          <w:rFonts w:ascii="Arial" w:cs="Arial" w:eastAsia="Arial" w:hAnsi="Arial"/>
          <w:sz w:val="19"/>
          <w:szCs w:val="19"/>
          <w:color w:val="auto"/>
        </w:rPr>
        <w:t>, (ii) the Borrower 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required to pay any additional amount to any Lender or any Governmental Authority for the account of any Lender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w:t>
      </w:r>
    </w:p>
    <w:p>
      <w:pPr>
        <w:jc w:val="both"/>
        <w:ind w:firstLine="8"/>
        <w:spacing w:after="0" w:line="256" w:lineRule="auto"/>
        <w:tabs>
          <w:tab w:leader="none" w:pos="348"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any Lender is a Non-Consenting Lender (as defined below), or (iv) any Lender is a Defaulting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9"/>
          <w:szCs w:val="19"/>
          <w:u w:val="single" w:color="auto"/>
          <w:color w:val="auto"/>
        </w:rPr>
        <w:t>Section 10.06</w:t>
      </w:r>
      <w:r>
        <w:rPr>
          <w:rFonts w:ascii="Arial" w:cs="Arial" w:eastAsia="Arial" w:hAnsi="Arial"/>
          <w:sz w:val="19"/>
          <w:szCs w:val="19"/>
          <w:color w:val="auto"/>
        </w:rPr>
        <w:t xml:space="preserve">), all of its interests, rights and obligations under this Agreement and the related Loan Documents to an assignee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82" w:lineRule="exact"/>
        <w:rPr>
          <w:rFonts w:ascii="Arial" w:cs="Arial" w:eastAsia="Arial" w:hAnsi="Arial"/>
          <w:sz w:val="19"/>
          <w:szCs w:val="19"/>
          <w:color w:val="auto"/>
        </w:rPr>
      </w:pPr>
    </w:p>
    <w:p>
      <w:pPr>
        <w:ind w:left="1740" w:hanging="868"/>
        <w:spacing w:after="0"/>
        <w:tabs>
          <w:tab w:leader="none" w:pos="1740" w:val="left"/>
        </w:tabs>
        <w:numPr>
          <w:ilvl w:val="1"/>
          <w:numId w:val="100"/>
        </w:numPr>
        <w:rPr>
          <w:rFonts w:ascii="Arial" w:cs="Arial" w:eastAsia="Arial" w:hAnsi="Arial"/>
          <w:sz w:val="20"/>
          <w:szCs w:val="20"/>
          <w:color w:val="auto"/>
        </w:rPr>
      </w:pPr>
      <w:r>
        <w:rPr>
          <w:rFonts w:ascii="Arial" w:cs="Arial" w:eastAsia="Arial" w:hAnsi="Arial"/>
          <w:sz w:val="20"/>
          <w:szCs w:val="20"/>
          <w:color w:val="auto"/>
        </w:rPr>
        <w:t xml:space="preserve">the Borrower shall have paid to the Administrative Agent the assignment fee specified in </w:t>
      </w:r>
      <w:r>
        <w:rPr>
          <w:rFonts w:ascii="Arial" w:cs="Arial" w:eastAsia="Arial" w:hAnsi="Arial"/>
          <w:sz w:val="20"/>
          <w:szCs w:val="20"/>
          <w:u w:val="single" w:color="auto"/>
          <w:color w:val="auto"/>
        </w:rPr>
        <w:t>Section 10.06(b)</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872"/>
        <w:spacing w:after="0" w:line="246" w:lineRule="auto"/>
        <w:tabs>
          <w:tab w:leader="none" w:pos="1742" w:val="left"/>
        </w:tabs>
        <w:numPr>
          <w:ilvl w:val="1"/>
          <w:numId w:val="100"/>
        </w:numPr>
        <w:rPr>
          <w:rFonts w:ascii="Arial" w:cs="Arial" w:eastAsia="Arial" w:hAnsi="Arial"/>
          <w:sz w:val="20"/>
          <w:szCs w:val="20"/>
          <w:color w:val="auto"/>
        </w:rPr>
      </w:pPr>
      <w:r>
        <w:rPr>
          <w:rFonts w:ascii="Arial" w:cs="Arial" w:eastAsia="Arial" w:hAnsi="Arial"/>
          <w:sz w:val="20"/>
          <w:szCs w:val="20"/>
          <w:color w:val="auto"/>
        </w:rPr>
        <w:t xml:space="preserve">such Lender shall have received payment of an amount equal to the outstanding principal of its Loans, accrued interest thereon, accrued fees and all other amounts payable to it hereunder and under the other Loan Documents (including any amounts under </w:t>
      </w:r>
      <w:r>
        <w:rPr>
          <w:rFonts w:ascii="Arial" w:cs="Arial" w:eastAsia="Arial" w:hAnsi="Arial"/>
          <w:sz w:val="20"/>
          <w:szCs w:val="20"/>
          <w:u w:val="single" w:color="auto"/>
          <w:color w:val="auto"/>
        </w:rPr>
        <w:t>Section 3.05</w:t>
      </w:r>
      <w:r>
        <w:rPr>
          <w:rFonts w:ascii="Arial" w:cs="Arial" w:eastAsia="Arial" w:hAnsi="Arial"/>
          <w:sz w:val="20"/>
          <w:szCs w:val="20"/>
          <w:color w:val="auto"/>
        </w:rPr>
        <w:t>) from the assignee (to the extent of such outstanding principal and accrued interest and fees) or the Borrower (in the case of all other amounts);</w:t>
      </w:r>
    </w:p>
    <w:p>
      <w:pPr>
        <w:spacing w:after="0" w:line="191" w:lineRule="exact"/>
        <w:rPr>
          <w:rFonts w:ascii="Arial" w:cs="Arial" w:eastAsia="Arial" w:hAnsi="Arial"/>
          <w:sz w:val="20"/>
          <w:szCs w:val="20"/>
          <w:color w:val="auto"/>
        </w:rPr>
      </w:pPr>
    </w:p>
    <w:p>
      <w:pPr>
        <w:ind w:firstLine="872"/>
        <w:spacing w:after="0" w:line="316" w:lineRule="auto"/>
        <w:tabs>
          <w:tab w:leader="none" w:pos="1731" w:val="left"/>
        </w:tabs>
        <w:numPr>
          <w:ilvl w:val="1"/>
          <w:numId w:val="100"/>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w:t>
      </w:r>
    </w:p>
    <w:p>
      <w:pPr>
        <w:spacing w:after="0" w:line="129" w:lineRule="exact"/>
        <w:rPr>
          <w:rFonts w:ascii="Arial" w:cs="Arial" w:eastAsia="Arial" w:hAnsi="Arial"/>
          <w:sz w:val="18"/>
          <w:szCs w:val="18"/>
          <w:color w:val="auto"/>
        </w:rPr>
      </w:pPr>
    </w:p>
    <w:p>
      <w:pPr>
        <w:ind w:left="1760" w:hanging="888"/>
        <w:spacing w:after="0"/>
        <w:tabs>
          <w:tab w:leader="none" w:pos="1760" w:val="left"/>
        </w:tabs>
        <w:numPr>
          <w:ilvl w:val="1"/>
          <w:numId w:val="100"/>
        </w:numPr>
        <w:rPr>
          <w:rFonts w:ascii="Arial" w:cs="Arial" w:eastAsia="Arial" w:hAnsi="Arial"/>
          <w:sz w:val="20"/>
          <w:szCs w:val="20"/>
          <w:color w:val="auto"/>
        </w:rPr>
      </w:pPr>
      <w:r>
        <w:rPr>
          <w:rFonts w:ascii="Arial" w:cs="Arial" w:eastAsia="Arial" w:hAnsi="Arial"/>
          <w:sz w:val="20"/>
          <w:szCs w:val="20"/>
          <w:color w:val="auto"/>
        </w:rPr>
        <w:t>such assignment does not conflict with Applicable Laws; and</w:t>
      </w:r>
    </w:p>
    <w:p>
      <w:pPr>
        <w:spacing w:after="0" w:line="215" w:lineRule="exact"/>
        <w:rPr>
          <w:rFonts w:ascii="Arial" w:cs="Arial" w:eastAsia="Arial" w:hAnsi="Arial"/>
          <w:sz w:val="20"/>
          <w:szCs w:val="20"/>
          <w:color w:val="auto"/>
        </w:rPr>
      </w:pPr>
    </w:p>
    <w:p>
      <w:pPr>
        <w:ind w:right="20" w:firstLine="872"/>
        <w:spacing w:after="0" w:line="260" w:lineRule="auto"/>
        <w:tabs>
          <w:tab w:leader="none" w:pos="1731" w:val="left"/>
        </w:tabs>
        <w:numPr>
          <w:ilvl w:val="1"/>
          <w:numId w:val="100"/>
        </w:numPr>
        <w:rPr>
          <w:rFonts w:ascii="Arial" w:cs="Arial" w:eastAsia="Arial" w:hAnsi="Arial"/>
          <w:sz w:val="20"/>
          <w:szCs w:val="20"/>
          <w:color w:val="auto"/>
        </w:rPr>
      </w:pPr>
      <w:r>
        <w:rPr>
          <w:rFonts w:ascii="Arial" w:cs="Arial" w:eastAsia="Arial" w:hAnsi="Arial"/>
          <w:sz w:val="20"/>
          <w:szCs w:val="20"/>
          <w:color w:val="auto"/>
        </w:rPr>
        <w:t>in the case of an assignment resulting from a Lender becoming a Non-Consenting Lender, the applicable assignee shall have consented to the applicable amendment, waiver or consent.</w:t>
      </w:r>
    </w:p>
    <w:p>
      <w:pPr>
        <w:spacing w:after="0" w:line="177"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7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 xml:space="preserve">For the purposes of this </w:t>
      </w:r>
      <w:r>
        <w:rPr>
          <w:rFonts w:ascii="Arial" w:cs="Arial" w:eastAsia="Arial" w:hAnsi="Arial"/>
          <w:sz w:val="20"/>
          <w:szCs w:val="20"/>
          <w:u w:val="single" w:color="auto"/>
          <w:color w:val="auto"/>
        </w:rPr>
        <w:t>Section 10.13</w:t>
      </w:r>
      <w:r>
        <w:rPr>
          <w:rFonts w:ascii="Arial" w:cs="Arial" w:eastAsia="Arial" w:hAnsi="Arial"/>
          <w:sz w:val="20"/>
          <w:szCs w:val="20"/>
          <w:color w:val="auto"/>
        </w:rPr>
        <w:t>, a “</w:t>
      </w:r>
      <w:r>
        <w:rPr>
          <w:rFonts w:ascii="Arial" w:cs="Arial" w:eastAsia="Arial" w:hAnsi="Arial"/>
          <w:sz w:val="20"/>
          <w:szCs w:val="20"/>
          <w:u w:val="single" w:color="auto"/>
          <w:color w:val="auto"/>
        </w:rPr>
        <w:t>Non-Consenting Lender</w:t>
      </w:r>
      <w:r>
        <w:rPr>
          <w:rFonts w:ascii="Arial" w:cs="Arial" w:eastAsia="Arial" w:hAnsi="Arial"/>
          <w:sz w:val="20"/>
          <w:szCs w:val="20"/>
          <w:color w:val="auto"/>
        </w:rPr>
        <w:t xml:space="preserve">” means a Lender that fails to approve an amendment, waiver or consent requested by the Borrower that (a) requires the approval of all Lenders or all affected Lenders in accordance with the terms of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and (b) has been approved by the Required Lenders.</w:t>
      </w:r>
    </w:p>
    <w:p>
      <w:pPr>
        <w:spacing w:after="0" w:line="180"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10.14</w:t>
      </w:r>
      <w:r>
        <w:rPr>
          <w:sz w:val="20"/>
          <w:szCs w:val="20"/>
          <w:color w:val="auto"/>
        </w:rPr>
        <w:tab/>
      </w:r>
      <w:r>
        <w:rPr>
          <w:rFonts w:ascii="Arial" w:cs="Arial" w:eastAsia="Arial" w:hAnsi="Arial"/>
          <w:sz w:val="18"/>
          <w:szCs w:val="18"/>
          <w:b w:val="1"/>
          <w:bCs w:val="1"/>
          <w:color w:val="auto"/>
        </w:rPr>
        <w:t>Governing Law; Jurisdiction; Etc.</w:t>
      </w:r>
    </w:p>
    <w:p>
      <w:pPr>
        <w:spacing w:after="0" w:line="222" w:lineRule="exact"/>
        <w:rPr>
          <w:sz w:val="20"/>
          <w:szCs w:val="20"/>
          <w:color w:val="auto"/>
        </w:rPr>
      </w:pPr>
    </w:p>
    <w:p>
      <w:pPr>
        <w:jc w:val="both"/>
        <w:ind w:firstLine="872"/>
        <w:spacing w:after="0" w:line="260" w:lineRule="auto"/>
        <w:tabs>
          <w:tab w:leader="none" w:pos="1731"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80" w:lineRule="exact"/>
        <w:rPr>
          <w:rFonts w:ascii="Arial" w:cs="Arial" w:eastAsia="Arial" w:hAnsi="Arial"/>
          <w:sz w:val="19"/>
          <w:szCs w:val="19"/>
          <w:color w:val="auto"/>
        </w:rPr>
      </w:pPr>
    </w:p>
    <w:p>
      <w:pPr>
        <w:jc w:val="both"/>
        <w:ind w:firstLine="872"/>
        <w:spacing w:after="0" w:line="263" w:lineRule="auto"/>
        <w:tabs>
          <w:tab w:leader="none" w:pos="1742"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SUBMISSION TO JURISDICTION</w:t>
      </w:r>
      <w:r>
        <w:rPr>
          <w:rFonts w:ascii="Arial" w:cs="Arial" w:eastAsia="Arial" w:hAnsi="Arial"/>
          <w:sz w:val="19"/>
          <w:szCs w:val="19"/>
          <w:color w:val="auto"/>
        </w:rPr>
        <w:t>. THE BORROWER IRREVOCABLY AND UNCONDITIONALLY AGREES THAT IT WILL NOT COMMENCE ANY ACTION, LITIGATION OR PROCEEDING OF ANY KIND OR DESCRIPTION, WHETHER IN LAW OR EQUITY, WHETHER IN CONTRACT OR IN TORT OR OTHERWISE, AGAINST THE ADMINISTRATIVE AGENT, ANY LENDER, OR ANY RELATED PARTY OF THE FOREGOING IN ANY WAY RELATING TO THIS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4" w:name="page85"/>
    <w:bookmarkEnd w:id="84"/>
    <w:p>
      <w:pPr>
        <w:jc w:val="both"/>
        <w:spacing w:after="0" w:line="255" w:lineRule="auto"/>
        <w:rPr>
          <w:sz w:val="20"/>
          <w:szCs w:val="20"/>
          <w:color w:val="auto"/>
        </w:rPr>
      </w:pPr>
      <w:r>
        <w:rPr>
          <w:rFonts w:ascii="Arial" w:cs="Arial" w:eastAsia="Arial" w:hAnsi="Arial"/>
          <w:sz w:val="19"/>
          <w:szCs w:val="19"/>
          <w:color w:val="auto"/>
        </w:rPr>
        <w:t>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OR ANY LENDER MAY OTHERWISE HAVE TO BRING ANY ACTION OR PROCEEDING RELATING TO THIS AGREEMENT OR ANY OTHER LOAN DOCUMENT AGAINST THE BORROWER OR ITS PROPERTIES IN THE COURTS OF ANY JURISDICTION.</w:t>
      </w:r>
    </w:p>
    <w:p>
      <w:pPr>
        <w:spacing w:after="0" w:line="184" w:lineRule="exact"/>
        <w:rPr>
          <w:sz w:val="20"/>
          <w:szCs w:val="20"/>
          <w:color w:val="auto"/>
        </w:rPr>
      </w:pPr>
    </w:p>
    <w:p>
      <w:pPr>
        <w:jc w:val="both"/>
        <w:ind w:firstLine="872"/>
        <w:spacing w:after="0" w:line="259" w:lineRule="auto"/>
        <w:tabs>
          <w:tab w:leader="none" w:pos="1731"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WAIVER OF VENUE</w:t>
      </w:r>
      <w:r>
        <w:rPr>
          <w:rFonts w:ascii="Arial" w:cs="Arial" w:eastAsia="Arial" w:hAnsi="Arial"/>
          <w:sz w:val="19"/>
          <w:szCs w:val="19"/>
          <w:color w:val="auto"/>
        </w:rPr>
        <w:t>. 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78" w:lineRule="exact"/>
        <w:rPr>
          <w:rFonts w:ascii="Arial" w:cs="Arial" w:eastAsia="Arial" w:hAnsi="Arial"/>
          <w:sz w:val="19"/>
          <w:szCs w:val="19"/>
          <w:color w:val="auto"/>
        </w:rPr>
      </w:pPr>
    </w:p>
    <w:p>
      <w:pPr>
        <w:jc w:val="both"/>
        <w:ind w:right="20" w:firstLine="872"/>
        <w:spacing w:after="0" w:line="269" w:lineRule="auto"/>
        <w:tabs>
          <w:tab w:leader="none" w:pos="1742"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SERVICE OF PROCESS</w:t>
      </w:r>
      <w:r>
        <w:rPr>
          <w:rFonts w:ascii="Arial" w:cs="Arial" w:eastAsia="Arial" w:hAnsi="Arial"/>
          <w:sz w:val="19"/>
          <w:szCs w:val="19"/>
          <w:color w:val="auto"/>
        </w:rPr>
        <w:t xml:space="preserve">. EACH PARTY HERETO IRREVOCABLY CONSENTS TO SERVICE OF PROCESS IN THE MANNER PROVIDED FOR NOTICES IN </w:t>
      </w:r>
      <w:r>
        <w:rPr>
          <w:rFonts w:ascii="Arial" w:cs="Arial" w:eastAsia="Arial" w:hAnsi="Arial"/>
          <w:sz w:val="19"/>
          <w:szCs w:val="19"/>
          <w:u w:val="single" w:color="auto"/>
          <w:color w:val="auto"/>
        </w:rPr>
        <w:t>SECTION 10.02</w:t>
      </w:r>
      <w:r>
        <w:rPr>
          <w:rFonts w:ascii="Arial" w:cs="Arial" w:eastAsia="Arial" w:hAnsi="Arial"/>
          <w:sz w:val="19"/>
          <w:szCs w:val="19"/>
          <w:color w:val="auto"/>
        </w:rPr>
        <w:t>. NOTHING IN THIS AGREEMENT WILL AFFECT THE RIGHT OF ANY PARTY HERETO TO SERVE PROCESS IN ANY OTHER MANNER PERMITTED BY APPLICABLE LAW.</w:t>
      </w:r>
    </w:p>
    <w:p>
      <w:pPr>
        <w:spacing w:after="0" w:line="164"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b w:val="1"/>
          <w:bCs w:val="1"/>
          <w:color w:val="auto"/>
        </w:rPr>
        <w:t xml:space="preserve">10.15 Waiver of Jury Trial. </w:t>
      </w:r>
      <w:r>
        <w:rPr>
          <w:rFonts w:ascii="Arial" w:cs="Arial" w:eastAsia="Arial" w:hAnsi="Arial"/>
          <w:sz w:val="19"/>
          <w:szCs w:val="19"/>
          <w:color w:val="auto"/>
        </w:rPr>
        <w:t>EACH PARTY HERETO HEREBY IRREVOCABLY WAIVES, TO THE FULLEST</w:t>
      </w:r>
      <w:r>
        <w:rPr>
          <w:rFonts w:ascii="Arial" w:cs="Arial" w:eastAsia="Arial" w:hAnsi="Arial"/>
          <w:sz w:val="19"/>
          <w:szCs w:val="19"/>
          <w:b w:val="1"/>
          <w:bCs w:val="1"/>
          <w:color w:val="auto"/>
        </w:rPr>
        <w:t xml:space="preserve"> </w:t>
      </w:r>
      <w:r>
        <w:rPr>
          <w:rFonts w:ascii="Arial" w:cs="Arial" w:eastAsia="Arial" w:hAnsi="Arial"/>
          <w:sz w:val="19"/>
          <w:szCs w:val="19"/>
          <w:color w:val="auto"/>
        </w:rPr>
        <w:t>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7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b w:val="1"/>
          <w:bCs w:val="1"/>
          <w:color w:val="auto"/>
        </w:rPr>
        <w:t xml:space="preserve">10.16 USA PATRIOT Act Notice. </w:t>
      </w:r>
      <w:r>
        <w:rPr>
          <w:rFonts w:ascii="Arial" w:cs="Arial" w:eastAsia="Arial" w:hAnsi="Arial"/>
          <w:sz w:val="20"/>
          <w:szCs w:val="20"/>
          <w:color w:val="auto"/>
        </w:rPr>
        <w:t>Each Lender that is subject to the Act and the Administrative Agent (for itself and not</w:t>
      </w:r>
      <w:r>
        <w:rPr>
          <w:rFonts w:ascii="Arial" w:cs="Arial" w:eastAsia="Arial" w:hAnsi="Arial"/>
          <w:sz w:val="20"/>
          <w:szCs w:val="20"/>
          <w:b w:val="1"/>
          <w:bCs w:val="1"/>
          <w:color w:val="auto"/>
        </w:rPr>
        <w:t xml:space="preserve"> </w:t>
      </w:r>
      <w:r>
        <w:rPr>
          <w:rFonts w:ascii="Arial" w:cs="Arial" w:eastAsia="Arial" w:hAnsi="Arial"/>
          <w:sz w:val="20"/>
          <w:szCs w:val="20"/>
          <w:color w:val="auto"/>
        </w:rPr>
        <w:t>on behalf of any Lender) hereby notifies the Borrower that pursuant to the requirements of the Act, it is required to obtain, verify and record information that identifies the Borrower, which information includes the name and address of the Borrower and other information that will allow such Lender or the Administrative Agent, as applicable, to identify the Borrower in accordance with the Act. The Borrower shall, promptly following a request by the Administrative Agent or any Lender, provide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5" w:name="page86"/>
    <w:bookmarkEnd w:id="85"/>
    <w:p>
      <w:pPr>
        <w:jc w:val="both"/>
        <w:spacing w:after="0" w:line="260" w:lineRule="auto"/>
        <w:rPr>
          <w:sz w:val="20"/>
          <w:szCs w:val="20"/>
          <w:color w:val="auto"/>
        </w:rPr>
      </w:pPr>
      <w:r>
        <w:rPr>
          <w:rFonts w:ascii="Arial" w:cs="Arial" w:eastAsia="Arial" w:hAnsi="Arial"/>
          <w:sz w:val="20"/>
          <w:szCs w:val="20"/>
          <w:color w:val="auto"/>
        </w:rPr>
        <w:t>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171"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9"/>
          <w:szCs w:val="19"/>
          <w:b w:val="1"/>
          <w:bCs w:val="1"/>
          <w:color w:val="auto"/>
        </w:rPr>
        <w:t xml:space="preserve">10.17 Automatic Debits of Principal, Interest, Fees. </w:t>
      </w:r>
      <w:r>
        <w:rPr>
          <w:rFonts w:ascii="Arial" w:cs="Arial" w:eastAsia="Arial" w:hAnsi="Arial"/>
          <w:sz w:val="19"/>
          <w:szCs w:val="19"/>
          <w:color w:val="auto"/>
        </w:rPr>
        <w:t>With respect to any principal, interest, ticking fee or other fee, or</w:t>
      </w:r>
      <w:r>
        <w:rPr>
          <w:rFonts w:ascii="Arial" w:cs="Arial" w:eastAsia="Arial" w:hAnsi="Arial"/>
          <w:sz w:val="19"/>
          <w:szCs w:val="19"/>
          <w:b w:val="1"/>
          <w:bCs w:val="1"/>
          <w:color w:val="auto"/>
        </w:rPr>
        <w:t xml:space="preserve"> </w:t>
      </w:r>
      <w:r>
        <w:rPr>
          <w:rFonts w:ascii="Arial" w:cs="Arial" w:eastAsia="Arial" w:hAnsi="Arial"/>
          <w:sz w:val="19"/>
          <w:szCs w:val="19"/>
          <w:color w:val="auto"/>
        </w:rPr>
        <w:t>any other cost or expense (including Attorney Costs) due and payable to the Administrative Agent, Bank of America or the Arranger under the Loan Documents, the Borrower hereby irrevocably authorize Bank of America to debit any deposit account of the Borrower with Bank of America in an amount such that the aggregate amount debited from all such deposit accounts does not exceed such principal, interest, fee or other cost or expense. If there are insufficient funds in such deposit accounts to cover the amount of the fee or other cost or expense then due, such debits will be reversed (in whole or in part, in Bank of America’s sole discretion) and such amount not debited shall be deemed to be unpaid. No such debit under this Section shall be deemed a set-off.</w:t>
      </w:r>
    </w:p>
    <w:p>
      <w:pPr>
        <w:spacing w:after="0" w:line="172"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8"/>
          <w:szCs w:val="18"/>
          <w:b w:val="1"/>
          <w:bCs w:val="1"/>
          <w:color w:val="auto"/>
        </w:rPr>
        <w:t xml:space="preserve">10.18 No Advisory or Fiduciary Responsibility. </w:t>
      </w:r>
      <w:r>
        <w:rPr>
          <w:rFonts w:ascii="Arial" w:cs="Arial" w:eastAsia="Arial" w:hAnsi="Arial"/>
          <w:sz w:val="18"/>
          <w:szCs w:val="18"/>
          <w:color w:val="auto"/>
        </w:rPr>
        <w:t>In connection with all aspects of each transaction contemplated hereby</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in connection with any amendment, waiver or other modification hereof or of any other Loan Document), the Borrower acknowledges and agrees, and acknowledges its Affiliates’ understanding, that: (i) (A) the arranging and other services regarding this Agreement provided by the Administrative Agent and the Arranger are arm’s-length commercial transactions between the Borrower and its Affiliates, on the one hand, and the Administrative Agent and the Arranger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(ii)(A) the Administrative Agent and the Arranger each is and has been acting solely as a principal and, except as expressly agreed in writing by the relevant parties, has not been, is not, and will not be acting as an advisor, agent or fiduciary for the Borrower or any of its Affiliates or any other Person and (B) neither the Administrative Agent nor the Arranger has any obligation to the Borrower or its Affiliates with respect to the transactions contemplated hereby except those obligations expressly set forth herein and in the other Loan Documents; and (iii) the Administrative Agent and the Arranger and their respective Affiliates may be engaged in a broad range of transactions that involve interests that differ from those of the Borrower and its Affiliates, and neither the Administrative Agent nor the Arranger has any obligation to disclose any of such interests to the Borrower or any of its Affiliates. To the fullest extent permitted by law, the Borrower hereby waives and releases any claims that it may have against the Administrative Agent or the Arranger with respect to any breach or alleged breach of agency or fiduciary duty in connection with any aspect of any transaction contemplated hereby.</w:t>
      </w:r>
    </w:p>
    <w:p>
      <w:pPr>
        <w:spacing w:after="0" w:line="176"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b w:val="1"/>
          <w:bCs w:val="1"/>
          <w:color w:val="auto"/>
        </w:rPr>
        <w:t xml:space="preserve">10.19 Electronic Execution of Assignments and Certain Other Documents. </w:t>
      </w:r>
      <w:r>
        <w:rPr>
          <w:rFonts w:ascii="Arial" w:cs="Arial" w:eastAsia="Arial" w:hAnsi="Arial"/>
          <w:sz w:val="18"/>
          <w:szCs w:val="18"/>
          <w:color w:val="auto"/>
        </w:rPr>
        <w:t>The words “execute,” “execution,”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“signed,” “signature,” and words of like import in or related to any document to be signed in connection with this Agreement and the transactions contemplated hereby (including without limitation Assignment and Assumptions, amendments or other modifications,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without limiting the foregoing, upon the request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6" w:name="page87"/>
    <w:bookmarkEnd w:id="86"/>
    <w:p>
      <w:pPr>
        <w:spacing w:after="0"/>
        <w:rPr>
          <w:sz w:val="20"/>
          <w:szCs w:val="20"/>
          <w:color w:val="auto"/>
        </w:rPr>
      </w:pPr>
      <w:r>
        <w:rPr>
          <w:rFonts w:ascii="Arial" w:cs="Arial" w:eastAsia="Arial" w:hAnsi="Arial"/>
          <w:sz w:val="20"/>
          <w:szCs w:val="20"/>
          <w:color w:val="auto"/>
        </w:rPr>
        <w:t>the Administrative Agent, any electronic signature shall be promptly followed by such manually executed counterpart.</w:t>
      </w:r>
    </w:p>
    <w:p>
      <w:pPr>
        <w:spacing w:after="0" w:line="210"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b w:val="1"/>
          <w:bCs w:val="1"/>
          <w:color w:val="auto"/>
        </w:rPr>
        <w:t>10.20 ENTIRE AGREEMENT. THIS AGREEMENT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183"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b w:val="1"/>
          <w:bCs w:val="1"/>
          <w:color w:val="auto"/>
        </w:rPr>
        <w:t>10.21 Acknowledgement and Consent to Bail-In of Affected Financial Institutions</w:t>
      </w:r>
      <w:r>
        <w:rPr>
          <w:rFonts w:ascii="Arial" w:cs="Arial" w:eastAsia="Arial" w:hAnsi="Arial"/>
          <w:sz w:val="20"/>
          <w:szCs w:val="20"/>
          <w:color w:val="auto"/>
        </w:rPr>
        <w:t>. Notwithstanding anything to the</w:t>
      </w:r>
      <w:r>
        <w:rPr>
          <w:rFonts w:ascii="Arial" w:cs="Arial" w:eastAsia="Arial" w:hAnsi="Arial"/>
          <w:sz w:val="20"/>
          <w:szCs w:val="20"/>
          <w:b w:val="1"/>
          <w:bCs w:val="1"/>
          <w:color w:val="auto"/>
        </w:rPr>
        <w:t xml:space="preserve"> </w:t>
      </w:r>
      <w:r>
        <w:rPr>
          <w:rFonts w:ascii="Arial" w:cs="Arial" w:eastAsia="Arial" w:hAnsi="Arial"/>
          <w:sz w:val="20"/>
          <w:szCs w:val="20"/>
          <w:color w:val="auto"/>
        </w:rPr>
        <w:t>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91" w:lineRule="exact"/>
        <w:rPr>
          <w:sz w:val="20"/>
          <w:szCs w:val="20"/>
          <w:color w:val="auto"/>
        </w:rPr>
      </w:pPr>
    </w:p>
    <w:p>
      <w:pPr>
        <w:ind w:firstLine="872"/>
        <w:spacing w:after="0" w:line="260" w:lineRule="auto"/>
        <w:tabs>
          <w:tab w:leader="none" w:pos="1731"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the applicable Resolution Authority to any such liabilities arising hereunder which may be payable to it by any Lender that is an Affected Financial Institution; and</w:t>
      </w:r>
    </w:p>
    <w:p>
      <w:pPr>
        <w:spacing w:after="0" w:line="176" w:lineRule="exact"/>
        <w:rPr>
          <w:rFonts w:ascii="Arial" w:cs="Arial" w:eastAsia="Arial" w:hAnsi="Arial"/>
          <w:sz w:val="20"/>
          <w:szCs w:val="20"/>
          <w:color w:val="auto"/>
        </w:rPr>
      </w:pPr>
    </w:p>
    <w:p>
      <w:pPr>
        <w:ind w:left="1760" w:hanging="888"/>
        <w:spacing w:after="0"/>
        <w:tabs>
          <w:tab w:leader="none" w:pos="176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15" w:lineRule="exact"/>
        <w:rPr>
          <w:rFonts w:ascii="Arial" w:cs="Arial" w:eastAsia="Arial" w:hAnsi="Arial"/>
          <w:sz w:val="20"/>
          <w:szCs w:val="20"/>
          <w:color w:val="auto"/>
        </w:rPr>
      </w:pPr>
    </w:p>
    <w:p>
      <w:pPr>
        <w:ind w:left="2500" w:hanging="831"/>
        <w:spacing w:after="0"/>
        <w:tabs>
          <w:tab w:leader="none" w:pos="2500" w:val="left"/>
        </w:tabs>
        <w:numPr>
          <w:ilvl w:val="1"/>
          <w:numId w:val="103"/>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15" w:lineRule="exact"/>
        <w:rPr>
          <w:rFonts w:ascii="Arial" w:cs="Arial" w:eastAsia="Arial" w:hAnsi="Arial"/>
          <w:sz w:val="20"/>
          <w:szCs w:val="20"/>
          <w:color w:val="auto"/>
        </w:rPr>
      </w:pPr>
    </w:p>
    <w:p>
      <w:pPr>
        <w:jc w:val="both"/>
        <w:ind w:left="880" w:firstLine="789"/>
        <w:spacing w:after="0" w:line="246" w:lineRule="auto"/>
        <w:tabs>
          <w:tab w:leader="none" w:pos="2567" w:val="left"/>
        </w:tabs>
        <w:numPr>
          <w:ilvl w:val="1"/>
          <w:numId w:val="103"/>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91" w:lineRule="exact"/>
        <w:rPr>
          <w:rFonts w:ascii="Arial" w:cs="Arial" w:eastAsia="Arial" w:hAnsi="Arial"/>
          <w:sz w:val="20"/>
          <w:szCs w:val="20"/>
          <w:color w:val="auto"/>
        </w:rPr>
      </w:pPr>
    </w:p>
    <w:p>
      <w:pPr>
        <w:ind w:left="880" w:firstLine="789"/>
        <w:spacing w:after="0" w:line="260" w:lineRule="auto"/>
        <w:tabs>
          <w:tab w:leader="none" w:pos="2622" w:val="left"/>
        </w:tabs>
        <w:numPr>
          <w:ilvl w:val="1"/>
          <w:numId w:val="103"/>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the applicable Resolution Authority.</w:t>
      </w:r>
    </w:p>
    <w:p>
      <w:pPr>
        <w:spacing w:after="0" w:line="171"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b w:val="1"/>
          <w:bCs w:val="1"/>
          <w:color w:val="auto"/>
        </w:rPr>
        <w:t>10.22 Acknowledgement Regarding Any Supported QFCs</w:t>
      </w:r>
      <w:r>
        <w:rPr>
          <w:rFonts w:ascii="Arial" w:cs="Arial" w:eastAsia="Arial" w:hAnsi="Arial"/>
          <w:sz w:val="20"/>
          <w:szCs w:val="20"/>
          <w:color w:val="auto"/>
        </w:rPr>
        <w:t>. To the extent that the Loan Documents provide support,</w:t>
      </w:r>
      <w:r>
        <w:rPr>
          <w:rFonts w:ascii="Arial" w:cs="Arial" w:eastAsia="Arial" w:hAnsi="Arial"/>
          <w:sz w:val="20"/>
          <w:szCs w:val="20"/>
          <w:b w:val="1"/>
          <w:bCs w:val="1"/>
          <w:color w:val="auto"/>
        </w:rPr>
        <w:t xml:space="preserve"> </w:t>
      </w:r>
      <w:r>
        <w:rPr>
          <w:rFonts w:ascii="Arial" w:cs="Arial" w:eastAsia="Arial" w:hAnsi="Arial"/>
          <w:sz w:val="20"/>
          <w:szCs w:val="20"/>
          <w:color w:val="auto"/>
        </w:rPr>
        <w:t>through a guarantee or otherwise, for any Swap Contract or any other agreement or instrument that is a QFC (such support, “</w:t>
      </w:r>
      <w:r>
        <w:rPr>
          <w:rFonts w:ascii="Arial" w:cs="Arial" w:eastAsia="Arial" w:hAnsi="Arial"/>
          <w:sz w:val="20"/>
          <w:szCs w:val="20"/>
          <w:u w:val="single" w:color="auto"/>
          <w:color w:val="auto"/>
        </w:rPr>
        <w:t>QFC Credit</w:t>
      </w:r>
      <w:r>
        <w:rPr>
          <w:rFonts w:ascii="Arial" w:cs="Arial" w:eastAsia="Arial" w:hAnsi="Arial"/>
          <w:sz w:val="20"/>
          <w:szCs w:val="20"/>
          <w:color w:val="auto"/>
        </w:rPr>
        <w:t xml:space="preserve"> </w:t>
      </w:r>
      <w:r>
        <w:rPr>
          <w:rFonts w:ascii="Arial" w:cs="Arial" w:eastAsia="Arial" w:hAnsi="Arial"/>
          <w:sz w:val="20"/>
          <w:szCs w:val="20"/>
          <w:u w:val="single" w:color="auto"/>
          <w:color w:val="auto"/>
        </w:rPr>
        <w:t>Support</w:t>
      </w:r>
      <w:r>
        <w:rPr>
          <w:rFonts w:ascii="Arial" w:cs="Arial" w:eastAsia="Arial" w:hAnsi="Arial"/>
          <w:sz w:val="20"/>
          <w:szCs w:val="20"/>
          <w:color w:val="auto"/>
        </w:rPr>
        <w:t>”, and each such QFC, a “</w:t>
      </w:r>
      <w:r>
        <w:rPr>
          <w:rFonts w:ascii="Arial" w:cs="Arial" w:eastAsia="Arial" w:hAnsi="Arial"/>
          <w:sz w:val="20"/>
          <w:szCs w:val="20"/>
          <w:u w:val="single" w:color="auto"/>
          <w:color w:val="auto"/>
        </w:rPr>
        <w:t>Supported QFC</w:t>
      </w:r>
      <w:r>
        <w:rPr>
          <w:rFonts w:ascii="Arial" w:cs="Arial" w:eastAsia="Arial" w:hAnsi="Arial"/>
          <w:sz w:val="20"/>
          <w:szCs w:val="20"/>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20"/>
          <w:szCs w:val="20"/>
          <w:u w:val="single" w:color="auto"/>
          <w:color w:val="auto"/>
        </w:rPr>
        <w:t>U.S. Special Resolution Regimes</w:t>
      </w:r>
      <w:r>
        <w:rPr>
          <w:rFonts w:ascii="Arial" w:cs="Arial" w:eastAsia="Arial" w:hAnsi="Arial"/>
          <w:sz w:val="20"/>
          <w:szCs w:val="20"/>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95" w:lineRule="exact"/>
        <w:rPr>
          <w:sz w:val="20"/>
          <w:szCs w:val="20"/>
          <w:color w:val="auto"/>
        </w:rPr>
      </w:pPr>
    </w:p>
    <w:p>
      <w:pPr>
        <w:jc w:val="both"/>
        <w:ind w:firstLine="872"/>
        <w:spacing w:after="0" w:line="243" w:lineRule="auto"/>
        <w:tabs>
          <w:tab w:leader="none" w:pos="1731" w:val="left"/>
        </w:tabs>
        <w:numPr>
          <w:ilvl w:val="0"/>
          <w:numId w:val="104"/>
        </w:numPr>
        <w:rPr>
          <w:rFonts w:ascii="Arial" w:cs="Arial" w:eastAsia="Arial" w:hAnsi="Arial"/>
          <w:sz w:val="20"/>
          <w:szCs w:val="20"/>
          <w:color w:val="auto"/>
        </w:rPr>
      </w:pPr>
      <w:r>
        <w:rPr>
          <w:rFonts w:ascii="Arial" w:cs="Arial" w:eastAsia="Arial" w:hAnsi="Arial"/>
          <w:sz w:val="20"/>
          <w:szCs w:val="20"/>
          <w:color w:val="auto"/>
        </w:rPr>
        <w:t>In the event a Covered Entity that is party to a Supported QFC (each, a “</w:t>
      </w:r>
      <w:r>
        <w:rPr>
          <w:rFonts w:ascii="Arial" w:cs="Arial" w:eastAsia="Arial" w:hAnsi="Arial"/>
          <w:sz w:val="20"/>
          <w:szCs w:val="20"/>
          <w:u w:val="single" w:color="auto"/>
          <w:color w:val="auto"/>
        </w:rPr>
        <w:t>Covered Party</w:t>
      </w:r>
      <w:r>
        <w:rPr>
          <w:rFonts w:ascii="Arial" w:cs="Arial" w:eastAsia="Arial" w:hAnsi="Arial"/>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7" w:name="page88"/>
    <w:bookmarkEnd w:id="87"/>
    <w:p>
      <w:pPr>
        <w:jc w:val="both"/>
        <w:spacing w:after="0" w:line="257" w:lineRule="auto"/>
        <w:rPr>
          <w:sz w:val="20"/>
          <w:szCs w:val="20"/>
          <w:color w:val="auto"/>
        </w:rPr>
      </w:pPr>
      <w:r>
        <w:rPr>
          <w:rFonts w:ascii="Arial" w:cs="Arial" w:eastAsia="Arial" w:hAnsi="Arial"/>
          <w:sz w:val="19"/>
          <w:szCs w:val="19"/>
          <w:color w:val="auto"/>
        </w:rPr>
        <w:t>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5" w:lineRule="exact"/>
        <w:rPr>
          <w:sz w:val="20"/>
          <w:szCs w:val="20"/>
          <w:color w:val="auto"/>
        </w:rPr>
      </w:pPr>
    </w:p>
    <w:p>
      <w:pPr>
        <w:ind w:left="1760" w:hanging="888"/>
        <w:spacing w:after="0"/>
        <w:tabs>
          <w:tab w:leader="none" w:pos="176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 xml:space="preserve">As used in this </w:t>
      </w:r>
      <w:r>
        <w:rPr>
          <w:rFonts w:ascii="Arial" w:cs="Arial" w:eastAsia="Arial" w:hAnsi="Arial"/>
          <w:sz w:val="20"/>
          <w:szCs w:val="20"/>
          <w:u w:val="single" w:color="auto"/>
          <w:color w:val="auto"/>
        </w:rPr>
        <w:t>Section 10.22</w:t>
      </w:r>
      <w:r>
        <w:rPr>
          <w:rFonts w:ascii="Arial" w:cs="Arial" w:eastAsia="Arial" w:hAnsi="Arial"/>
          <w:sz w:val="20"/>
          <w:szCs w:val="20"/>
          <w:color w:val="auto"/>
        </w:rPr>
        <w:t>, the following terms have the following meanings:</w:t>
      </w:r>
    </w:p>
    <w:p>
      <w:pPr>
        <w:spacing w:after="0" w:line="215" w:lineRule="exact"/>
        <w:rPr>
          <w:rFonts w:ascii="Arial" w:cs="Arial" w:eastAsia="Arial" w:hAnsi="Arial"/>
          <w:sz w:val="20"/>
          <w:szCs w:val="20"/>
          <w:color w:val="auto"/>
        </w:rPr>
      </w:pPr>
    </w:p>
    <w:p>
      <w:pPr>
        <w:ind w:left="880" w:right="20" w:firstLine="789"/>
        <w:spacing w:after="0" w:line="260" w:lineRule="auto"/>
        <w:tabs>
          <w:tab w:leader="none" w:pos="2512" w:val="left"/>
        </w:tabs>
        <w:numPr>
          <w:ilvl w:val="1"/>
          <w:numId w:val="10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BHC Act Affiliate</w:t>
      </w:r>
      <w:r>
        <w:rPr>
          <w:rFonts w:ascii="Arial" w:cs="Arial" w:eastAsia="Arial" w:hAnsi="Arial"/>
          <w:sz w:val="20"/>
          <w:szCs w:val="20"/>
          <w:color w:val="auto"/>
        </w:rPr>
        <w:t>” of a party means an “affiliate” (as such term is defined under, and interpreted in accordance with, 12 U.S.C. 1841(k)) of such party.</w:t>
      </w:r>
    </w:p>
    <w:p>
      <w:pPr>
        <w:spacing w:after="0" w:line="176" w:lineRule="exact"/>
        <w:rPr>
          <w:rFonts w:ascii="Arial" w:cs="Arial" w:eastAsia="Arial" w:hAnsi="Arial"/>
          <w:sz w:val="20"/>
          <w:szCs w:val="20"/>
          <w:color w:val="auto"/>
        </w:rPr>
      </w:pPr>
    </w:p>
    <w:p>
      <w:pPr>
        <w:ind w:left="880" w:right="20" w:firstLine="789"/>
        <w:spacing w:after="0" w:line="260" w:lineRule="auto"/>
        <w:tabs>
          <w:tab w:leader="none" w:pos="2567" w:val="left"/>
        </w:tabs>
        <w:numPr>
          <w:ilvl w:val="1"/>
          <w:numId w:val="10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176" w:lineRule="exact"/>
        <w:rPr>
          <w:rFonts w:ascii="Arial" w:cs="Arial" w:eastAsia="Arial" w:hAnsi="Arial"/>
          <w:sz w:val="20"/>
          <w:szCs w:val="20"/>
          <w:color w:val="auto"/>
        </w:rPr>
      </w:pPr>
    </w:p>
    <w:p>
      <w:pPr>
        <w:ind w:left="880" w:firstLine="789"/>
        <w:spacing w:after="0" w:line="260" w:lineRule="auto"/>
        <w:tabs>
          <w:tab w:leader="none" w:pos="2622" w:val="left"/>
        </w:tabs>
        <w:numPr>
          <w:ilvl w:val="1"/>
          <w:numId w:val="10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w:t>
      </w:r>
      <w:r>
        <w:rPr>
          <w:rFonts w:ascii="Arial" w:cs="Arial" w:eastAsia="Arial" w:hAnsi="Arial"/>
          <w:sz w:val="20"/>
          <w:szCs w:val="20"/>
          <w:color w:val="auto"/>
        </w:rPr>
        <w:t>” has the meaning assigned to the term “qualified financial contract” in, and shall be interpreted in accordance with, 12 U.S.C. 5390(c)(8)(D).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[Remainder of page intentionally left blank. Signature pages to follow.]</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i w:val="1"/>
          <w:iCs w:val="1"/>
          <w:color w:val="auto"/>
        </w:rPr>
        <w:t xml:space="preserve">IN WITNESS WHEREOF, </w:t>
      </w:r>
      <w:r>
        <w:rPr>
          <w:rFonts w:ascii="Arial" w:cs="Arial" w:eastAsia="Arial" w:hAnsi="Arial"/>
          <w:sz w:val="18"/>
          <w:szCs w:val="18"/>
          <w:color w:val="auto"/>
        </w:rPr>
        <w:t>the parties hereto have caused this Agreement to be duly executed as of the date first above written.</w:t>
      </w:r>
    </w:p>
    <w:p>
      <w:pPr>
        <w:spacing w:after="0" w:line="233" w:lineRule="exact"/>
        <w:rPr>
          <w:sz w:val="20"/>
          <w:szCs w:val="20"/>
          <w:color w:val="auto"/>
        </w:rPr>
      </w:pPr>
    </w:p>
    <w:p>
      <w:pPr>
        <w:jc w:val="center"/>
        <w:ind w:left="1240"/>
        <w:spacing w:after="0"/>
        <w:rPr>
          <w:sz w:val="20"/>
          <w:szCs w:val="20"/>
          <w:color w:val="auto"/>
        </w:rPr>
      </w:pPr>
      <w:r>
        <w:rPr>
          <w:rFonts w:ascii="Arial" w:cs="Arial" w:eastAsia="Arial" w:hAnsi="Arial"/>
          <w:sz w:val="20"/>
          <w:szCs w:val="20"/>
          <w:b w:val="1"/>
          <w:bCs w:val="1"/>
          <w:color w:val="auto"/>
        </w:rPr>
        <w:t>THE TORO COMPANY</w:t>
      </w:r>
    </w:p>
    <w:p>
      <w:pPr>
        <w:spacing w:after="0" w:line="200" w:lineRule="exact"/>
        <w:rPr>
          <w:sz w:val="20"/>
          <w:szCs w:val="20"/>
          <w:color w:val="auto"/>
        </w:rPr>
      </w:pPr>
    </w:p>
    <w:p>
      <w:pPr>
        <w:spacing w:after="0" w:line="265" w:lineRule="exact"/>
        <w:rPr>
          <w:sz w:val="20"/>
          <w:szCs w:val="20"/>
          <w:color w:val="auto"/>
        </w:rPr>
      </w:pPr>
    </w:p>
    <w:tbl>
      <w:tblPr>
        <w:tblLayout w:type="fixed"/>
        <w:tblInd w:w="4340" w:type="dxa"/>
        <w:tblCellMar>
          <w:top w:w="0" w:type="dxa"/>
          <w:left w:w="0" w:type="dxa"/>
          <w:bottom w:w="0" w:type="dxa"/>
          <w:right w:w="0" w:type="dxa"/>
        </w:tblCellMar>
      </w:tblPr>
      <w:tr>
        <w:trPr>
          <w:trHeight w:val="246"/>
        </w:trPr>
        <w:tc>
          <w:tcPr>
            <w:tcW w:w="560" w:type="dxa"/>
            <w:vAlign w:val="bottom"/>
          </w:tcPr>
          <w:p>
            <w:pPr>
              <w:spacing w:after="0"/>
              <w:rPr>
                <w:sz w:val="20"/>
                <w:szCs w:val="20"/>
                <w:color w:val="auto"/>
              </w:rPr>
            </w:pPr>
            <w:r>
              <w:rPr>
                <w:rFonts w:ascii="Arial" w:cs="Arial" w:eastAsia="Arial" w:hAnsi="Arial"/>
                <w:sz w:val="20"/>
                <w:szCs w:val="20"/>
                <w:color w:val="auto"/>
              </w:rPr>
              <w:t>By:</w:t>
            </w:r>
          </w:p>
        </w:tc>
        <w:tc>
          <w:tcPr>
            <w:tcW w:w="54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Renee J. Peterson</w:t>
            </w:r>
          </w:p>
        </w:tc>
      </w:tr>
      <w:tr>
        <w:trPr>
          <w:trHeight w:val="206"/>
        </w:trPr>
        <w:tc>
          <w:tcPr>
            <w:tcW w:w="560" w:type="dxa"/>
            <w:vAlign w:val="bottom"/>
          </w:tcPr>
          <w:p>
            <w:pPr>
              <w:spacing w:after="0" w:line="207" w:lineRule="exact"/>
              <w:rPr>
                <w:sz w:val="20"/>
                <w:szCs w:val="20"/>
                <w:color w:val="auto"/>
              </w:rPr>
            </w:pPr>
            <w:r>
              <w:rPr>
                <w:rFonts w:ascii="Arial" w:cs="Arial" w:eastAsia="Arial" w:hAnsi="Arial"/>
                <w:sz w:val="20"/>
                <w:szCs w:val="20"/>
                <w:color w:val="auto"/>
                <w:w w:val="91"/>
              </w:rPr>
              <w:t>Name:</w:t>
            </w:r>
          </w:p>
        </w:tc>
        <w:tc>
          <w:tcPr>
            <w:tcW w:w="5440" w:type="dxa"/>
            <w:vAlign w:val="bottom"/>
          </w:tcPr>
          <w:p>
            <w:pPr>
              <w:ind w:left="380"/>
              <w:spacing w:after="0" w:line="207" w:lineRule="exact"/>
              <w:rPr>
                <w:sz w:val="20"/>
                <w:szCs w:val="20"/>
                <w:color w:val="auto"/>
              </w:rPr>
            </w:pPr>
            <w:r>
              <w:rPr>
                <w:rFonts w:ascii="Arial" w:cs="Arial" w:eastAsia="Arial" w:hAnsi="Arial"/>
                <w:sz w:val="20"/>
                <w:szCs w:val="20"/>
                <w:color w:val="auto"/>
              </w:rPr>
              <w:t>Renee J. Peterson</w:t>
            </w:r>
          </w:p>
        </w:tc>
      </w:tr>
      <w:tr>
        <w:trPr>
          <w:trHeight w:val="250"/>
        </w:trPr>
        <w:tc>
          <w:tcPr>
            <w:tcW w:w="560" w:type="dxa"/>
            <w:vAlign w:val="bottom"/>
          </w:tcPr>
          <w:p>
            <w:pPr>
              <w:spacing w:after="0"/>
              <w:rPr>
                <w:sz w:val="20"/>
                <w:szCs w:val="20"/>
                <w:color w:val="auto"/>
              </w:rPr>
            </w:pPr>
            <w:r>
              <w:rPr>
                <w:rFonts w:ascii="Arial" w:cs="Arial" w:eastAsia="Arial" w:hAnsi="Arial"/>
                <w:sz w:val="20"/>
                <w:szCs w:val="20"/>
                <w:color w:val="auto"/>
              </w:rPr>
              <w:t>Title:</w:t>
            </w:r>
          </w:p>
        </w:tc>
        <w:tc>
          <w:tcPr>
            <w:tcW w:w="5440" w:type="dxa"/>
            <w:vAlign w:val="bottom"/>
          </w:tcPr>
          <w:p>
            <w:pPr>
              <w:ind w:left="380"/>
              <w:spacing w:after="0"/>
              <w:rPr>
                <w:sz w:val="20"/>
                <w:szCs w:val="20"/>
                <w:color w:val="auto"/>
              </w:rPr>
            </w:pPr>
            <w:r>
              <w:rPr>
                <w:rFonts w:ascii="Arial" w:cs="Arial" w:eastAsia="Arial" w:hAnsi="Arial"/>
                <w:sz w:val="20"/>
                <w:szCs w:val="20"/>
                <w:color w:val="auto"/>
              </w:rPr>
              <w:t>Vice President, Treasurer and Chief Financial Officer</w:t>
            </w:r>
          </w:p>
        </w:tc>
      </w:tr>
      <w:tr>
        <w:trPr>
          <w:trHeight w:val="455"/>
        </w:trPr>
        <w:tc>
          <w:tcPr>
            <w:tcW w:w="560" w:type="dxa"/>
            <w:vAlign w:val="bottom"/>
          </w:tcPr>
          <w:p>
            <w:pPr>
              <w:spacing w:after="0"/>
              <w:rPr>
                <w:sz w:val="20"/>
                <w:szCs w:val="20"/>
                <w:color w:val="auto"/>
              </w:rPr>
            </w:pPr>
            <w:r>
              <w:rPr>
                <w:rFonts w:ascii="Arial" w:cs="Arial" w:eastAsia="Arial" w:hAnsi="Arial"/>
                <w:sz w:val="20"/>
                <w:szCs w:val="20"/>
                <w:color w:val="auto"/>
              </w:rPr>
              <w:t>By:</w:t>
            </w:r>
          </w:p>
        </w:tc>
        <w:tc>
          <w:tcPr>
            <w:tcW w:w="54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Julie A. Kerekes</w:t>
            </w:r>
          </w:p>
        </w:tc>
      </w:tr>
      <w:tr>
        <w:trPr>
          <w:trHeight w:val="206"/>
        </w:trPr>
        <w:tc>
          <w:tcPr>
            <w:tcW w:w="560" w:type="dxa"/>
            <w:vAlign w:val="bottom"/>
          </w:tcPr>
          <w:p>
            <w:pPr>
              <w:spacing w:after="0" w:line="207" w:lineRule="exact"/>
              <w:rPr>
                <w:sz w:val="20"/>
                <w:szCs w:val="20"/>
                <w:color w:val="auto"/>
              </w:rPr>
            </w:pPr>
            <w:r>
              <w:rPr>
                <w:rFonts w:ascii="Arial" w:cs="Arial" w:eastAsia="Arial" w:hAnsi="Arial"/>
                <w:sz w:val="20"/>
                <w:szCs w:val="20"/>
                <w:color w:val="auto"/>
                <w:w w:val="91"/>
              </w:rPr>
              <w:t>Name:</w:t>
            </w:r>
          </w:p>
        </w:tc>
        <w:tc>
          <w:tcPr>
            <w:tcW w:w="5440" w:type="dxa"/>
            <w:vAlign w:val="bottom"/>
          </w:tcPr>
          <w:p>
            <w:pPr>
              <w:ind w:left="380"/>
              <w:spacing w:after="0" w:line="207" w:lineRule="exact"/>
              <w:rPr>
                <w:sz w:val="20"/>
                <w:szCs w:val="20"/>
                <w:color w:val="auto"/>
              </w:rPr>
            </w:pPr>
            <w:r>
              <w:rPr>
                <w:rFonts w:ascii="Arial" w:cs="Arial" w:eastAsia="Arial" w:hAnsi="Arial"/>
                <w:sz w:val="20"/>
                <w:szCs w:val="20"/>
                <w:color w:val="auto"/>
              </w:rPr>
              <w:t>Julie A. Kerekes</w:t>
            </w:r>
          </w:p>
        </w:tc>
      </w:tr>
      <w:tr>
        <w:trPr>
          <w:trHeight w:val="229"/>
        </w:trPr>
        <w:tc>
          <w:tcPr>
            <w:tcW w:w="560" w:type="dxa"/>
            <w:vAlign w:val="bottom"/>
          </w:tcPr>
          <w:p>
            <w:pPr>
              <w:spacing w:after="0"/>
              <w:rPr>
                <w:sz w:val="20"/>
                <w:szCs w:val="20"/>
                <w:color w:val="auto"/>
              </w:rPr>
            </w:pPr>
            <w:r>
              <w:rPr>
                <w:rFonts w:ascii="Arial" w:cs="Arial" w:eastAsia="Arial" w:hAnsi="Arial"/>
                <w:sz w:val="20"/>
                <w:szCs w:val="20"/>
                <w:color w:val="auto"/>
              </w:rPr>
              <w:t>Title:</w:t>
            </w:r>
          </w:p>
        </w:tc>
        <w:tc>
          <w:tcPr>
            <w:tcW w:w="5440" w:type="dxa"/>
            <w:vAlign w:val="bottom"/>
          </w:tcPr>
          <w:p>
            <w:pPr>
              <w:ind w:left="380"/>
              <w:spacing w:after="0"/>
              <w:rPr>
                <w:sz w:val="20"/>
                <w:szCs w:val="20"/>
                <w:color w:val="auto"/>
              </w:rPr>
            </w:pPr>
            <w:r>
              <w:rPr>
                <w:rFonts w:ascii="Arial" w:cs="Arial" w:eastAsia="Arial" w:hAnsi="Arial"/>
                <w:sz w:val="20"/>
                <w:szCs w:val="20"/>
                <w:color w:val="auto"/>
                <w:w w:val="90"/>
              </w:rPr>
              <w:t>Managing Director, Tax, Treasury, Financial Services and Risk</w:t>
            </w:r>
          </w:p>
        </w:tc>
      </w:tr>
      <w:tr>
        <w:trPr>
          <w:trHeight w:val="250"/>
        </w:trPr>
        <w:tc>
          <w:tcPr>
            <w:tcW w:w="560" w:type="dxa"/>
            <w:vAlign w:val="bottom"/>
          </w:tcPr>
          <w:p>
            <w:pPr>
              <w:spacing w:after="0"/>
              <w:rPr>
                <w:sz w:val="21"/>
                <w:szCs w:val="21"/>
                <w:color w:val="auto"/>
              </w:rPr>
            </w:pPr>
          </w:p>
        </w:tc>
        <w:tc>
          <w:tcPr>
            <w:tcW w:w="5440" w:type="dxa"/>
            <w:vAlign w:val="bottom"/>
          </w:tcPr>
          <w:p>
            <w:pPr>
              <w:ind w:left="380"/>
              <w:spacing w:after="0"/>
              <w:rPr>
                <w:sz w:val="20"/>
                <w:szCs w:val="20"/>
                <w:color w:val="auto"/>
              </w:rPr>
            </w:pPr>
            <w:r>
              <w:rPr>
                <w:rFonts w:ascii="Arial" w:cs="Arial" w:eastAsia="Arial" w:hAnsi="Arial"/>
                <w:sz w:val="20"/>
                <w:szCs w:val="20"/>
                <w:color w:val="auto"/>
              </w:rPr>
              <w:t>Management and Assistant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TERM LOAN CREDIT AGREEMENT</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262890</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40"/>
          </w:cols>
          <w:pgMar w:left="1200" w:top="339" w:right="359" w:bottom="1440" w:gutter="0" w:footer="0" w:header="0"/>
        </w:sectPr>
      </w:pPr>
    </w:p>
    <w:bookmarkStart w:id="89" w:name="page90"/>
    <w:bookmarkEnd w:id="89"/>
    <w:p>
      <w:pPr>
        <w:ind w:left="4080"/>
        <w:spacing w:after="0"/>
        <w:rPr>
          <w:sz w:val="20"/>
          <w:szCs w:val="20"/>
          <w:color w:val="auto"/>
        </w:rPr>
      </w:pPr>
      <w:r>
        <w:rPr>
          <w:rFonts w:ascii="Arial" w:cs="Arial" w:eastAsia="Arial" w:hAnsi="Arial"/>
          <w:sz w:val="20"/>
          <w:szCs w:val="20"/>
          <w:b w:val="1"/>
          <w:bCs w:val="1"/>
          <w:color w:val="auto"/>
        </w:rPr>
        <w:t xml:space="preserve">BANK OF AMERICA, N.A., </w:t>
      </w:r>
      <w:r>
        <w:rPr>
          <w:rFonts w:ascii="Arial" w:cs="Arial" w:eastAsia="Arial" w:hAnsi="Arial"/>
          <w:sz w:val="20"/>
          <w:szCs w:val="20"/>
          <w:color w:val="auto"/>
        </w:rPr>
        <w:t>as</w:t>
      </w:r>
    </w:p>
    <w:p>
      <w:pPr>
        <w:spacing w:after="0" w:line="22"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Administrative Agent</w:t>
      </w:r>
    </w:p>
    <w:p>
      <w:pPr>
        <w:spacing w:after="0" w:line="200" w:lineRule="exact"/>
        <w:rPr>
          <w:sz w:val="20"/>
          <w:szCs w:val="20"/>
          <w:color w:val="auto"/>
        </w:rPr>
      </w:pPr>
    </w:p>
    <w:p>
      <w:pPr>
        <w:spacing w:after="0" w:line="229" w:lineRule="exact"/>
        <w:rPr>
          <w:sz w:val="20"/>
          <w:szCs w:val="20"/>
          <w:color w:val="auto"/>
        </w:rPr>
      </w:pPr>
    </w:p>
    <w:tbl>
      <w:tblPr>
        <w:tblLayout w:type="fixed"/>
        <w:tblInd w:w="4100" w:type="dxa"/>
        <w:tblCellMar>
          <w:top w:w="0" w:type="dxa"/>
          <w:left w:w="0" w:type="dxa"/>
          <w:bottom w:w="0" w:type="dxa"/>
          <w:right w:w="0" w:type="dxa"/>
        </w:tblCellMar>
      </w:tblPr>
      <w:tr>
        <w:trPr>
          <w:trHeight w:val="246"/>
        </w:trPr>
        <w:tc>
          <w:tcPr>
            <w:tcW w:w="560" w:type="dxa"/>
            <w:vAlign w:val="bottom"/>
          </w:tcPr>
          <w:p>
            <w:pPr>
              <w:spacing w:after="0"/>
              <w:rPr>
                <w:sz w:val="20"/>
                <w:szCs w:val="20"/>
                <w:color w:val="auto"/>
              </w:rPr>
            </w:pPr>
            <w:r>
              <w:rPr>
                <w:rFonts w:ascii="Arial" w:cs="Arial" w:eastAsia="Arial" w:hAnsi="Arial"/>
                <w:sz w:val="20"/>
                <w:szCs w:val="20"/>
                <w:color w:val="auto"/>
              </w:rPr>
              <w:t>By:</w:t>
            </w:r>
          </w:p>
        </w:tc>
        <w:tc>
          <w:tcPr>
            <w:tcW w:w="54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Angela Larkin</w:t>
            </w:r>
          </w:p>
        </w:tc>
      </w:tr>
      <w:tr>
        <w:trPr>
          <w:trHeight w:val="206"/>
        </w:trPr>
        <w:tc>
          <w:tcPr>
            <w:tcW w:w="560" w:type="dxa"/>
            <w:vAlign w:val="bottom"/>
          </w:tcPr>
          <w:p>
            <w:pPr>
              <w:spacing w:after="0" w:line="207" w:lineRule="exact"/>
              <w:rPr>
                <w:sz w:val="20"/>
                <w:szCs w:val="20"/>
                <w:color w:val="auto"/>
              </w:rPr>
            </w:pPr>
            <w:r>
              <w:rPr>
                <w:rFonts w:ascii="Arial" w:cs="Arial" w:eastAsia="Arial" w:hAnsi="Arial"/>
                <w:sz w:val="20"/>
                <w:szCs w:val="20"/>
                <w:color w:val="auto"/>
                <w:w w:val="91"/>
              </w:rPr>
              <w:t>Name:</w:t>
            </w:r>
          </w:p>
        </w:tc>
        <w:tc>
          <w:tcPr>
            <w:tcW w:w="5440" w:type="dxa"/>
            <w:vAlign w:val="bottom"/>
          </w:tcPr>
          <w:p>
            <w:pPr>
              <w:ind w:left="380"/>
              <w:spacing w:after="0" w:line="207" w:lineRule="exact"/>
              <w:rPr>
                <w:sz w:val="20"/>
                <w:szCs w:val="20"/>
                <w:color w:val="auto"/>
              </w:rPr>
            </w:pPr>
            <w:r>
              <w:rPr>
                <w:rFonts w:ascii="Arial" w:cs="Arial" w:eastAsia="Arial" w:hAnsi="Arial"/>
                <w:sz w:val="20"/>
                <w:szCs w:val="20"/>
                <w:color w:val="auto"/>
              </w:rPr>
              <w:t>Angela Larkin</w:t>
            </w:r>
          </w:p>
        </w:tc>
      </w:tr>
      <w:tr>
        <w:trPr>
          <w:trHeight w:val="250"/>
        </w:trPr>
        <w:tc>
          <w:tcPr>
            <w:tcW w:w="560" w:type="dxa"/>
            <w:vAlign w:val="bottom"/>
          </w:tcPr>
          <w:p>
            <w:pPr>
              <w:spacing w:after="0"/>
              <w:rPr>
                <w:sz w:val="20"/>
                <w:szCs w:val="20"/>
                <w:color w:val="auto"/>
              </w:rPr>
            </w:pPr>
            <w:r>
              <w:rPr>
                <w:rFonts w:ascii="Arial" w:cs="Arial" w:eastAsia="Arial" w:hAnsi="Arial"/>
                <w:sz w:val="20"/>
                <w:szCs w:val="20"/>
                <w:color w:val="auto"/>
              </w:rPr>
              <w:t>Title:</w:t>
            </w:r>
          </w:p>
        </w:tc>
        <w:tc>
          <w:tcPr>
            <w:tcW w:w="5440" w:type="dxa"/>
            <w:vAlign w:val="bottom"/>
          </w:tcPr>
          <w:p>
            <w:pPr>
              <w:ind w:left="38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jc w:val="center"/>
        <w:ind w:right="1080"/>
        <w:spacing w:after="0"/>
        <w:rPr>
          <w:sz w:val="20"/>
          <w:szCs w:val="20"/>
          <w:color w:val="auto"/>
        </w:rPr>
      </w:pPr>
      <w:r>
        <w:rPr>
          <w:rFonts w:ascii="Arial" w:cs="Arial" w:eastAsia="Arial" w:hAnsi="Arial"/>
          <w:sz w:val="17"/>
          <w:szCs w:val="17"/>
          <w:color w:val="auto"/>
        </w:rPr>
        <w:t>TERM LOAN CREDIT AGREEMENT</w:t>
      </w:r>
    </w:p>
    <w:p>
      <w:pPr>
        <w:spacing w:after="0" w:line="21"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262890</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00"/>
          </w:cols>
          <w:pgMar w:left="1440" w:top="441" w:right="359" w:bottom="1440" w:gutter="0" w:footer="0" w:header="0"/>
        </w:sectPr>
      </w:pPr>
    </w:p>
    <w:bookmarkStart w:id="90" w:name="page91"/>
    <w:bookmarkEnd w:id="90"/>
    <w:p>
      <w:pPr>
        <w:ind w:left="4080"/>
        <w:spacing w:after="0"/>
        <w:rPr>
          <w:sz w:val="20"/>
          <w:szCs w:val="20"/>
          <w:color w:val="auto"/>
        </w:rPr>
      </w:pPr>
      <w:r>
        <w:rPr>
          <w:rFonts w:ascii="Arial" w:cs="Arial" w:eastAsia="Arial" w:hAnsi="Arial"/>
          <w:sz w:val="20"/>
          <w:szCs w:val="20"/>
          <w:b w:val="1"/>
          <w:bCs w:val="1"/>
          <w:color w:val="auto"/>
        </w:rPr>
        <w:t xml:space="preserve">BANK OF AMERICA, N.A., </w:t>
      </w:r>
      <w:r>
        <w:rPr>
          <w:rFonts w:ascii="Arial" w:cs="Arial" w:eastAsia="Arial" w:hAnsi="Arial"/>
          <w:sz w:val="20"/>
          <w:szCs w:val="20"/>
          <w:color w:val="auto"/>
        </w:rPr>
        <w:t>as a Lender</w:t>
      </w:r>
    </w:p>
    <w:p>
      <w:pPr>
        <w:spacing w:after="0" w:line="200" w:lineRule="exact"/>
        <w:rPr>
          <w:sz w:val="20"/>
          <w:szCs w:val="20"/>
          <w:color w:val="auto"/>
        </w:rPr>
      </w:pPr>
    </w:p>
    <w:p>
      <w:pPr>
        <w:spacing w:after="0" w:line="238" w:lineRule="exact"/>
        <w:rPr>
          <w:sz w:val="20"/>
          <w:szCs w:val="20"/>
          <w:color w:val="auto"/>
        </w:rPr>
      </w:pPr>
    </w:p>
    <w:tbl>
      <w:tblPr>
        <w:tblLayout w:type="fixed"/>
        <w:tblInd w:w="4100" w:type="dxa"/>
        <w:tblCellMar>
          <w:top w:w="0" w:type="dxa"/>
          <w:left w:w="0" w:type="dxa"/>
          <w:bottom w:w="0" w:type="dxa"/>
          <w:right w:w="0" w:type="dxa"/>
        </w:tblCellMar>
      </w:tblPr>
      <w:tr>
        <w:trPr>
          <w:trHeight w:val="246"/>
        </w:trPr>
        <w:tc>
          <w:tcPr>
            <w:tcW w:w="560" w:type="dxa"/>
            <w:vAlign w:val="bottom"/>
          </w:tcPr>
          <w:p>
            <w:pPr>
              <w:spacing w:after="0"/>
              <w:rPr>
                <w:sz w:val="20"/>
                <w:szCs w:val="20"/>
                <w:color w:val="auto"/>
              </w:rPr>
            </w:pPr>
            <w:r>
              <w:rPr>
                <w:rFonts w:ascii="Arial" w:cs="Arial" w:eastAsia="Arial" w:hAnsi="Arial"/>
                <w:sz w:val="20"/>
                <w:szCs w:val="20"/>
                <w:color w:val="auto"/>
              </w:rPr>
              <w:t>By:</w:t>
            </w:r>
          </w:p>
        </w:tc>
        <w:tc>
          <w:tcPr>
            <w:tcW w:w="54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Chad Kardash</w:t>
            </w:r>
          </w:p>
        </w:tc>
      </w:tr>
      <w:tr>
        <w:trPr>
          <w:trHeight w:val="206"/>
        </w:trPr>
        <w:tc>
          <w:tcPr>
            <w:tcW w:w="560" w:type="dxa"/>
            <w:vAlign w:val="bottom"/>
          </w:tcPr>
          <w:p>
            <w:pPr>
              <w:spacing w:after="0" w:line="207" w:lineRule="exact"/>
              <w:rPr>
                <w:sz w:val="20"/>
                <w:szCs w:val="20"/>
                <w:color w:val="auto"/>
              </w:rPr>
            </w:pPr>
            <w:r>
              <w:rPr>
                <w:rFonts w:ascii="Arial" w:cs="Arial" w:eastAsia="Arial" w:hAnsi="Arial"/>
                <w:sz w:val="20"/>
                <w:szCs w:val="20"/>
                <w:color w:val="auto"/>
                <w:w w:val="91"/>
              </w:rPr>
              <w:t>Name:</w:t>
            </w:r>
          </w:p>
        </w:tc>
        <w:tc>
          <w:tcPr>
            <w:tcW w:w="5440" w:type="dxa"/>
            <w:vAlign w:val="bottom"/>
          </w:tcPr>
          <w:p>
            <w:pPr>
              <w:ind w:left="380"/>
              <w:spacing w:after="0" w:line="207" w:lineRule="exact"/>
              <w:rPr>
                <w:sz w:val="20"/>
                <w:szCs w:val="20"/>
                <w:color w:val="auto"/>
              </w:rPr>
            </w:pPr>
            <w:r>
              <w:rPr>
                <w:rFonts w:ascii="Arial" w:cs="Arial" w:eastAsia="Arial" w:hAnsi="Arial"/>
                <w:sz w:val="20"/>
                <w:szCs w:val="20"/>
                <w:color w:val="auto"/>
              </w:rPr>
              <w:t>Chad Kardash</w:t>
            </w:r>
          </w:p>
        </w:tc>
      </w:tr>
      <w:tr>
        <w:trPr>
          <w:trHeight w:val="250"/>
        </w:trPr>
        <w:tc>
          <w:tcPr>
            <w:tcW w:w="560" w:type="dxa"/>
            <w:vAlign w:val="bottom"/>
          </w:tcPr>
          <w:p>
            <w:pPr>
              <w:spacing w:after="0"/>
              <w:rPr>
                <w:sz w:val="20"/>
                <w:szCs w:val="20"/>
                <w:color w:val="auto"/>
              </w:rPr>
            </w:pPr>
            <w:r>
              <w:rPr>
                <w:rFonts w:ascii="Arial" w:cs="Arial" w:eastAsia="Arial" w:hAnsi="Arial"/>
                <w:sz w:val="20"/>
                <w:szCs w:val="20"/>
                <w:color w:val="auto"/>
              </w:rPr>
              <w:t>Title:</w:t>
            </w:r>
          </w:p>
        </w:tc>
        <w:tc>
          <w:tcPr>
            <w:tcW w:w="5440" w:type="dxa"/>
            <w:vAlign w:val="bottom"/>
          </w:tcPr>
          <w:p>
            <w:pPr>
              <w:ind w:left="38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jc w:val="center"/>
        <w:ind w:right="1080"/>
        <w:spacing w:after="0"/>
        <w:rPr>
          <w:sz w:val="20"/>
          <w:szCs w:val="20"/>
          <w:color w:val="auto"/>
        </w:rPr>
      </w:pPr>
      <w:r>
        <w:rPr>
          <w:rFonts w:ascii="Arial" w:cs="Arial" w:eastAsia="Arial" w:hAnsi="Arial"/>
          <w:sz w:val="17"/>
          <w:szCs w:val="17"/>
          <w:color w:val="auto"/>
        </w:rPr>
        <w:t>TERM LOAN CREDIT AGREEMENT</w:t>
      </w:r>
    </w:p>
    <w:p>
      <w:pPr>
        <w:spacing w:after="0" w:line="21"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262890</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00"/>
          </w:cols>
          <w:pgMar w:left="1440" w:top="441" w:right="359" w:bottom="1440" w:gutter="0" w:footer="0" w:header="0"/>
        </w:sectPr>
      </w:pPr>
    </w:p>
    <w:bookmarkStart w:id="91" w:name="page92"/>
    <w:bookmarkEnd w:id="91"/>
    <w:p>
      <w:pPr>
        <w:ind w:left="4080"/>
        <w:spacing w:after="0"/>
        <w:rPr>
          <w:sz w:val="20"/>
          <w:szCs w:val="20"/>
          <w:color w:val="auto"/>
        </w:rPr>
      </w:pPr>
      <w:r>
        <w:rPr>
          <w:rFonts w:ascii="Arial" w:cs="Arial" w:eastAsia="Arial" w:hAnsi="Arial"/>
          <w:sz w:val="20"/>
          <w:szCs w:val="20"/>
          <w:b w:val="1"/>
          <w:bCs w:val="1"/>
          <w:color w:val="auto"/>
        </w:rPr>
        <w:t>U.S. BANK NATIONAL ASSOCIATION</w:t>
      </w:r>
      <w:r>
        <w:rPr>
          <w:rFonts w:ascii="Arial" w:cs="Arial" w:eastAsia="Arial" w:hAnsi="Arial"/>
          <w:sz w:val="20"/>
          <w:szCs w:val="20"/>
          <w:color w:val="auto"/>
        </w:rPr>
        <w:t>, as a Lender</w:t>
      </w:r>
    </w:p>
    <w:p>
      <w:pPr>
        <w:spacing w:after="0" w:line="343" w:lineRule="exact"/>
        <w:rPr>
          <w:sz w:val="20"/>
          <w:szCs w:val="20"/>
          <w:color w:val="auto"/>
        </w:rPr>
      </w:pPr>
    </w:p>
    <w:tbl>
      <w:tblPr>
        <w:tblLayout w:type="fixed"/>
        <w:tblInd w:w="4100" w:type="dxa"/>
        <w:tblCellMar>
          <w:top w:w="0" w:type="dxa"/>
          <w:left w:w="0" w:type="dxa"/>
          <w:bottom w:w="0" w:type="dxa"/>
          <w:right w:w="0" w:type="dxa"/>
        </w:tblCellMar>
      </w:tblPr>
      <w:tr>
        <w:trPr>
          <w:trHeight w:val="246"/>
        </w:trPr>
        <w:tc>
          <w:tcPr>
            <w:tcW w:w="560" w:type="dxa"/>
            <w:vAlign w:val="bottom"/>
          </w:tcPr>
          <w:p>
            <w:pPr>
              <w:spacing w:after="0"/>
              <w:rPr>
                <w:sz w:val="20"/>
                <w:szCs w:val="20"/>
                <w:color w:val="auto"/>
              </w:rPr>
            </w:pPr>
            <w:r>
              <w:rPr>
                <w:rFonts w:ascii="Arial" w:cs="Arial" w:eastAsia="Arial" w:hAnsi="Arial"/>
                <w:sz w:val="20"/>
                <w:szCs w:val="20"/>
                <w:color w:val="auto"/>
              </w:rPr>
              <w:t>By:</w:t>
            </w:r>
          </w:p>
        </w:tc>
        <w:tc>
          <w:tcPr>
            <w:tcW w:w="54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Tyrone Parker</w:t>
            </w:r>
          </w:p>
        </w:tc>
      </w:tr>
      <w:tr>
        <w:trPr>
          <w:trHeight w:val="206"/>
        </w:trPr>
        <w:tc>
          <w:tcPr>
            <w:tcW w:w="560" w:type="dxa"/>
            <w:vAlign w:val="bottom"/>
          </w:tcPr>
          <w:p>
            <w:pPr>
              <w:spacing w:after="0" w:line="207" w:lineRule="exact"/>
              <w:rPr>
                <w:sz w:val="20"/>
                <w:szCs w:val="20"/>
                <w:color w:val="auto"/>
              </w:rPr>
            </w:pPr>
            <w:r>
              <w:rPr>
                <w:rFonts w:ascii="Arial" w:cs="Arial" w:eastAsia="Arial" w:hAnsi="Arial"/>
                <w:sz w:val="20"/>
                <w:szCs w:val="20"/>
                <w:color w:val="auto"/>
                <w:w w:val="91"/>
              </w:rPr>
              <w:t>Name:</w:t>
            </w:r>
          </w:p>
        </w:tc>
        <w:tc>
          <w:tcPr>
            <w:tcW w:w="5440" w:type="dxa"/>
            <w:vAlign w:val="bottom"/>
          </w:tcPr>
          <w:p>
            <w:pPr>
              <w:ind w:left="380"/>
              <w:spacing w:after="0" w:line="207" w:lineRule="exact"/>
              <w:rPr>
                <w:sz w:val="20"/>
                <w:szCs w:val="20"/>
                <w:color w:val="auto"/>
              </w:rPr>
            </w:pPr>
            <w:r>
              <w:rPr>
                <w:rFonts w:ascii="Arial" w:cs="Arial" w:eastAsia="Arial" w:hAnsi="Arial"/>
                <w:sz w:val="20"/>
                <w:szCs w:val="20"/>
                <w:color w:val="auto"/>
              </w:rPr>
              <w:t>Tyrone Parker</w:t>
            </w:r>
          </w:p>
        </w:tc>
      </w:tr>
      <w:tr>
        <w:trPr>
          <w:trHeight w:val="250"/>
        </w:trPr>
        <w:tc>
          <w:tcPr>
            <w:tcW w:w="560" w:type="dxa"/>
            <w:vAlign w:val="bottom"/>
          </w:tcPr>
          <w:p>
            <w:pPr>
              <w:spacing w:after="0"/>
              <w:rPr>
                <w:sz w:val="20"/>
                <w:szCs w:val="20"/>
                <w:color w:val="auto"/>
              </w:rPr>
            </w:pPr>
            <w:r>
              <w:rPr>
                <w:rFonts w:ascii="Arial" w:cs="Arial" w:eastAsia="Arial" w:hAnsi="Arial"/>
                <w:sz w:val="20"/>
                <w:szCs w:val="20"/>
                <w:color w:val="auto"/>
              </w:rPr>
              <w:t>Title:</w:t>
            </w:r>
          </w:p>
        </w:tc>
        <w:tc>
          <w:tcPr>
            <w:tcW w:w="5440" w:type="dxa"/>
            <w:vAlign w:val="bottom"/>
          </w:tcPr>
          <w:p>
            <w:pPr>
              <w:ind w:left="38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jc w:val="center"/>
        <w:ind w:right="1080"/>
        <w:spacing w:after="0"/>
        <w:rPr>
          <w:sz w:val="20"/>
          <w:szCs w:val="20"/>
          <w:color w:val="auto"/>
        </w:rPr>
      </w:pPr>
      <w:r>
        <w:rPr>
          <w:rFonts w:ascii="Arial" w:cs="Arial" w:eastAsia="Arial" w:hAnsi="Arial"/>
          <w:sz w:val="17"/>
          <w:szCs w:val="17"/>
          <w:color w:val="auto"/>
        </w:rPr>
        <w:t>TERM LOAN CREDIT AGREEMENT</w:t>
      </w:r>
    </w:p>
    <w:p>
      <w:pPr>
        <w:spacing w:after="0" w:line="21"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262890</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00"/>
          </w:cols>
          <w:pgMar w:left="1440" w:top="441" w:right="359" w:bottom="1440" w:gutter="0" w:footer="0" w:header="0"/>
        </w:sectPr>
      </w:pPr>
    </w:p>
    <w:bookmarkStart w:id="92" w:name="page93"/>
    <w:bookmarkEnd w:id="92"/>
    <w:p>
      <w:pPr>
        <w:jc w:val="right"/>
        <w:spacing w:after="0"/>
        <w:rPr>
          <w:sz w:val="20"/>
          <w:szCs w:val="20"/>
          <w:color w:val="auto"/>
        </w:rPr>
      </w:pPr>
      <w:r>
        <w:rPr>
          <w:rFonts w:ascii="Arial" w:cs="Arial" w:eastAsia="Arial" w:hAnsi="Arial"/>
          <w:sz w:val="20"/>
          <w:szCs w:val="20"/>
          <w:b w:val="1"/>
          <w:bCs w:val="1"/>
          <w:i w:val="1"/>
          <w:iCs w:val="1"/>
          <w:color w:val="auto"/>
        </w:rPr>
        <w:t>ANNEX I</w:t>
      </w:r>
    </w:p>
    <w:p>
      <w:pPr>
        <w:spacing w:after="0" w:line="210" w:lineRule="exact"/>
        <w:rPr>
          <w:sz w:val="20"/>
          <w:szCs w:val="20"/>
          <w:color w:val="auto"/>
        </w:rPr>
      </w:pPr>
    </w:p>
    <w:p>
      <w:pPr>
        <w:ind w:left="2060"/>
        <w:spacing w:after="0"/>
        <w:rPr>
          <w:sz w:val="20"/>
          <w:szCs w:val="20"/>
          <w:color w:val="auto"/>
        </w:rPr>
      </w:pPr>
      <w:r>
        <w:rPr>
          <w:rFonts w:ascii="Arial" w:cs="Arial" w:eastAsia="Arial" w:hAnsi="Arial"/>
          <w:sz w:val="20"/>
          <w:szCs w:val="20"/>
          <w:b w:val="1"/>
          <w:bCs w:val="1"/>
          <w:color w:val="auto"/>
        </w:rPr>
        <w:t>COMMITMENTS AND APPLICABLE PERCENTAGES</w:t>
      </w:r>
    </w:p>
    <w:p>
      <w:pPr>
        <w:spacing w:after="0" w:line="200" w:lineRule="exact"/>
        <w:rPr>
          <w:sz w:val="20"/>
          <w:szCs w:val="20"/>
          <w:color w:val="auto"/>
        </w:rPr>
      </w:pPr>
    </w:p>
    <w:p>
      <w:pPr>
        <w:spacing w:after="0" w:line="248" w:lineRule="exact"/>
        <w:rPr>
          <w:sz w:val="20"/>
          <w:szCs w:val="20"/>
          <w:color w:val="auto"/>
        </w:rPr>
      </w:pPr>
    </w:p>
    <w:tbl>
      <w:tblPr>
        <w:tblLayout w:type="fixed"/>
        <w:tblInd w:w="670" w:type="dxa"/>
        <w:tblCellMar>
          <w:top w:w="0" w:type="dxa"/>
          <w:left w:w="0" w:type="dxa"/>
          <w:bottom w:w="0" w:type="dxa"/>
          <w:right w:w="0" w:type="dxa"/>
        </w:tblCellMar>
      </w:tblPr>
      <w:tr>
        <w:trPr>
          <w:trHeight w:val="463"/>
        </w:trPr>
        <w:tc>
          <w:tcPr>
            <w:tcW w:w="3980" w:type="dxa"/>
            <w:vAlign w:val="bottom"/>
            <w:tcBorders>
              <w:top w:val="single" w:sz="8" w:color="auto"/>
              <w:left w:val="single" w:sz="8" w:color="auto"/>
              <w:right w:val="single" w:sz="8" w:color="auto"/>
            </w:tcBorders>
            <w:vMerge w:val="restart"/>
          </w:tcPr>
          <w:p>
            <w:pPr>
              <w:ind w:left="1680"/>
              <w:spacing w:after="0"/>
              <w:rPr>
                <w:sz w:val="20"/>
                <w:szCs w:val="20"/>
                <w:color w:val="auto"/>
              </w:rPr>
            </w:pPr>
            <w:r>
              <w:rPr>
                <w:rFonts w:ascii="Arial" w:cs="Arial" w:eastAsia="Arial" w:hAnsi="Arial"/>
                <w:sz w:val="20"/>
                <w:szCs w:val="20"/>
                <w:b w:val="1"/>
                <w:bCs w:val="1"/>
                <w:color w:val="auto"/>
              </w:rPr>
              <w:t>Lender</w:t>
            </w:r>
          </w:p>
        </w:tc>
        <w:tc>
          <w:tcPr>
            <w:tcW w:w="1360" w:type="dxa"/>
            <w:vAlign w:val="bottom"/>
            <w:tcBorders>
              <w:top w:val="single" w:sz="8" w:color="auto"/>
              <w:right w:val="single" w:sz="8" w:color="auto"/>
            </w:tcBorders>
          </w:tcPr>
          <w:p>
            <w:pPr>
              <w:jc w:val="right"/>
              <w:ind w:right="121"/>
              <w:spacing w:after="0"/>
              <w:rPr>
                <w:sz w:val="20"/>
                <w:szCs w:val="20"/>
                <w:color w:val="auto"/>
              </w:rPr>
            </w:pPr>
            <w:r>
              <w:rPr>
                <w:rFonts w:ascii="Arial" w:cs="Arial" w:eastAsia="Arial" w:hAnsi="Arial"/>
                <w:sz w:val="20"/>
                <w:szCs w:val="20"/>
                <w:b w:val="1"/>
                <w:bCs w:val="1"/>
                <w:color w:val="auto"/>
              </w:rPr>
              <w:t>Term Loan</w:t>
            </w:r>
          </w:p>
        </w:tc>
        <w:tc>
          <w:tcPr>
            <w:tcW w:w="2380" w:type="dxa"/>
            <w:vAlign w:val="bottom"/>
            <w:tcBorders>
              <w:top w:val="single" w:sz="8" w:color="auto"/>
              <w:right w:val="single" w:sz="8" w:color="auto"/>
            </w:tcBorders>
          </w:tcPr>
          <w:p>
            <w:pPr>
              <w:jc w:val="right"/>
              <w:ind w:right="61"/>
              <w:spacing w:after="0"/>
              <w:rPr>
                <w:sz w:val="20"/>
                <w:szCs w:val="20"/>
                <w:color w:val="auto"/>
              </w:rPr>
            </w:pPr>
            <w:r>
              <w:rPr>
                <w:rFonts w:ascii="Arial" w:cs="Arial" w:eastAsia="Arial" w:hAnsi="Arial"/>
                <w:sz w:val="20"/>
                <w:szCs w:val="20"/>
                <w:b w:val="1"/>
                <w:bCs w:val="1"/>
                <w:color w:val="auto"/>
                <w:w w:val="92"/>
              </w:rPr>
              <w:t>Applicable Percentage of</w:t>
            </w:r>
          </w:p>
        </w:tc>
        <w:tc>
          <w:tcPr>
            <w:tcW w:w="0" w:type="dxa"/>
            <w:vAlign w:val="bottom"/>
          </w:tcPr>
          <w:p>
            <w:pPr>
              <w:spacing w:after="0"/>
              <w:rPr>
                <w:sz w:val="1"/>
                <w:szCs w:val="1"/>
                <w:color w:val="auto"/>
              </w:rPr>
            </w:pPr>
          </w:p>
        </w:tc>
      </w:tr>
      <w:tr>
        <w:trPr>
          <w:trHeight w:val="148"/>
        </w:trPr>
        <w:tc>
          <w:tcPr>
            <w:tcW w:w="3980" w:type="dxa"/>
            <w:vAlign w:val="bottom"/>
            <w:tcBorders>
              <w:left w:val="single" w:sz="8" w:color="auto"/>
              <w:right w:val="single" w:sz="8" w:color="auto"/>
            </w:tcBorders>
            <w:vMerge w:val="continue"/>
          </w:tcPr>
          <w:p>
            <w:pPr>
              <w:spacing w:after="0"/>
              <w:rPr>
                <w:sz w:val="12"/>
                <w:szCs w:val="12"/>
                <w:color w:val="auto"/>
              </w:rPr>
            </w:pPr>
          </w:p>
        </w:tc>
        <w:tc>
          <w:tcPr>
            <w:tcW w:w="1360" w:type="dxa"/>
            <w:vAlign w:val="bottom"/>
            <w:tcBorders>
              <w:right w:val="single" w:sz="8" w:color="auto"/>
            </w:tcBorders>
            <w:vMerge w:val="restart"/>
          </w:tcPr>
          <w:p>
            <w:pPr>
              <w:jc w:val="right"/>
              <w:ind w:right="41"/>
              <w:spacing w:after="0"/>
              <w:rPr>
                <w:sz w:val="20"/>
                <w:szCs w:val="20"/>
                <w:color w:val="auto"/>
              </w:rPr>
            </w:pPr>
            <w:r>
              <w:rPr>
                <w:rFonts w:ascii="Arial" w:cs="Arial" w:eastAsia="Arial" w:hAnsi="Arial"/>
                <w:sz w:val="20"/>
                <w:szCs w:val="20"/>
                <w:b w:val="1"/>
                <w:bCs w:val="1"/>
                <w:color w:val="auto"/>
                <w:w w:val="98"/>
              </w:rPr>
              <w:t>Commitment</w:t>
            </w:r>
          </w:p>
        </w:tc>
        <w:tc>
          <w:tcPr>
            <w:tcW w:w="2380" w:type="dxa"/>
            <w:vAlign w:val="bottom"/>
            <w:tcBorders>
              <w:right w:val="single" w:sz="8" w:color="auto"/>
            </w:tcBorders>
            <w:vMerge w:val="restart"/>
          </w:tcPr>
          <w:p>
            <w:pPr>
              <w:jc w:val="right"/>
              <w:ind w:right="61"/>
              <w:spacing w:after="0"/>
              <w:rPr>
                <w:sz w:val="20"/>
                <w:szCs w:val="20"/>
                <w:color w:val="auto"/>
              </w:rPr>
            </w:pPr>
            <w:r>
              <w:rPr>
                <w:rFonts w:ascii="Arial" w:cs="Arial" w:eastAsia="Arial" w:hAnsi="Arial"/>
                <w:sz w:val="20"/>
                <w:szCs w:val="20"/>
                <w:b w:val="1"/>
                <w:bCs w:val="1"/>
                <w:color w:val="auto"/>
                <w:w w:val="95"/>
              </w:rPr>
              <w:t>Term Loan Commitment</w:t>
            </w:r>
          </w:p>
        </w:tc>
        <w:tc>
          <w:tcPr>
            <w:tcW w:w="0" w:type="dxa"/>
            <w:vAlign w:val="bottom"/>
          </w:tcPr>
          <w:p>
            <w:pPr>
              <w:spacing w:after="0"/>
              <w:rPr>
                <w:sz w:val="1"/>
                <w:szCs w:val="1"/>
                <w:color w:val="auto"/>
              </w:rPr>
            </w:pPr>
          </w:p>
        </w:tc>
      </w:tr>
      <w:tr>
        <w:trPr>
          <w:trHeight w:val="108"/>
        </w:trPr>
        <w:tc>
          <w:tcPr>
            <w:tcW w:w="3980" w:type="dxa"/>
            <w:vAlign w:val="bottom"/>
            <w:tcBorders>
              <w:left w:val="single" w:sz="8" w:color="auto"/>
              <w:right w:val="single" w:sz="8" w:color="auto"/>
            </w:tcBorders>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23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3980" w:type="dxa"/>
            <w:vAlign w:val="bottom"/>
            <w:tcBorders>
              <w:left w:val="single" w:sz="8" w:color="auto"/>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Bank of America, N.A.</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w w:val="94"/>
              </w:rPr>
              <w:t>$95,000,000.00</w:t>
            </w:r>
          </w:p>
        </w:tc>
        <w:tc>
          <w:tcPr>
            <w:tcW w:w="2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50.000000000%</w:t>
            </w:r>
          </w:p>
        </w:tc>
        <w:tc>
          <w:tcPr>
            <w:tcW w:w="0" w:type="dxa"/>
            <w:vAlign w:val="bottom"/>
          </w:tcPr>
          <w:p>
            <w:pPr>
              <w:spacing w:after="0"/>
              <w:rPr>
                <w:sz w:val="1"/>
                <w:szCs w:val="1"/>
                <w:color w:val="auto"/>
              </w:rPr>
            </w:pPr>
          </w:p>
        </w:tc>
      </w:tr>
      <w:tr>
        <w:trPr>
          <w:trHeight w:val="331"/>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U.S. Bank National Association</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w w:val="94"/>
              </w:rPr>
              <w:t>$95,000,000.00</w:t>
            </w:r>
          </w:p>
        </w:tc>
        <w:tc>
          <w:tcPr>
            <w:tcW w:w="2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50.000000000%</w:t>
            </w:r>
          </w:p>
        </w:tc>
        <w:tc>
          <w:tcPr>
            <w:tcW w:w="0" w:type="dxa"/>
            <w:vAlign w:val="bottom"/>
          </w:tcPr>
          <w:p>
            <w:pPr>
              <w:spacing w:after="0"/>
              <w:rPr>
                <w:sz w:val="1"/>
                <w:szCs w:val="1"/>
                <w:color w:val="auto"/>
              </w:rPr>
            </w:pPr>
          </w:p>
        </w:tc>
      </w:tr>
      <w:tr>
        <w:trPr>
          <w:trHeight w:val="331"/>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Total</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b w:val="1"/>
                <w:bCs w:val="1"/>
                <w:color w:val="auto"/>
                <w:w w:val="87"/>
              </w:rPr>
              <w:t>$190,000,000.00</w:t>
            </w:r>
          </w:p>
        </w:tc>
        <w:tc>
          <w:tcPr>
            <w:tcW w:w="2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b w:val="1"/>
                <w:bCs w:val="1"/>
                <w:color w:val="auto"/>
              </w:rPr>
              <w:t>100.000000000%</w:t>
            </w:r>
          </w:p>
        </w:tc>
        <w:tc>
          <w:tcPr>
            <w:tcW w:w="0" w:type="dxa"/>
            <w:vAlign w:val="bottom"/>
          </w:tcPr>
          <w:p>
            <w:pPr>
              <w:spacing w:after="0"/>
              <w:rPr>
                <w:sz w:val="1"/>
                <w:szCs w:val="1"/>
                <w:color w:val="auto"/>
              </w:rPr>
            </w:pPr>
          </w:p>
        </w:tc>
      </w:tr>
    </w:tbl>
    <w:p>
      <w:pPr>
        <w:sectPr>
          <w:pgSz w:w="11900" w:h="16838" w:orient="portrait"/>
          <w:cols w:equalWidth="0" w:num="1">
            <w:col w:w="10120"/>
          </w:cols>
          <w:pgMar w:left="1440" w:top="339"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985520" cy="643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8552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Nicholas Rhoads</w:t>
      </w:r>
    </w:p>
    <w:p>
      <w:pPr>
        <w:spacing w:after="0" w:line="234" w:lineRule="auto"/>
        <w:rPr>
          <w:sz w:val="20"/>
          <w:szCs w:val="20"/>
          <w:color w:val="auto"/>
        </w:rPr>
      </w:pPr>
      <w:r>
        <w:rPr>
          <w:rFonts w:ascii="Arial" w:cs="Arial" w:eastAsia="Arial" w:hAnsi="Arial"/>
          <w:sz w:val="18"/>
          <w:szCs w:val="18"/>
          <w:color w:val="auto"/>
        </w:rPr>
        <w:t>Managing Director, Investor Relations</w:t>
      </w:r>
    </w:p>
    <w:p>
      <w:pPr>
        <w:spacing w:after="0" w:line="1" w:lineRule="exact"/>
        <w:rPr>
          <w:sz w:val="20"/>
          <w:szCs w:val="20"/>
          <w:color w:val="auto"/>
        </w:rPr>
      </w:pPr>
    </w:p>
    <w:p>
      <w:pPr>
        <w:ind w:left="480" w:hanging="472"/>
        <w:spacing w:after="0"/>
        <w:tabs>
          <w:tab w:leader="none" w:pos="4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887-8865, </w:t>
      </w:r>
      <w:r>
        <w:rPr>
          <w:rFonts w:ascii="Arial" w:cs="Arial" w:eastAsia="Arial" w:hAnsi="Arial"/>
          <w:sz w:val="18"/>
          <w:szCs w:val="18"/>
          <w:u w:val="single" w:color="auto"/>
          <w:color w:val="0000FF"/>
        </w:rPr>
        <w:t>nicholas.rhoads@toro.com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234" w:lineRule="auto"/>
        <w:rPr>
          <w:sz w:val="20"/>
          <w:szCs w:val="20"/>
          <w:color w:val="auto"/>
        </w:rPr>
      </w:pPr>
      <w:r>
        <w:rPr>
          <w:rFonts w:ascii="Arial" w:cs="Arial" w:eastAsia="Arial" w:hAnsi="Arial"/>
          <w:sz w:val="18"/>
          <w:szCs w:val="18"/>
          <w:color w:val="auto"/>
        </w:rPr>
        <w:t>Senior Manager, Public Relations</w:t>
      </w:r>
    </w:p>
    <w:p>
      <w:pPr>
        <w:spacing w:after="0" w:line="1" w:lineRule="exact"/>
        <w:rPr>
          <w:sz w:val="20"/>
          <w:szCs w:val="20"/>
          <w:color w:val="auto"/>
        </w:rPr>
      </w:pPr>
    </w:p>
    <w:p>
      <w:pPr>
        <w:ind w:left="480" w:hanging="472"/>
        <w:spacing w:after="0"/>
        <w:tabs>
          <w:tab w:leader="none" w:pos="4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0000FF"/>
        </w:rPr>
        <w:t>branden.happel@toro.com</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Toro Company Provides Business Updates Related to COVID-19 Impact</w:t>
      </w:r>
    </w:p>
    <w:p>
      <w:pPr>
        <w:spacing w:after="0" w:line="359"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b w:val="1"/>
          <w:bCs w:val="1"/>
          <w:color w:val="auto"/>
        </w:rPr>
        <w:t xml:space="preserve">BLOOMINGTON, Minn.—(BUSINESS WIRE) —March 30, 2020— </w:t>
      </w:r>
      <w:r>
        <w:rPr>
          <w:rFonts w:ascii="Arial" w:cs="Arial" w:eastAsia="Arial" w:hAnsi="Arial"/>
          <w:sz w:val="20"/>
          <w:szCs w:val="20"/>
          <w:color w:val="auto"/>
        </w:rPr>
        <w:t>The Toro Company (NYSE: TTC) today provided a business</w:t>
      </w:r>
      <w:r>
        <w:rPr>
          <w:rFonts w:ascii="Arial" w:cs="Arial" w:eastAsia="Arial" w:hAnsi="Arial"/>
          <w:sz w:val="20"/>
          <w:szCs w:val="20"/>
          <w:b w:val="1"/>
          <w:bCs w:val="1"/>
          <w:color w:val="auto"/>
        </w:rPr>
        <w:t xml:space="preserve"> </w:t>
      </w:r>
      <w:r>
        <w:rPr>
          <w:rFonts w:ascii="Arial" w:cs="Arial" w:eastAsia="Arial" w:hAnsi="Arial"/>
          <w:sz w:val="20"/>
          <w:szCs w:val="20"/>
          <w:color w:val="auto"/>
        </w:rPr>
        <w:t>update on the actions it is taking as a result of the novel coronavirus (COVID-19) pandemic.</w:t>
      </w:r>
    </w:p>
    <w:p>
      <w:pPr>
        <w:spacing w:after="0" w:line="368" w:lineRule="exact"/>
        <w:rPr>
          <w:sz w:val="20"/>
          <w:szCs w:val="20"/>
          <w:color w:val="auto"/>
        </w:rPr>
      </w:pPr>
    </w:p>
    <w:p>
      <w:pPr>
        <w:ind w:right="260"/>
        <w:spacing w:after="0" w:line="228" w:lineRule="auto"/>
        <w:rPr>
          <w:sz w:val="20"/>
          <w:szCs w:val="20"/>
          <w:color w:val="auto"/>
        </w:rPr>
      </w:pPr>
      <w:r>
        <w:rPr>
          <w:rFonts w:ascii="Arial" w:cs="Arial" w:eastAsia="Arial" w:hAnsi="Arial"/>
          <w:sz w:val="20"/>
          <w:szCs w:val="20"/>
          <w:color w:val="auto"/>
        </w:rPr>
        <w:t>Richard M. Olson, The Toro Company’s chairman and chief executive officer said, “As the events surrounding the coronavirus continue to unfold, we are focused first and foremost on the health, safety and wellbeing of our employees, customers and communities around the world. We have adopted practices and policies to best support our people during this difficult time, while also enabling us to continue operating our businesses which are critical to helping our customers maintain essential infrastructure globally. The Toro Company is in a solid financial position. We have a strong balance sheet and adequate liquidity to navigate the uncertainty of the current situation and to be well-positioned when the health and economic environments improve.”</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People &amp; Plant Operations</w:t>
      </w:r>
    </w:p>
    <w:p>
      <w:pPr>
        <w:spacing w:after="0" w:line="118" w:lineRule="exact"/>
        <w:rPr>
          <w:sz w:val="20"/>
          <w:szCs w:val="20"/>
          <w:color w:val="auto"/>
        </w:rPr>
      </w:pPr>
    </w:p>
    <w:p>
      <w:pPr>
        <w:ind w:right="120"/>
        <w:spacing w:after="0" w:line="227" w:lineRule="auto"/>
        <w:rPr>
          <w:sz w:val="20"/>
          <w:szCs w:val="20"/>
          <w:color w:val="auto"/>
        </w:rPr>
      </w:pPr>
      <w:r>
        <w:rPr>
          <w:rFonts w:ascii="Arial" w:cs="Arial" w:eastAsia="Arial" w:hAnsi="Arial"/>
          <w:sz w:val="20"/>
          <w:szCs w:val="20"/>
          <w:color w:val="auto"/>
        </w:rPr>
        <w:t>The company has preparedness and response plans in place at its facilities and has taken actions to keep employees safe and healthy. In line with guidelines from the Centers for Disease Control and Prevention (CDC), World Health Organization (WHO) and state and local authorities that are intended to slow the virus spread, the company has asked employees who can work remotely to do so and has implemented enhanced health and safety protocols to further safeguard the majority of our employees who perform jobs that must be done in our facilities. These include, among other things, increased frequency of and additional cleaning measures, suspension of all non-essential visitors and reconfiguration of work spaces and direction to achieve social distancing. The company also adopted a special COVID-19 leave policy that provides two weeks of pay for employees who have the virus, are involuntarily quarantined because of the virus or are without work due to changes in our production schedules as the result of the virus.</w:t>
      </w:r>
    </w:p>
    <w:p>
      <w:pPr>
        <w:spacing w:after="0" w:line="94" w:lineRule="exact"/>
        <w:rPr>
          <w:sz w:val="20"/>
          <w:szCs w:val="20"/>
          <w:color w:val="auto"/>
        </w:rPr>
      </w:pPr>
    </w:p>
    <w:p>
      <w:pPr>
        <w:ind w:right="120"/>
        <w:spacing w:after="0" w:line="232" w:lineRule="auto"/>
        <w:rPr>
          <w:sz w:val="20"/>
          <w:szCs w:val="20"/>
          <w:color w:val="auto"/>
        </w:rPr>
      </w:pPr>
      <w:r>
        <w:rPr>
          <w:rFonts w:ascii="Arial" w:cs="Arial" w:eastAsia="Arial" w:hAnsi="Arial"/>
          <w:sz w:val="20"/>
          <w:szCs w:val="20"/>
          <w:color w:val="auto"/>
        </w:rPr>
        <w:t>The company intends to continue operations to the extent possible as an essential critical infrastructure business; however, it is presently temporarily suspending production or reducing levels of production at certain facilities due to the effects of the virus, including anticipated reduced demand for products in certain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94" w:name="page95"/>
    <w:bookmarkEnd w:id="94"/>
    <w:p>
      <w:pPr>
        <w:ind w:left="120"/>
        <w:spacing w:after="0"/>
        <w:rPr>
          <w:sz w:val="20"/>
          <w:szCs w:val="20"/>
          <w:color w:val="auto"/>
        </w:rPr>
      </w:pPr>
      <w:r>
        <w:rPr>
          <w:rFonts w:ascii="Arial" w:cs="Arial" w:eastAsia="Arial" w:hAnsi="Arial"/>
          <w:sz w:val="18"/>
          <w:szCs w:val="18"/>
          <w:color w:val="auto"/>
        </w:rPr>
        <w:t>2 - The Toro Company Provides Business Updates Related to COVID-19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14605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Strong Balance Sheet and Liquidity</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color w:val="auto"/>
        </w:rPr>
        <w:t>The company continues to have a strong balance sheet and liquidity profile, with no significant debt maturities until April</w:t>
      </w:r>
    </w:p>
    <w:p>
      <w:pPr>
        <w:ind w:right="40"/>
        <w:spacing w:after="0" w:line="232" w:lineRule="auto"/>
        <w:rPr>
          <w:sz w:val="20"/>
          <w:szCs w:val="20"/>
          <w:color w:val="auto"/>
        </w:rPr>
      </w:pPr>
      <w:r>
        <w:rPr>
          <w:rFonts w:ascii="Arial" w:cs="Arial" w:eastAsia="Arial" w:hAnsi="Arial"/>
          <w:sz w:val="20"/>
          <w:szCs w:val="20"/>
          <w:color w:val="auto"/>
        </w:rPr>
        <w:t>2022. Given the current uncertainties surrounding the economic environment and out of an abundance of caution, the company entered into a three-year term loan agreement for $190 million to refinance revolving credit facility borrowings incurred in connection with the Venture Products, Inc. acquisition and to add incremental liquidity.</w:t>
      </w:r>
    </w:p>
    <w:p>
      <w:pPr>
        <w:spacing w:after="0" w:line="103" w:lineRule="exact"/>
        <w:rPr>
          <w:sz w:val="20"/>
          <w:szCs w:val="20"/>
          <w:color w:val="auto"/>
        </w:rPr>
      </w:pPr>
    </w:p>
    <w:p>
      <w:pPr>
        <w:ind w:right="440"/>
        <w:spacing w:after="0" w:line="236" w:lineRule="auto"/>
        <w:rPr>
          <w:sz w:val="20"/>
          <w:szCs w:val="20"/>
          <w:color w:val="auto"/>
        </w:rPr>
      </w:pPr>
      <w:r>
        <w:rPr>
          <w:rFonts w:ascii="Arial" w:cs="Arial" w:eastAsia="Arial" w:hAnsi="Arial"/>
          <w:sz w:val="20"/>
          <w:szCs w:val="20"/>
          <w:color w:val="auto"/>
        </w:rPr>
        <w:t>With the funding of the term loan, the company will have liquidity of approximately $810 million, including cash on hand and unutilized availability under its $600 million revolving credit facility.</w:t>
      </w:r>
    </w:p>
    <w:p>
      <w:pPr>
        <w:spacing w:after="0" w:line="115" w:lineRule="exact"/>
        <w:rPr>
          <w:sz w:val="20"/>
          <w:szCs w:val="20"/>
          <w:color w:val="auto"/>
        </w:rPr>
      </w:pPr>
    </w:p>
    <w:p>
      <w:pPr>
        <w:jc w:val="both"/>
        <w:ind w:right="680"/>
        <w:spacing w:after="0" w:line="232" w:lineRule="auto"/>
        <w:rPr>
          <w:sz w:val="20"/>
          <w:szCs w:val="20"/>
          <w:color w:val="auto"/>
        </w:rPr>
      </w:pPr>
      <w:r>
        <w:rPr>
          <w:rFonts w:ascii="Arial" w:cs="Arial" w:eastAsia="Arial" w:hAnsi="Arial"/>
          <w:sz w:val="20"/>
          <w:szCs w:val="20"/>
          <w:color w:val="auto"/>
        </w:rPr>
        <w:t>The company is taking additional prudent measures to further increase financial flexibility and liquidity during this period, including: reviewing all options to reduce discretionary spending; deferring non-essential capital expenditures; optimizing working capital; and continuing curtailment of share repurchases.</w:t>
      </w:r>
    </w:p>
    <w:p>
      <w:pPr>
        <w:spacing w:after="0" w:line="103"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color w:val="auto"/>
        </w:rPr>
        <w:t>“I believe that we have the right people, plans, systems and resources to face these unprecedented challenges. We are focused on operational efficiencies and are prudently managing our balance sheet to provide additional flexibility as we navigate this uncertain environment,” said Olson.</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Outlook and Withdrawal of Financial Guidance</w:t>
      </w:r>
    </w:p>
    <w:p>
      <w:pPr>
        <w:spacing w:after="0" w:line="118"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As a result of the many and evolving COVID-19 related factors, risks and challenges that could negatively impact The Toro Company’s business, the company does not have the ability to predict the level of impact on its businesses and financial results for the fiscal 2020 second quarter or for the remainder of fiscal 2020 at this time. Accordingly, The Toro Company is withdrawing its fiscal 2020 second quarter and full year guidance provided in its Form 8-K and its Quarterly Report on Form 10-Q, each filed on March 5, 2020.</w:t>
      </w:r>
    </w:p>
    <w:p>
      <w:pPr>
        <w:spacing w:after="0" w:line="91" w:lineRule="exact"/>
        <w:rPr>
          <w:sz w:val="20"/>
          <w:szCs w:val="20"/>
          <w:color w:val="auto"/>
        </w:rPr>
      </w:pPr>
    </w:p>
    <w:p>
      <w:pPr>
        <w:ind w:right="1040"/>
        <w:spacing w:after="0" w:line="236" w:lineRule="auto"/>
        <w:rPr>
          <w:sz w:val="20"/>
          <w:szCs w:val="20"/>
          <w:color w:val="auto"/>
        </w:rPr>
      </w:pPr>
      <w:r>
        <w:rPr>
          <w:rFonts w:ascii="Arial" w:cs="Arial" w:eastAsia="Arial" w:hAnsi="Arial"/>
          <w:sz w:val="20"/>
          <w:szCs w:val="20"/>
          <w:color w:val="auto"/>
        </w:rPr>
        <w:t>The company is not updating its outlook at this time but plans to share further updates in its second-quarter earnings announcement and conference call expected to be held on June 4, 2020.</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118"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The Toro Company (NYSE: TTC) is a leading worldwide provider of innovative solutions for the outdoor environment including turf and landscape maintenance, snow and ice management, underground utility construction, rental and specialty construction, and irrigation and outdoor lighting solutions. With sales of $3.1 billion in fiscal 2019, The Toro Company’s global presence extends to more than 125 countries through a family of brands that includes Toro, Ditch Witch, Exmark, BOSS Snowplow, Ventrac, American Augers, Subsite Electronics, HammerHead, Trencor, Unique Lighting Systems, Irritrol, Hayter, Pope, Lawn-Boy and Radius HDD. Through constant innovation and caring relationships built on trust and integrity, The Toro Company and its family of brands have built a legacy of excellence by helping customers care for golf courses, sports fields, construction sites, public green spaces, commercial and residential properties and agricultural operations. For more information, visit www.thetorocompany.com.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1082040</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06" w:right="359" w:bottom="1440" w:gutter="0" w:footer="0" w:header="0"/>
        </w:sectPr>
      </w:pPr>
    </w:p>
    <w:bookmarkStart w:id="95" w:name="page96"/>
    <w:bookmarkEnd w:id="95"/>
    <w:p>
      <w:pPr>
        <w:ind w:left="120"/>
        <w:spacing w:after="0"/>
        <w:rPr>
          <w:sz w:val="20"/>
          <w:szCs w:val="20"/>
          <w:color w:val="auto"/>
        </w:rPr>
      </w:pPr>
      <w:r>
        <w:rPr>
          <w:rFonts w:ascii="Arial" w:cs="Arial" w:eastAsia="Arial" w:hAnsi="Arial"/>
          <w:sz w:val="18"/>
          <w:szCs w:val="18"/>
          <w:color w:val="auto"/>
        </w:rPr>
        <w:t>3 - The Toro Company Provides Business Updates Related to COVID-19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14605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18" w:lineRule="exact"/>
        <w:rPr>
          <w:sz w:val="20"/>
          <w:szCs w:val="20"/>
          <w:color w:val="auto"/>
        </w:rPr>
      </w:pPr>
    </w:p>
    <w:p>
      <w:pPr>
        <w:spacing w:after="0" w:line="225" w:lineRule="auto"/>
        <w:rPr>
          <w:sz w:val="20"/>
          <w:szCs w:val="20"/>
          <w:color w:val="auto"/>
        </w:rPr>
      </w:pPr>
      <w:r>
        <w:rPr>
          <w:rFonts w:ascii="Arial" w:cs="Arial" w:eastAsia="Arial" w:hAnsi="Arial"/>
          <w:sz w:val="20"/>
          <w:szCs w:val="20"/>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“expect,” “strive,” “looking ahead,” “outlook,” “guidance,” “forecast,” “goal,” “optimistic,” “anticipate,” “continue,” “plan,” “estimate,” “project,” “believe,” “should,” “could,” “will,” “would,” “possible,” “may,” “likely,” “intend,” “can,” “seek,” “potential,” “pro forma,” or the negative thereof or similar expressions. Forward-looking statements involve risks and uncertainties that could cause actual events and results to differ materially from those projected or implied. Particular risks and uncertainties that may affect the company’s operating results or financial position include: COVID-19 related factors, risks and challenges, including among others, the length of time that the pandemic continues, its effect on the demand for the company’s products and services, the ability of dealers and retailers that sell the company’s products to remain open, availability of employees and their ability to conduct work away from normal working locations and/or under revised protocols, and the ability to receive commodities, components, parts, and accessories on a timely basis through its supply chain and at anticipated costs, and the ability of the company to continue its production operations; worldwide economic conditions, including slow or negative growth rates in global and domestic economies and weakened consumer confidence; disruption at its manufacturing or distribution facilities; fluctuations in the cost and availability of commodities, components, parts, and accessories, including steel, engines, hydraulics and resins; the effect of abnormal weather patterns, including unfavorable weather conditions exacerbated by global climate change or otherwise; the effect of natural disasters and global pandemics, including COVID-19; the level of growth or contraction in its key markets; customer, government and municipal revenue, budget and spending levels; loss of any substantial customer, including mass retailers and home centers for the company’s residential business; elimination of shelf space for its products at dealers or retailers; inventory adjustments or changes in purchasing patterns by customers; the company’s ability to develop and achieve market acceptance for new products; increased competition; the risks attendant to international relations, operations and markets, including political, economic and/or social instability and conflict, tax and trade policies in the U.S. and other countries in which the company manufactures or sells its products, or trade regulation and/or industry activity; foreign currency exchange rate fluctuations; relationships with the company’s distribution channel partners, including the financial viability of distributors and dealers; risks associated with acquisitions, including those related to the recent acquisitions of Charles Machine Works and Venture Products, Inc., such as delays or failure in achieving the net sales, earnings and cost or revenue synergies expected from acquisitions, delays and challenges in integrating the businesses, business disruptions due to acquisitions, impacts as a result of purchase accounting adjustments and unanticipated liabilities or exposures for which the company has not been indemnified or may not recover; impairment of goodwill or other intangible assets; delays or failures in implementing, and unanticipated charges, as a result of, restructuring activities; management of alliances or joint ventures, including Red Iron Acceptance, LLC; the costs and effects of enactment of, changes in and compliance with laws, regulations and standards, including those relating to COVID-19, consumer product safety, accounting, taxation, trade and tariffs, healthcare, and environmental, health and safety matters; unforeseen product quality problems; loss of or changes in executive management or key employees; the occurrence of litigation or claims, including those involving intellectual property or product liability matters; and other risks and uncertainties described in the company’s most recent annual report on Form 10-K, subsequent quarterly reports on Form 10-Q or current reports on Form 8-K, and other filings with the Securities and Exchange Commission. The company makes no commitment to revise or update any forward-looking statements in order to reflect events or circumstances occurring or existing after the date any forward-looking statement is made.</w:t>
      </w:r>
    </w:p>
    <w:sectPr>
      <w:pgSz w:w="11900" w:h="16838" w:orient="portrait"/>
      <w:cols w:equalWidth="0" w:num="1">
        <w:col w:w="11240"/>
      </w:cols>
      <w:pgMar w:left="320" w:top="2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A"/>
      <w:numFmt w:val="bullet"/>
      <w:start w:val="1"/>
    </w:lvl>
  </w:abstractNum>
  <w:abstractNum w:abstractNumId="4">
    <w:nsid w:val="275AC794"/>
    <w:multiLevelType w:val="hybridMultilevel"/>
    <w:lvl w:ilvl="0">
      <w:lvlJc w:val="left"/>
      <w:lvlText w:val="B"/>
      <w:numFmt w:val="bullet"/>
      <w:start w:val="1"/>
    </w:lvl>
  </w:abstractNum>
  <w:abstractNum w:abstractNumId="5">
    <w:nsid w:val="39386575"/>
    <w:multiLevelType w:val="hybridMultilevel"/>
    <w:lvl w:ilvl="0">
      <w:lvlJc w:val="left"/>
      <w:lvlText w:val="C"/>
      <w:numFmt w:val="bullet"/>
      <w:start w:val="1"/>
    </w:lvl>
  </w:abstractNum>
  <w:abstractNum w:abstractNumId="6">
    <w:nsid w:val="1CF10FD8"/>
    <w:multiLevelType w:val="hybridMultilevel"/>
    <w:lvl w:ilvl="0">
      <w:lvlJc w:val="left"/>
      <w:lvlText w:val="D"/>
      <w:numFmt w:val="bullet"/>
      <w:start w:val="1"/>
    </w:lvl>
  </w:abstractNum>
  <w:abstractNum w:abstractNumId="7">
    <w:nsid w:val="180115BE"/>
    <w:multiLevelType w:val="hybridMultilevel"/>
    <w:lvl w:ilvl="0">
      <w:lvlJc w:val="left"/>
      <w:lvlText w:val="E"/>
      <w:numFmt w:val="bullet"/>
      <w:start w:val="1"/>
    </w:lvl>
  </w:abstractNum>
  <w:abstractNum w:abstractNumId="8">
    <w:nsid w:val="235BA861"/>
    <w:multiLevelType w:val="hybridMultilevel"/>
    <w:lvl w:ilvl="0">
      <w:lvlJc w:val="left"/>
      <w:lvlText w:val="(%1)"/>
      <w:numFmt w:val="lowerLetter"/>
      <w:start w:val="1"/>
    </w:lvl>
  </w:abstractNum>
  <w:abstractNum w:abstractNumId="9">
    <w:nsid w:val="47398C89"/>
    <w:multiLevelType w:val="hybridMultilevel"/>
    <w:lvl w:ilvl="0">
      <w:lvlJc w:val="left"/>
      <w:lvlText w:val="(%1)"/>
      <w:numFmt w:val="decimal"/>
      <w:start w:val="2"/>
    </w:lvl>
  </w:abstractNum>
  <w:abstractNum w:abstractNumId="10">
    <w:nsid w:val="354FE9F9"/>
    <w:multiLevelType w:val="hybridMultilevel"/>
    <w:lvl w:ilvl="0">
      <w:lvlJc w:val="left"/>
      <w:lvlText w:val="(%1)"/>
      <w:numFmt w:val="lowerLetter"/>
      <w:start w:val="1"/>
    </w:lvl>
  </w:abstractNum>
  <w:abstractNum w:abstractNumId="11">
    <w:nsid w:val="15B5AF5C"/>
    <w:multiLevelType w:val="hybridMultilevel"/>
    <w:lvl w:ilvl="0">
      <w:lvlJc w:val="left"/>
      <w:lvlText w:val="(%1)"/>
      <w:numFmt w:val="lowerLetter"/>
      <w:start w:val="1"/>
    </w:lvl>
  </w:abstractNum>
  <w:abstractNum w:abstractNumId="12">
    <w:nsid w:val="741226BB"/>
    <w:multiLevelType w:val="hybridMultilevel"/>
    <w:lvl w:ilvl="0">
      <w:lvlJc w:val="left"/>
      <w:lvlText w:val="(%1)"/>
      <w:numFmt w:val="lowerLetter"/>
      <w:start w:val="8"/>
    </w:lvl>
  </w:abstractNum>
  <w:abstractNum w:abstractNumId="13">
    <w:nsid w:val="D34B6A8"/>
    <w:multiLevelType w:val="hybridMultilevel"/>
    <w:lvl w:ilvl="0">
      <w:lvlJc w:val="left"/>
      <w:lvlText w:val="(%1)"/>
      <w:numFmt w:val="lowerRoman"/>
      <w:start w:val="1"/>
    </w:lvl>
  </w:abstractNum>
  <w:abstractNum w:abstractNumId="14">
    <w:nsid w:val="10233C99"/>
    <w:multiLevelType w:val="hybridMultilevel"/>
    <w:lvl w:ilvl="0">
      <w:lvlJc w:val="left"/>
      <w:lvlText w:val="(%1)"/>
      <w:numFmt w:val="lowerRoman"/>
      <w:start w:val="3"/>
    </w:lvl>
  </w:abstractNum>
  <w:abstractNum w:abstractNumId="15">
    <w:nsid w:val="3F6AB60F"/>
    <w:multiLevelType w:val="hybridMultilevel"/>
    <w:lvl w:ilvl="0">
      <w:lvlJc w:val="left"/>
      <w:lvlText w:val="(%1)"/>
      <w:numFmt w:val="lowerLetter"/>
      <w:start w:val="1"/>
    </w:lvl>
  </w:abstractNum>
  <w:abstractNum w:abstractNumId="16">
    <w:nsid w:val="61574095"/>
    <w:multiLevelType w:val="hybridMultilevel"/>
    <w:lvl w:ilvl="0">
      <w:lvlJc w:val="left"/>
      <w:lvlText w:val="(%1)"/>
      <w:numFmt w:val="lowerLetter"/>
      <w:start w:val="2"/>
    </w:lvl>
  </w:abstractNum>
  <w:abstractNum w:abstractNumId="17">
    <w:nsid w:val="7E0C57B1"/>
    <w:multiLevelType w:val="hybridMultilevel"/>
    <w:lvl w:ilvl="0">
      <w:lvlJc w:val="left"/>
      <w:lvlText w:val="(%1)"/>
      <w:numFmt w:val="lowerLetter"/>
      <w:start w:val="2"/>
    </w:lvl>
  </w:abstractNum>
  <w:abstractNum w:abstractNumId="18">
    <w:nsid w:val="77AE35EB"/>
    <w:multiLevelType w:val="hybridMultilevel"/>
    <w:lvl w:ilvl="0">
      <w:lvlJc w:val="left"/>
      <w:lvlText w:val="(%1)"/>
      <w:numFmt w:val="lowerLetter"/>
      <w:start w:val="4"/>
    </w:lvl>
    <w:lvl w:ilvl="1">
      <w:lvlJc w:val="left"/>
      <w:lvlText w:val="(%2)"/>
      <w:numFmt w:val="lowerRoman"/>
      <w:start w:val="1"/>
    </w:lvl>
  </w:abstractNum>
  <w:abstractNum w:abstractNumId="19">
    <w:nsid w:val="579BE4F1"/>
    <w:multiLevelType w:val="hybridMultilevel"/>
    <w:lvl w:ilvl="0">
      <w:lvlJc w:val="left"/>
      <w:lvlText w:val="(%1)"/>
      <w:numFmt w:val="lowerLetter"/>
      <w:start w:val="6"/>
    </w:lvl>
  </w:abstractNum>
  <w:abstractNum w:abstractNumId="20">
    <w:nsid w:val="310C50B3"/>
    <w:multiLevelType w:val="hybridMultilevel"/>
    <w:lvl w:ilvl="0">
      <w:lvlJc w:val="left"/>
      <w:lvlText w:val="(%1)"/>
      <w:numFmt w:val="lowerLetter"/>
      <w:start w:val="35"/>
    </w:lvl>
    <w:lvl w:ilvl="1">
      <w:lvlJc w:val="left"/>
      <w:lvlText w:val="(%2)"/>
      <w:numFmt w:val="lowerLetter"/>
      <w:start w:val="3"/>
    </w:lvl>
  </w:abstractNum>
  <w:abstractNum w:abstractNumId="21">
    <w:nsid w:val="5FF87E05"/>
    <w:multiLevelType w:val="hybridMultilevel"/>
    <w:lvl w:ilvl="0">
      <w:lvlJc w:val="left"/>
      <w:lvlText w:val="(%1)"/>
      <w:numFmt w:val="lowerRoman"/>
      <w:start w:val="3"/>
    </w:lvl>
  </w:abstractNum>
  <w:abstractNum w:abstractNumId="22">
    <w:nsid w:val="2F305DEF"/>
    <w:multiLevelType w:val="hybridMultilevel"/>
    <w:lvl w:ilvl="0">
      <w:lvlJc w:val="left"/>
      <w:lvlText w:val="(%1)"/>
      <w:numFmt w:val="lowerLetter"/>
      <w:start w:val="1"/>
    </w:lvl>
  </w:abstractNum>
  <w:abstractNum w:abstractNumId="23">
    <w:nsid w:val="25A70BF7"/>
    <w:multiLevelType w:val="hybridMultilevel"/>
    <w:lvl w:ilvl="0">
      <w:lvlJc w:val="left"/>
      <w:lvlText w:val="(%1)"/>
      <w:numFmt w:val="lowerLetter"/>
      <w:start w:val="2"/>
    </w:lvl>
    <w:lvl w:ilvl="1">
      <w:lvlJc w:val="left"/>
      <w:lvlText w:val="(%2)"/>
      <w:numFmt w:val="lowerRoman"/>
      <w:start w:val="2"/>
    </w:lvl>
  </w:abstractNum>
  <w:abstractNum w:abstractNumId="24">
    <w:nsid w:val="1DBABF00"/>
    <w:multiLevelType w:val="hybridMultilevel"/>
    <w:lvl w:ilvl="0">
      <w:lvlJc w:val="left"/>
      <w:lvlText w:val="(%1)"/>
      <w:numFmt w:val="lowerLetter"/>
      <w:start w:val="3"/>
    </w:lvl>
  </w:abstractNum>
  <w:abstractNum w:abstractNumId="25">
    <w:nsid w:val="4AD084E9"/>
    <w:multiLevelType w:val="hybridMultilevel"/>
    <w:lvl w:ilvl="0">
      <w:lvlJc w:val="left"/>
      <w:lvlText w:val="(%1)"/>
      <w:numFmt w:val="lowerLetter"/>
      <w:start w:val="1"/>
    </w:lvl>
  </w:abstractNum>
  <w:abstractNum w:abstractNumId="26">
    <w:nsid w:val="1F48EAA1"/>
    <w:multiLevelType w:val="hybridMultilevel"/>
    <w:lvl w:ilvl="0">
      <w:lvlJc w:val="left"/>
      <w:lvlText w:val="(%1)"/>
      <w:numFmt w:val="lowerLetter"/>
      <w:start w:val="2"/>
    </w:lvl>
  </w:abstractNum>
  <w:abstractNum w:abstractNumId="27">
    <w:nsid w:val="1381823A"/>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abstractNum>
  <w:abstractNum w:abstractNumId="28">
    <w:nsid w:val="5DB70AE5"/>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35"/>
    </w:lvl>
  </w:abstractNum>
  <w:abstractNum w:abstractNumId="29">
    <w:nsid w:val="100F8FCA"/>
    <w:multiLevelType w:val="hybridMultilevel"/>
    <w:lvl w:ilvl="0">
      <w:lvlJc w:val="left"/>
      <w:lvlText w:val="(%1)"/>
      <w:numFmt w:val="lowerLetter"/>
      <w:start w:val="2"/>
    </w:lvl>
    <w:lvl w:ilvl="1">
      <w:lvlJc w:val="left"/>
      <w:lvlText w:val="(%2)"/>
      <w:numFmt w:val="lowerLetter"/>
      <w:start w:val="3"/>
    </w:lvl>
  </w:abstractNum>
  <w:abstractNum w:abstractNumId="30">
    <w:nsid w:val="6590700B"/>
    <w:multiLevelType w:val="hybridMultilevel"/>
    <w:lvl w:ilvl="0">
      <w:lvlJc w:val="left"/>
      <w:lvlText w:val="(%1)"/>
      <w:numFmt w:val="lowerRoman"/>
      <w:start w:val="1"/>
    </w:lvl>
  </w:abstractNum>
  <w:abstractNum w:abstractNumId="31">
    <w:nsid w:val="15014ACB"/>
    <w:multiLevelType w:val="hybridMultilevel"/>
    <w:lvl w:ilvl="0">
      <w:lvlJc w:val="left"/>
      <w:lvlText w:val="%1"/>
      <w:numFmt w:val="lowerRoman"/>
      <w:start w:val="1"/>
    </w:lvl>
    <w:lvl w:ilvl="1">
      <w:lvlJc w:val="left"/>
      <w:lvlText w:val="(%2)"/>
      <w:numFmt w:val="lowerRoman"/>
      <w:start w:val="1"/>
    </w:lvl>
  </w:abstractNum>
  <w:abstractNum w:abstractNumId="32">
    <w:nsid w:val="5F5E7FD0"/>
    <w:multiLevelType w:val="hybridMultilevel"/>
    <w:lvl w:ilvl="0">
      <w:lvlJc w:val="left"/>
      <w:lvlText w:val="(%1)"/>
      <w:numFmt w:val="lowerRoman"/>
      <w:start w:val="10"/>
    </w:lvl>
    <w:lvl w:ilvl="1">
      <w:lvlJc w:val="left"/>
      <w:lvlText w:val="%2"/>
      <w:numFmt w:val="lowerRoman"/>
      <w:start w:val="1"/>
    </w:lvl>
  </w:abstractNum>
  <w:abstractNum w:abstractNumId="33">
    <w:nsid w:val="98A3148"/>
    <w:multiLevelType w:val="hybridMultilevel"/>
    <w:lvl w:ilvl="0">
      <w:lvlJc w:val="left"/>
      <w:lvlText w:val="(%1)"/>
      <w:numFmt w:val="lowerLetter"/>
      <w:start w:val="2"/>
    </w:lvl>
  </w:abstractNum>
  <w:abstractNum w:abstractNumId="34">
    <w:nsid w:val="799D0247"/>
    <w:multiLevelType w:val="hybridMultilevel"/>
    <w:lvl w:ilvl="0">
      <w:lvlJc w:val="left"/>
      <w:lvlText w:val="(%1)"/>
      <w:numFmt w:val="lowerLetter"/>
      <w:start w:val="1"/>
    </w:lvl>
    <w:lvl w:ilvl="1">
      <w:lvlJc w:val="left"/>
      <w:lvlText w:val="(%2)"/>
      <w:numFmt w:val="lowerRoman"/>
      <w:start w:val="1"/>
    </w:lvl>
  </w:abstractNum>
  <w:abstractNum w:abstractNumId="35">
    <w:nsid w:val="6B94764"/>
    <w:multiLevelType w:val="hybridMultilevel"/>
    <w:lvl w:ilvl="0">
      <w:lvlJc w:val="left"/>
      <w:lvlText w:val="(%1)"/>
      <w:numFmt w:val="lowerLetter"/>
      <w:start w:val="2"/>
    </w:lvl>
    <w:lvl w:ilvl="1">
      <w:lvlJc w:val="left"/>
      <w:lvlText w:val="(%2)"/>
      <w:numFmt w:val="lowerRoman"/>
      <w:start w:val="1"/>
    </w:lvl>
  </w:abstractNum>
  <w:abstractNum w:abstractNumId="36">
    <w:nsid w:val="42C296BD"/>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9"/>
    </w:lvl>
  </w:abstractNum>
  <w:abstractNum w:abstractNumId="37">
    <w:nsid w:val="168E121F"/>
    <w:multiLevelType w:val="hybridMultilevel"/>
    <w:lvl w:ilvl="0">
      <w:lvlJc w:val="left"/>
      <w:lvlText w:val="(%1)"/>
      <w:numFmt w:val="upperLetter"/>
      <w:start w:val="35"/>
    </w:lvl>
  </w:abstractNum>
  <w:abstractNum w:abstractNumId="38">
    <w:nsid w:val="1EBA5D23"/>
    <w:multiLevelType w:val="hybridMultilevel"/>
    <w:lvl w:ilvl="0">
      <w:lvlJc w:val="left"/>
      <w:lvlText w:val="(%1)"/>
      <w:numFmt w:val="upperLetter"/>
      <w:start w:val="61"/>
    </w:lvl>
  </w:abstractNum>
  <w:abstractNum w:abstractNumId="39">
    <w:nsid w:val="661E3F1E"/>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upperLetter"/>
      <w:start w:val="22"/>
    </w:lvl>
  </w:abstractNum>
  <w:abstractNum w:abstractNumId="40">
    <w:nsid w:val="5DC79EA8"/>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lvl w:ilvl="3">
      <w:lvlJc w:val="left"/>
      <w:lvlText w:val="%4"/>
      <w:numFmt w:val="upperLetter"/>
      <w:start w:val="1"/>
    </w:lvl>
  </w:abstractNum>
  <w:abstractNum w:abstractNumId="41">
    <w:nsid w:val="540A471C"/>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lvl w:ilvl="3">
      <w:lvlJc w:val="left"/>
      <w:lvlText w:val="%4"/>
      <w:numFmt w:val="upperLetter"/>
      <w:start w:val="1"/>
    </w:lvl>
  </w:abstractNum>
  <w:abstractNum w:abstractNumId="42">
    <w:nsid w:val="7BD3EE7B"/>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lvl w:ilvl="3">
      <w:lvlJc w:val="left"/>
      <w:lvlText w:val="%4"/>
      <w:numFmt w:val="upperLetter"/>
      <w:start w:val="1"/>
    </w:lvl>
  </w:abstractNum>
  <w:abstractNum w:abstractNumId="43">
    <w:nsid w:val="51D9C564"/>
    <w:multiLevelType w:val="hybridMultilevel"/>
    <w:lvl w:ilvl="0">
      <w:lvlJc w:val="left"/>
      <w:lvlText w:val="(%1)"/>
      <w:numFmt w:val="lowerLetter"/>
      <w:start w:val="7"/>
    </w:lvl>
  </w:abstractNum>
  <w:abstractNum w:abstractNumId="44">
    <w:nsid w:val="613EFDC5"/>
    <w:multiLevelType w:val="hybridMultilevel"/>
    <w:lvl w:ilvl="0">
      <w:lvlJc w:val="left"/>
      <w:lvlText w:val="(%1)"/>
      <w:numFmt w:val="lowerLetter"/>
      <w:start w:val="1"/>
    </w:lvl>
  </w:abstractNum>
  <w:abstractNum w:abstractNumId="45">
    <w:nsid w:val="BF72B14"/>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1"/>
    </w:lvl>
  </w:abstractNum>
  <w:abstractNum w:abstractNumId="46">
    <w:nsid w:val="11447B73"/>
    <w:multiLevelType w:val="hybridMultilevel"/>
    <w:lvl w:ilvl="0">
      <w:lvlJc w:val="left"/>
      <w:lvlText w:val="(%1)"/>
      <w:numFmt w:val="lowerRoman"/>
      <w:start w:val="3"/>
    </w:lvl>
  </w:abstractNum>
  <w:abstractNum w:abstractNumId="47">
    <w:nsid w:val="42963E5A"/>
    <w:multiLevelType w:val="hybridMultilevel"/>
    <w:lvl w:ilvl="0">
      <w:lvlJc w:val="left"/>
      <w:lvlText w:val="(%1)"/>
      <w:numFmt w:val="lowerLetter"/>
      <w:start w:val="1"/>
    </w:lvl>
    <w:lvl w:ilvl="1">
      <w:lvlJc w:val="left"/>
      <w:lvlText w:val="(%2)"/>
      <w:numFmt w:val="lowerRoman"/>
      <w:start w:val="1"/>
    </w:lvl>
  </w:abstractNum>
  <w:abstractNum w:abstractNumId="48">
    <w:nsid w:val="A0382C5"/>
    <w:multiLevelType w:val="hybridMultilevel"/>
    <w:lvl w:ilvl="0">
      <w:lvlJc w:val="left"/>
      <w:lvlText w:val="(%1)"/>
      <w:numFmt w:val="lowerLetter"/>
      <w:start w:val="2"/>
    </w:lvl>
  </w:abstractNum>
  <w:abstractNum w:abstractNumId="49">
    <w:nsid w:val="8F2B15E"/>
    <w:multiLevelType w:val="hybridMultilevel"/>
    <w:lvl w:ilvl="0">
      <w:lvlJc w:val="left"/>
      <w:lvlText w:val="%1"/>
      <w:numFmt w:val="lowerLetter"/>
      <w:start w:val="1"/>
    </w:lvl>
    <w:lvl w:ilvl="1">
      <w:lvlJc w:val="left"/>
      <w:lvlText w:val="(%2)"/>
      <w:numFmt w:val="lowerLetter"/>
      <w:start w:val="5"/>
    </w:lvl>
  </w:abstractNum>
  <w:abstractNum w:abstractNumId="50">
    <w:nsid w:val="1A32234B"/>
    <w:multiLevelType w:val="hybridMultilevel"/>
    <w:lvl w:ilvl="0">
      <w:lvlJc w:val="left"/>
      <w:lvlText w:val="(%1)"/>
      <w:numFmt w:val="lowerLetter"/>
      <w:start w:val="35"/>
    </w:lvl>
    <w:lvl w:ilvl="1">
      <w:lvlJc w:val="left"/>
      <w:lvlText w:val="(%2)"/>
      <w:numFmt w:val="lowerLetter"/>
      <w:start w:val="6"/>
    </w:lvl>
  </w:abstractNum>
  <w:abstractNum w:abstractNumId="51">
    <w:nsid w:val="3B0FD379"/>
    <w:multiLevelType w:val="hybridMultilevel"/>
    <w:lvl w:ilvl="0">
      <w:lvlJc w:val="left"/>
      <w:lvlText w:val="(%1)"/>
      <w:numFmt w:val="lowerLetter"/>
      <w:start w:val="1"/>
    </w:lvl>
  </w:abstractNum>
  <w:abstractNum w:abstractNumId="52">
    <w:nsid w:val="68EB2F63"/>
    <w:multiLevelType w:val="hybridMultilevel"/>
    <w:lvl w:ilvl="0">
      <w:lvlJc w:val="left"/>
      <w:lvlText w:val="(%1)"/>
      <w:numFmt w:val="lowerLetter"/>
      <w:start w:val="1"/>
    </w:lvl>
  </w:abstractNum>
  <w:abstractNum w:abstractNumId="53">
    <w:nsid w:val="4962813B"/>
    <w:multiLevelType w:val="hybridMultilevel"/>
    <w:lvl w:ilvl="0">
      <w:lvlJc w:val="left"/>
      <w:lvlText w:val="(%1)"/>
      <w:numFmt w:val="lowerLetter"/>
      <w:start w:val="1"/>
    </w:lvl>
    <w:lvl w:ilvl="1">
      <w:lvlJc w:val="left"/>
      <w:lvlText w:val="(%2)"/>
      <w:numFmt w:val="lowerRoman"/>
      <w:start w:val="1"/>
    </w:lvl>
  </w:abstractNum>
  <w:abstractNum w:abstractNumId="54">
    <w:nsid w:val="60B6DF70"/>
    <w:multiLevelType w:val="hybridMultilevel"/>
    <w:lvl w:ilvl="0">
      <w:lvlJc w:val="left"/>
      <w:lvlText w:val="(%1)"/>
      <w:numFmt w:val="lowerRoman"/>
      <w:start w:val="5"/>
    </w:lvl>
  </w:abstractNum>
  <w:abstractNum w:abstractNumId="55">
    <w:nsid w:val="6A5EE64"/>
    <w:multiLevelType w:val="hybridMultilevel"/>
    <w:lvl w:ilvl="0">
      <w:lvlJc w:val="left"/>
      <w:lvlText w:val="%1"/>
      <w:numFmt w:val="lowerLetter"/>
      <w:start w:val="1"/>
    </w:lvl>
    <w:lvl w:ilvl="1">
      <w:lvlJc w:val="left"/>
      <w:lvlText w:val="(%2)"/>
      <w:numFmt w:val="lowerRoman"/>
      <w:start w:val="6"/>
    </w:lvl>
  </w:abstractNum>
  <w:abstractNum w:abstractNumId="56">
    <w:nsid w:val="14330624"/>
    <w:multiLevelType w:val="hybridMultilevel"/>
    <w:lvl w:ilvl="0">
      <w:lvlJc w:val="left"/>
      <w:lvlText w:val="(%1)"/>
      <w:numFmt w:val="lowerLetter"/>
      <w:start w:val="2"/>
    </w:lvl>
    <w:lvl w:ilvl="1">
      <w:lvlJc w:val="left"/>
      <w:lvlText w:val="%2"/>
      <w:numFmt w:val="lowerRoman"/>
      <w:start w:val="1"/>
    </w:lvl>
  </w:abstractNum>
  <w:abstractNum w:abstractNumId="57">
    <w:nsid w:val="7FFFCA11"/>
    <w:multiLevelType w:val="hybridMultilevel"/>
    <w:lvl w:ilvl="0">
      <w:lvlJc w:val="left"/>
      <w:lvlText w:val="(%1)"/>
      <w:numFmt w:val="lowerLetter"/>
      <w:start w:val="5"/>
    </w:lvl>
  </w:abstractNum>
  <w:abstractNum w:abstractNumId="58">
    <w:nsid w:val="1A27709E"/>
    <w:multiLevelType w:val="hybridMultilevel"/>
    <w:lvl w:ilvl="0">
      <w:lvlJc w:val="left"/>
      <w:lvlText w:val="(%1)"/>
      <w:numFmt w:val="lowerLetter"/>
      <w:start w:val="1"/>
    </w:lvl>
  </w:abstractNum>
  <w:abstractNum w:abstractNumId="59">
    <w:nsid w:val="71EA1109"/>
    <w:multiLevelType w:val="hybridMultilevel"/>
    <w:lvl w:ilvl="0">
      <w:lvlJc w:val="left"/>
      <w:lvlText w:val="(%1)"/>
      <w:numFmt w:val="lowerLetter"/>
      <w:start w:val="1"/>
    </w:lvl>
  </w:abstractNum>
  <w:abstractNum w:abstractNumId="60">
    <w:nsid w:val="100F59DC"/>
    <w:multiLevelType w:val="hybridMultilevel"/>
    <w:lvl w:ilvl="0">
      <w:lvlJc w:val="left"/>
      <w:lvlText w:val="(%1)"/>
      <w:numFmt w:val="lowerLetter"/>
      <w:start w:val="1"/>
    </w:lvl>
  </w:abstractNum>
  <w:abstractNum w:abstractNumId="61">
    <w:nsid w:val="7FB7E0AA"/>
    <w:multiLevelType w:val="hybridMultilevel"/>
    <w:lvl w:ilvl="0">
      <w:lvlJc w:val="left"/>
      <w:lvlText w:val="(%1)"/>
      <w:numFmt w:val="lowerLetter"/>
      <w:start w:val="2"/>
    </w:lvl>
  </w:abstractNum>
  <w:abstractNum w:abstractNumId="62">
    <w:nsid w:val="6EB5BD4"/>
    <w:multiLevelType w:val="hybridMultilevel"/>
    <w:lvl w:ilvl="0">
      <w:lvlJc w:val="left"/>
      <w:lvlText w:val="(%1)"/>
      <w:numFmt w:val="lowerLetter"/>
      <w:start w:val="1"/>
    </w:lvl>
  </w:abstractNum>
  <w:abstractNum w:abstractNumId="63">
    <w:nsid w:val="6F6DD9AC"/>
    <w:multiLevelType w:val="hybridMultilevel"/>
    <w:lvl w:ilvl="0">
      <w:lvlJc w:val="left"/>
      <w:lvlText w:val="(%1)"/>
      <w:numFmt w:val="lowerLetter"/>
      <w:start w:val="1"/>
    </w:lvl>
  </w:abstractNum>
  <w:abstractNum w:abstractNumId="64">
    <w:nsid w:val="94211F2"/>
    <w:multiLevelType w:val="hybridMultilevel"/>
    <w:lvl w:ilvl="0">
      <w:lvlJc w:val="left"/>
      <w:lvlText w:val="(%1)"/>
      <w:numFmt w:val="lowerLetter"/>
      <w:start w:val="1"/>
    </w:lvl>
  </w:abstractNum>
  <w:abstractNum w:abstractNumId="65">
    <w:nsid w:val="885E1B"/>
    <w:multiLevelType w:val="hybridMultilevel"/>
    <w:lvl w:ilvl="0">
      <w:lvlJc w:val="left"/>
      <w:lvlText w:val="(%1)"/>
      <w:numFmt w:val="lowerLetter"/>
      <w:start w:val="1"/>
    </w:lvl>
  </w:abstractNum>
  <w:abstractNum w:abstractNumId="66">
    <w:nsid w:val="76272110"/>
    <w:multiLevelType w:val="hybridMultilevel"/>
    <w:lvl w:ilvl="0">
      <w:lvlJc w:val="left"/>
      <w:lvlText w:val="(%1)"/>
      <w:numFmt w:val="lowerLetter"/>
      <w:start w:val="1"/>
    </w:lvl>
    <w:lvl w:ilvl="1">
      <w:lvlJc w:val="left"/>
      <w:lvlText w:val="(%2)"/>
      <w:numFmt w:val="lowerRoman"/>
      <w:start w:val="1"/>
    </w:lvl>
  </w:abstractNum>
  <w:abstractNum w:abstractNumId="67">
    <w:nsid w:val="4C04A8AF"/>
    <w:multiLevelType w:val="hybridMultilevel"/>
    <w:lvl w:ilvl="0">
      <w:lvlJc w:val="left"/>
      <w:lvlText w:val="(%1)"/>
      <w:numFmt w:val="lowerLetter"/>
      <w:start w:val="4"/>
    </w:lvl>
  </w:abstractNum>
  <w:abstractNum w:abstractNumId="68">
    <w:nsid w:val="1716703B"/>
    <w:multiLevelType w:val="hybridMultilevel"/>
    <w:lvl w:ilvl="0">
      <w:lvlJc w:val="left"/>
      <w:lvlText w:val="(%1)"/>
      <w:numFmt w:val="lowerLetter"/>
      <w:start w:val="1"/>
    </w:lvl>
  </w:abstractNum>
  <w:abstractNum w:abstractNumId="69">
    <w:nsid w:val="14E17E33"/>
    <w:multiLevelType w:val="hybridMultilevel"/>
    <w:lvl w:ilvl="0">
      <w:lvlJc w:val="left"/>
      <w:lvlText w:val="(%1)"/>
      <w:numFmt w:val="lowerLetter"/>
      <w:start w:val="7"/>
    </w:lvl>
  </w:abstractNum>
  <w:abstractNum w:abstractNumId="70">
    <w:nsid w:val="3222E7CD"/>
    <w:multiLevelType w:val="hybridMultilevel"/>
    <w:lvl w:ilvl="0">
      <w:lvlJc w:val="left"/>
      <w:lvlText w:val="(%1)"/>
      <w:numFmt w:val="lowerLetter"/>
      <w:start w:val="1"/>
    </w:lvl>
  </w:abstractNum>
  <w:abstractNum w:abstractNumId="71">
    <w:nsid w:val="74DE0EE3"/>
    <w:multiLevelType w:val="hybridMultilevel"/>
    <w:lvl w:ilvl="0">
      <w:lvlJc w:val="left"/>
      <w:lvlText w:val="%1"/>
      <w:numFmt w:val="lowerLetter"/>
      <w:start w:val="1"/>
    </w:lvl>
    <w:lvl w:ilvl="1">
      <w:lvlJc w:val="left"/>
      <w:lvlText w:val="(%2)"/>
      <w:numFmt w:val="lowerLetter"/>
      <w:start w:val="5"/>
    </w:lvl>
  </w:abstractNum>
  <w:abstractNum w:abstractNumId="72">
    <w:nsid w:val="68EBC550"/>
    <w:multiLevelType w:val="hybridMultilevel"/>
    <w:lvl w:ilvl="0">
      <w:lvlJc w:val="left"/>
      <w:lvlText w:val="(%1)"/>
      <w:numFmt w:val="lowerLetter"/>
      <w:start w:val="61"/>
    </w:lvl>
    <w:lvl w:ilvl="1">
      <w:lvlJc w:val="left"/>
      <w:lvlText w:val="(%2)"/>
      <w:numFmt w:val="lowerLetter"/>
      <w:start w:val="6"/>
    </w:lvl>
  </w:abstractNum>
  <w:abstractNum w:abstractNumId="73">
    <w:nsid w:val="2DF6D648"/>
    <w:multiLevelType w:val="hybridMultilevel"/>
    <w:lvl w:ilvl="0">
      <w:lvlJc w:val="left"/>
      <w:lvlText w:val="(%1)"/>
      <w:numFmt w:val="lowerLetter"/>
      <w:start w:val="1"/>
    </w:lvl>
  </w:abstractNum>
  <w:abstractNum w:abstractNumId="74">
    <w:nsid w:val="46B7D447"/>
    <w:multiLevelType w:val="hybridMultilevel"/>
    <w:lvl w:ilvl="0">
      <w:lvlJc w:val="left"/>
      <w:lvlText w:val="(%1)"/>
      <w:numFmt w:val="lowerLetter"/>
      <w:start w:val="3"/>
    </w:lvl>
  </w:abstractNum>
  <w:abstractNum w:abstractNumId="75">
    <w:nsid w:val="4A2AC315"/>
    <w:multiLevelType w:val="hybridMultilevel"/>
    <w:lvl w:ilvl="0">
      <w:lvlJc w:val="left"/>
      <w:lvlText w:val="(%1)"/>
      <w:numFmt w:val="lowerLetter"/>
      <w:start w:val="1"/>
    </w:lvl>
  </w:abstractNum>
  <w:abstractNum w:abstractNumId="76">
    <w:nsid w:val="39EE015C"/>
    <w:multiLevelType w:val="hybridMultilevel"/>
    <w:lvl w:ilvl="0">
      <w:lvlJc w:val="left"/>
      <w:lvlText w:val="(%1)"/>
      <w:numFmt w:val="lowerLetter"/>
      <w:start w:val="1"/>
    </w:lvl>
  </w:abstractNum>
  <w:abstractNum w:abstractNumId="77">
    <w:nsid w:val="57FC4FBB"/>
    <w:multiLevelType w:val="hybridMultilevel"/>
    <w:lvl w:ilvl="0">
      <w:lvlJc w:val="left"/>
      <w:lvlText w:val="(%1)"/>
      <w:numFmt w:val="lowerLetter"/>
      <w:start w:val="6"/>
    </w:lvl>
  </w:abstractNum>
  <w:abstractNum w:abstractNumId="78">
    <w:nsid w:val="CC1016F"/>
    <w:multiLevelType w:val="hybridMultilevel"/>
    <w:lvl w:ilvl="0">
      <w:lvlJc w:val="left"/>
      <w:lvlText w:val="(%1)"/>
      <w:numFmt w:val="lowerLetter"/>
      <w:start w:val="11"/>
    </w:lvl>
  </w:abstractNum>
  <w:abstractNum w:abstractNumId="79">
    <w:nsid w:val="43F18422"/>
    <w:multiLevelType w:val="hybridMultilevel"/>
    <w:lvl w:ilvl="0">
      <w:lvlJc w:val="left"/>
      <w:lvlText w:val="(%1)"/>
      <w:numFmt w:val="lowerLetter"/>
      <w:start w:val="1"/>
    </w:lvl>
  </w:abstractNum>
  <w:abstractNum w:abstractNumId="80">
    <w:nsid w:val="60EF0119"/>
    <w:multiLevelType w:val="hybridMultilevel"/>
    <w:lvl w:ilvl="0">
      <w:lvlJc w:val="left"/>
      <w:lvlText w:val="(%1)"/>
      <w:numFmt w:val="lowerLetter"/>
      <w:start w:val="1"/>
    </w:lvl>
  </w:abstractNum>
  <w:abstractNum w:abstractNumId="81">
    <w:nsid w:val="26F324BA"/>
    <w:multiLevelType w:val="hybridMultilevel"/>
    <w:lvl w:ilvl="0">
      <w:lvlJc w:val="left"/>
      <w:lvlText w:val="(%1)"/>
      <w:numFmt w:val="lowerLetter"/>
      <w:start w:val="3"/>
    </w:lvl>
  </w:abstractNum>
  <w:abstractNum w:abstractNumId="82">
    <w:nsid w:val="7F01579B"/>
    <w:multiLevelType w:val="hybridMultilevel"/>
    <w:lvl w:ilvl="0">
      <w:lvlJc w:val="left"/>
      <w:lvlText w:val="(%1)"/>
      <w:numFmt w:val="lowerLetter"/>
      <w:start w:val="2"/>
    </w:lvl>
  </w:abstractNum>
  <w:abstractNum w:abstractNumId="83">
    <w:nsid w:val="49DA307D"/>
    <w:multiLevelType w:val="hybridMultilevel"/>
    <w:lvl w:ilvl="0">
      <w:lvlJc w:val="left"/>
      <w:lvlText w:val="(%1)"/>
      <w:numFmt w:val="lowerLetter"/>
      <w:start w:val="1"/>
    </w:lvl>
  </w:abstractNum>
  <w:abstractNum w:abstractNumId="84">
    <w:nsid w:val="7055A5F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5">
    <w:nsid w:val="5FB8370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86">
    <w:nsid w:val="50801EE1"/>
    <w:multiLevelType w:val="hybridMultilevel"/>
    <w:lvl w:ilvl="0">
      <w:lvlJc w:val="left"/>
      <w:lvlText w:val="(%1)"/>
      <w:numFmt w:val="lowerLetter"/>
      <w:start w:val="1"/>
    </w:lvl>
  </w:abstractNum>
  <w:abstractNum w:abstractNumId="87">
    <w:nsid w:val="488AC1A"/>
    <w:multiLevelType w:val="hybridMultilevel"/>
    <w:lvl w:ilvl="0">
      <w:lvlJc w:val="left"/>
      <w:lvlText w:val="(%1)"/>
      <w:numFmt w:val="lowerRoman"/>
      <w:start w:val="2"/>
    </w:lvl>
  </w:abstractNum>
  <w:abstractNum w:abstractNumId="88">
    <w:nsid w:val="5FB8011C"/>
    <w:multiLevelType w:val="hybridMultilevel"/>
    <w:lvl w:ilvl="0">
      <w:lvlJc w:val="left"/>
      <w:lvlText w:val="(%1)"/>
      <w:numFmt w:val="lowerLetter"/>
      <w:start w:val="1"/>
    </w:lvl>
    <w:lvl w:ilvl="1">
      <w:lvlJc w:val="left"/>
      <w:lvlText w:val="(%2)"/>
      <w:numFmt w:val="lowerRoman"/>
      <w:start w:val="1"/>
    </w:lvl>
  </w:abstractNum>
  <w:abstractNum w:abstractNumId="89">
    <w:nsid w:val="6AA78F7F"/>
    <w:multiLevelType w:val="hybridMultilevel"/>
    <w:lvl w:ilvl="0">
      <w:lvlJc w:val="left"/>
      <w:lvlText w:val="(%1)"/>
      <w:numFmt w:val="lowerLetter"/>
      <w:start w:val="2"/>
    </w:lvl>
  </w:abstractNum>
  <w:abstractNum w:abstractNumId="90">
    <w:nsid w:val="7672BD23"/>
    <w:multiLevelType w:val="hybridMultilevel"/>
    <w:lvl w:ilvl="0">
      <w:lvlJc w:val="left"/>
      <w:lvlText w:val="(%1)"/>
      <w:numFmt w:val="lowerLetter"/>
      <w:start w:val="3"/>
    </w:lvl>
  </w:abstractNum>
  <w:abstractNum w:abstractNumId="91">
    <w:nsid w:val="6FC75AF8"/>
    <w:multiLevelType w:val="hybridMultilevel"/>
    <w:lvl w:ilvl="0">
      <w:lvlJc w:val="left"/>
      <w:lvlText w:val="(%1)"/>
      <w:numFmt w:val="lowerLetter"/>
      <w:start w:val="2"/>
    </w:lvl>
  </w:abstractNum>
  <w:abstractNum w:abstractNumId="92">
    <w:nsid w:val="6A5F7029"/>
    <w:multiLevelType w:val="hybridMultilevel"/>
    <w:lvl w:ilvl="0">
      <w:lvlJc w:val="left"/>
      <w:lvlText w:val="(%1)"/>
      <w:numFmt w:val="lowerLetter"/>
      <w:start w:val="3"/>
    </w:lvl>
  </w:abstractNum>
  <w:abstractNum w:abstractNumId="93">
    <w:nsid w:val="7D5E18F8"/>
    <w:multiLevelType w:val="hybridMultilevel"/>
    <w:lvl w:ilvl="0">
      <w:lvlJc w:val="left"/>
      <w:lvlText w:val="(%1)"/>
      <w:numFmt w:val="lowerLetter"/>
      <w:start w:val="6"/>
    </w:lvl>
  </w:abstractNum>
  <w:abstractNum w:abstractNumId="94">
    <w:nsid w:val="5F3534A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95">
    <w:nsid w:val="73A1821B"/>
    <w:multiLevelType w:val="hybridMultilevel"/>
    <w:lvl w:ilvl="0">
      <w:lvlJc w:val="left"/>
      <w:lvlText w:val="(%1)"/>
      <w:numFmt w:val="lowerLetter"/>
      <w:start w:val="2"/>
    </w:lvl>
    <w:lvl w:ilvl="1">
      <w:lvlJc w:val="left"/>
      <w:lvlText w:val="(%2)"/>
      <w:numFmt w:val="lowerLetter"/>
      <w:start w:val="2"/>
    </w:lvl>
    <w:lvl w:ilvl="2">
      <w:lvlJc w:val="left"/>
      <w:lvlText w:val="(%3)"/>
      <w:numFmt w:val="lowerLetter"/>
      <w:start w:val="9"/>
    </w:lvl>
    <w:lvl w:ilvl="3">
      <w:lvlJc w:val="left"/>
      <w:lvlText w:val="(%4)"/>
      <w:numFmt w:val="upperLetter"/>
      <w:start w:val="1"/>
    </w:lvl>
  </w:abstractNum>
  <w:abstractNum w:abstractNumId="96">
    <w:nsid w:val="7DE67713"/>
    <w:multiLevelType w:val="hybridMultilevel"/>
    <w:lvl w:ilvl="0">
      <w:lvlJc w:val="left"/>
      <w:lvlText w:val="(%1)"/>
      <w:numFmt w:val="lowerRoman"/>
      <w:start w:val="2"/>
    </w:lvl>
    <w:lvl w:ilvl="1">
      <w:lvlJc w:val="left"/>
      <w:lvlText w:val="(%2)"/>
      <w:numFmt w:val="upperLetter"/>
      <w:start w:val="1"/>
    </w:lvl>
  </w:abstractNum>
  <w:abstractNum w:abstractNumId="97">
    <w:nsid w:val="555C55B5"/>
    <w:multiLevelType w:val="hybridMultilevel"/>
    <w:lvl w:ilvl="0">
      <w:lvlJc w:val="left"/>
      <w:lvlText w:val="(%1)"/>
      <w:numFmt w:val="lowerLetter"/>
      <w:start w:val="3"/>
    </w:lvl>
  </w:abstractNum>
  <w:abstractNum w:abstractNumId="98">
    <w:nsid w:val="3FA62ACA"/>
    <w:multiLevelType w:val="hybridMultilevel"/>
    <w:lvl w:ilvl="0">
      <w:lvlJc w:val="left"/>
      <w:lvlText w:val="(%1)"/>
      <w:numFmt w:val="lowerLetter"/>
      <w:start w:val="5"/>
    </w:lvl>
  </w:abstractNum>
  <w:abstractNum w:abstractNumId="99">
    <w:nsid w:val="14FCE74E"/>
    <w:multiLevelType w:val="hybridMultilevel"/>
    <w:lvl w:ilvl="0">
      <w:lvlJc w:val="left"/>
      <w:lvlText w:val="(%1)"/>
      <w:numFmt w:val="lowerLetter"/>
      <w:start w:val="61"/>
    </w:lvl>
    <w:lvl w:ilvl="1">
      <w:lvlJc w:val="left"/>
      <w:lvlText w:val="(%2)"/>
      <w:numFmt w:val="lowerLetter"/>
      <w:start w:val="1"/>
    </w:lvl>
  </w:abstractNum>
  <w:abstractNum w:abstractNumId="100">
    <w:nsid w:val="6A3DD3E8"/>
    <w:multiLevelType w:val="hybridMultilevel"/>
    <w:lvl w:ilvl="0">
      <w:lvlJc w:val="left"/>
      <w:lvlText w:val="(%1)"/>
      <w:numFmt w:val="lowerLetter"/>
      <w:start w:val="1"/>
    </w:lvl>
  </w:abstractNum>
  <w:abstractNum w:abstractNumId="101">
    <w:nsid w:val="71C91298"/>
    <w:multiLevelType w:val="hybridMultilevel"/>
    <w:lvl w:ilvl="0">
      <w:lvlJc w:val="left"/>
      <w:lvlText w:val="(%1)"/>
      <w:numFmt w:val="lowerLetter"/>
      <w:start w:val="3"/>
    </w:lvl>
  </w:abstractNum>
  <w:abstractNum w:abstractNumId="102">
    <w:nsid w:val="9DAF632"/>
    <w:multiLevelType w:val="hybridMultilevel"/>
    <w:lvl w:ilvl="0">
      <w:lvlJc w:val="left"/>
      <w:lvlText w:val="(%1)"/>
      <w:numFmt w:val="lowerLetter"/>
      <w:start w:val="1"/>
    </w:lvl>
    <w:lvl w:ilvl="1">
      <w:lvlJc w:val="left"/>
      <w:lvlText w:val="(%2)"/>
      <w:numFmt w:val="lowerRoman"/>
      <w:start w:val="1"/>
    </w:lvl>
  </w:abstractNum>
  <w:abstractNum w:abstractNumId="103">
    <w:nsid w:val="53299938"/>
    <w:multiLevelType w:val="hybridMultilevel"/>
    <w:lvl w:ilvl="0">
      <w:lvlJc w:val="left"/>
      <w:lvlText w:val="(%1)"/>
      <w:numFmt w:val="lowerLetter"/>
      <w:start w:val="1"/>
    </w:lvl>
  </w:abstractNum>
  <w:abstractNum w:abstractNumId="104">
    <w:nsid w:val="1FBFE8E0"/>
    <w:multiLevelType w:val="hybridMultilevel"/>
    <w:lvl w:ilvl="0">
      <w:lvlJc w:val="left"/>
      <w:lvlText w:val="(%1)"/>
      <w:numFmt w:val="lowerLetter"/>
      <w:start w:val="2"/>
    </w:lvl>
    <w:lvl w:ilvl="1">
      <w:lvlJc w:val="left"/>
      <w:lvlText w:val="(%2)"/>
      <w:numFmt w:val="lowerRoman"/>
      <w:start w:val="1"/>
    </w:lvl>
  </w:abstractNum>
  <w:abstractNum w:abstractNumId="105">
    <w:nsid w:val="5092CA79"/>
    <w:multiLevelType w:val="hybridMultilevel"/>
    <w:lvl w:ilvl="0">
      <w:lvlJc w:val="left"/>
      <w:lvlText w:val="(%1)"/>
      <w:numFmt w:val="decimal"/>
      <w:start w:val="952"/>
    </w:lvl>
  </w:abstractNum>
  <w:abstractNum w:abstractNumId="106">
    <w:nsid w:val="1D545C4D"/>
    <w:multiLevelType w:val="hybridMultilevel"/>
    <w:lvl w:ilvl="0">
      <w:lvlJc w:val="left"/>
      <w:lvlText w:val="(%1)"/>
      <w:numFmt w:val="decimal"/>
      <w:start w:val="95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2020-04-01T10:38:45Z</dcterms:created>
  <dcterms:modified xsi:type="dcterms:W3CDTF">2020-04-01T10:38:45Z</dcterms:modified>
</cp:coreProperties>
</file>