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5"/>
          <w:szCs w:val="15"/>
          <w:b w:val="1"/>
          <w:bCs w:val="1"/>
          <w:color w:val="auto"/>
        </w:rPr>
        <w:t>As filed with the Securities and Exchange Commission on March 23, 2022</w:t>
      </w:r>
    </w:p>
    <w:p>
      <w:pPr>
        <w:spacing w:after="0" w:line="30" w:lineRule="exact"/>
        <w:rPr>
          <w:sz w:val="24"/>
          <w:szCs w:val="24"/>
          <w:color w:val="auto"/>
        </w:rPr>
      </w:pPr>
    </w:p>
    <w:p>
      <w:pPr>
        <w:ind w:left="9080"/>
        <w:spacing w:after="0"/>
        <w:rPr>
          <w:sz w:val="20"/>
          <w:szCs w:val="20"/>
          <w:color w:val="auto"/>
        </w:rPr>
      </w:pPr>
      <w:r>
        <w:rPr>
          <w:rFonts w:ascii="Arial" w:cs="Arial" w:eastAsia="Arial" w:hAnsi="Arial"/>
          <w:sz w:val="15"/>
          <w:szCs w:val="15"/>
          <w:b w:val="1"/>
          <w:bCs w:val="1"/>
          <w:color w:val="auto"/>
        </w:rPr>
        <w:t>Registration No. 333-</w:t>
      </w:r>
    </w:p>
    <w:p>
      <w:pPr>
        <w:spacing w:after="0" w:line="27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ind w:left="4700"/>
        <w:spacing w:after="0" w:line="218" w:lineRule="auto"/>
        <w:rPr>
          <w:sz w:val="20"/>
          <w:szCs w:val="20"/>
          <w:color w:val="auto"/>
        </w:rPr>
      </w:pPr>
      <w:r>
        <w:rPr>
          <w:rFonts w:ascii="Arial" w:cs="Arial" w:eastAsia="Arial" w:hAnsi="Arial"/>
          <w:sz w:val="14"/>
          <w:szCs w:val="14"/>
          <w:b w:val="1"/>
          <w:bCs w:val="1"/>
          <w:color w:val="auto"/>
        </w:rPr>
        <w:t>___________________________</w:t>
      </w:r>
    </w:p>
    <w:p>
      <w:pPr>
        <w:jc w:val="center"/>
        <w:ind w:right="-99"/>
        <w:spacing w:after="0" w:line="239" w:lineRule="auto"/>
        <w:rPr>
          <w:sz w:val="20"/>
          <w:szCs w:val="20"/>
          <w:color w:val="auto"/>
        </w:rPr>
      </w:pPr>
      <w:r>
        <w:rPr>
          <w:rFonts w:ascii="Arial" w:cs="Arial" w:eastAsia="Arial" w:hAnsi="Arial"/>
          <w:sz w:val="31"/>
          <w:szCs w:val="31"/>
          <w:b w:val="1"/>
          <w:bCs w:val="1"/>
          <w:color w:val="auto"/>
        </w:rPr>
        <w:t>FORM S-8</w:t>
      </w:r>
    </w:p>
    <w:p>
      <w:pPr>
        <w:jc w:val="center"/>
        <w:ind w:right="-99"/>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4"/>
          <w:szCs w:val="14"/>
          <w:b w:val="1"/>
          <w:bCs w:val="1"/>
          <w:color w:val="auto"/>
        </w:rPr>
        <w:t>___________________________</w:t>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THE TORO COMPANY</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34"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940" w:type="dxa"/>
            <w:vAlign w:val="bottom"/>
          </w:tcPr>
          <w:p>
            <w:pPr>
              <w:ind w:left="1260"/>
              <w:spacing w:after="0"/>
              <w:rPr>
                <w:sz w:val="20"/>
                <w:szCs w:val="20"/>
                <w:color w:val="auto"/>
              </w:rPr>
            </w:pPr>
            <w:r>
              <w:rPr>
                <w:rFonts w:ascii="Arial" w:cs="Arial" w:eastAsia="Arial" w:hAnsi="Arial"/>
                <w:sz w:val="19"/>
                <w:szCs w:val="19"/>
                <w:color w:val="auto"/>
              </w:rPr>
              <w:t>Delaware</w:t>
            </w:r>
          </w:p>
        </w:tc>
        <w:tc>
          <w:tcPr>
            <w:tcW w:w="2100" w:type="dxa"/>
            <w:vAlign w:val="bottom"/>
          </w:tcPr>
          <w:p>
            <w:pPr>
              <w:jc w:val="right"/>
              <w:ind w:right="503"/>
              <w:spacing w:after="0"/>
              <w:rPr>
                <w:sz w:val="20"/>
                <w:szCs w:val="20"/>
                <w:color w:val="auto"/>
              </w:rPr>
            </w:pPr>
            <w:r>
              <w:rPr>
                <w:rFonts w:ascii="Arial" w:cs="Arial" w:eastAsia="Arial" w:hAnsi="Arial"/>
                <w:sz w:val="17"/>
                <w:szCs w:val="17"/>
                <w:b w:val="1"/>
                <w:bCs w:val="1"/>
                <w:color w:val="auto"/>
              </w:rPr>
              <w:t>41-0580470</w:t>
            </w:r>
          </w:p>
        </w:tc>
      </w:tr>
      <w:tr>
        <w:trPr>
          <w:trHeight w:val="187"/>
        </w:trPr>
        <w:tc>
          <w:tcPr>
            <w:tcW w:w="4940" w:type="dxa"/>
            <w:vAlign w:val="bottom"/>
          </w:tcPr>
          <w:p>
            <w:pPr>
              <w:spacing w:after="0"/>
              <w:rPr>
                <w:sz w:val="20"/>
                <w:szCs w:val="20"/>
                <w:color w:val="auto"/>
              </w:rPr>
            </w:pPr>
            <w:r>
              <w:rPr>
                <w:rFonts w:ascii="Arial" w:cs="Arial" w:eastAsia="Arial" w:hAnsi="Arial"/>
                <w:sz w:val="14"/>
                <w:szCs w:val="14"/>
                <w:color w:val="auto"/>
              </w:rPr>
              <w:t>(State or other jurisdiction of incorporation or organization)</w:t>
            </w:r>
          </w:p>
        </w:tc>
        <w:tc>
          <w:tcPr>
            <w:tcW w:w="2100" w:type="dxa"/>
            <w:vAlign w:val="bottom"/>
          </w:tcPr>
          <w:p>
            <w:pPr>
              <w:jc w:val="center"/>
              <w:ind w:left="23"/>
              <w:spacing w:after="0"/>
              <w:rPr>
                <w:sz w:val="20"/>
                <w:szCs w:val="20"/>
                <w:color w:val="auto"/>
              </w:rPr>
            </w:pPr>
            <w:r>
              <w:rPr>
                <w:rFonts w:ascii="Arial" w:cs="Arial" w:eastAsia="Arial" w:hAnsi="Arial"/>
                <w:sz w:val="14"/>
                <w:szCs w:val="14"/>
                <w:color w:val="auto"/>
                <w:w w:val="92"/>
              </w:rPr>
              <w:t>(I.R.S. Employer Identification No.)</w:t>
            </w:r>
          </w:p>
        </w:tc>
      </w:tr>
      <w:tr>
        <w:trPr>
          <w:trHeight w:val="268"/>
        </w:trPr>
        <w:tc>
          <w:tcPr>
            <w:tcW w:w="4940" w:type="dxa"/>
            <w:vAlign w:val="bottom"/>
          </w:tcPr>
          <w:p>
            <w:pPr>
              <w:ind w:left="2820"/>
              <w:spacing w:after="0"/>
              <w:rPr>
                <w:sz w:val="20"/>
                <w:szCs w:val="20"/>
                <w:color w:val="auto"/>
              </w:rPr>
            </w:pPr>
            <w:r>
              <w:rPr>
                <w:rFonts w:ascii="Arial" w:cs="Arial" w:eastAsia="Arial" w:hAnsi="Arial"/>
                <w:sz w:val="17"/>
                <w:szCs w:val="17"/>
                <w:b w:val="1"/>
                <w:bCs w:val="1"/>
                <w:color w:val="auto"/>
                <w:w w:val="92"/>
              </w:rPr>
              <w:t>8111 Lyndale Avenue South</w:t>
            </w:r>
          </w:p>
        </w:tc>
        <w:tc>
          <w:tcPr>
            <w:tcW w:w="2100" w:type="dxa"/>
            <w:vAlign w:val="bottom"/>
          </w:tcPr>
          <w:p>
            <w:pPr>
              <w:spacing w:after="0"/>
              <w:rPr>
                <w:sz w:val="23"/>
                <w:szCs w:val="23"/>
                <w:color w:val="auto"/>
              </w:rPr>
            </w:pPr>
          </w:p>
        </w:tc>
      </w:tr>
    </w:tbl>
    <w:p>
      <w:pPr>
        <w:jc w:val="center"/>
        <w:ind w:right="-99"/>
        <w:spacing w:after="0"/>
        <w:rPr>
          <w:sz w:val="20"/>
          <w:szCs w:val="20"/>
          <w:color w:val="auto"/>
        </w:rPr>
      </w:pPr>
      <w:r>
        <w:rPr>
          <w:rFonts w:ascii="Arial" w:cs="Arial" w:eastAsia="Arial" w:hAnsi="Arial"/>
          <w:sz w:val="17"/>
          <w:szCs w:val="17"/>
          <w:b w:val="1"/>
          <w:bCs w:val="1"/>
          <w:color w:val="auto"/>
        </w:rPr>
        <w:t>Bloomington, Minnesota 55420-1196</w:t>
      </w:r>
    </w:p>
    <w:p>
      <w:pPr>
        <w:jc w:val="center"/>
        <w:ind w:right="-99"/>
        <w:spacing w:after="0" w:line="220" w:lineRule="auto"/>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ind w:left="4700"/>
        <w:spacing w:after="0"/>
        <w:rPr>
          <w:sz w:val="20"/>
          <w:szCs w:val="20"/>
          <w:color w:val="auto"/>
        </w:rPr>
      </w:pPr>
      <w:r>
        <w:rPr>
          <w:rFonts w:ascii="Arial" w:cs="Arial" w:eastAsia="Arial" w:hAnsi="Arial"/>
          <w:sz w:val="14"/>
          <w:szCs w:val="14"/>
          <w:b w:val="1"/>
          <w:bCs w:val="1"/>
          <w:color w:val="auto"/>
        </w:rPr>
        <w:t>___________________________</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The Toro Company</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2022 Equity and Incentive Plan</w:t>
      </w:r>
    </w:p>
    <w:p>
      <w:pPr>
        <w:jc w:val="center"/>
        <w:ind w:right="-99"/>
        <w:spacing w:after="0"/>
        <w:rPr>
          <w:sz w:val="20"/>
          <w:szCs w:val="20"/>
          <w:color w:val="auto"/>
        </w:rPr>
      </w:pPr>
      <w:r>
        <w:rPr>
          <w:rFonts w:ascii="Arial" w:cs="Arial" w:eastAsia="Arial" w:hAnsi="Arial"/>
          <w:sz w:val="14"/>
          <w:szCs w:val="14"/>
          <w:color w:val="auto"/>
        </w:rPr>
        <w:t>(Full title of the plan)</w:t>
      </w:r>
    </w:p>
    <w:p>
      <w:pPr>
        <w:spacing w:after="0" w:line="72" w:lineRule="exact"/>
        <w:rPr>
          <w:sz w:val="24"/>
          <w:szCs w:val="24"/>
          <w:color w:val="auto"/>
        </w:rPr>
      </w:pPr>
    </w:p>
    <w:p>
      <w:pPr>
        <w:ind w:left="5140"/>
        <w:spacing w:after="0"/>
        <w:rPr>
          <w:sz w:val="20"/>
          <w:szCs w:val="20"/>
          <w:color w:val="auto"/>
        </w:rPr>
      </w:pPr>
      <w:r>
        <w:rPr>
          <w:rFonts w:ascii="Arial" w:cs="Arial" w:eastAsia="Arial" w:hAnsi="Arial"/>
          <w:sz w:val="17"/>
          <w:szCs w:val="17"/>
          <w:b w:val="1"/>
          <w:bCs w:val="1"/>
          <w:color w:val="auto"/>
        </w:rPr>
        <w:t>Amy E. Dahl</w:t>
      </w:r>
    </w:p>
    <w:p>
      <w:pPr>
        <w:spacing w:after="0" w:line="28" w:lineRule="exact"/>
        <w:rPr>
          <w:sz w:val="24"/>
          <w:szCs w:val="24"/>
          <w:color w:val="auto"/>
        </w:rPr>
      </w:pPr>
    </w:p>
    <w:p>
      <w:pPr>
        <w:ind w:left="2780"/>
        <w:spacing w:after="0"/>
        <w:rPr>
          <w:sz w:val="20"/>
          <w:szCs w:val="20"/>
          <w:color w:val="auto"/>
        </w:rPr>
      </w:pPr>
      <w:r>
        <w:rPr>
          <w:rFonts w:ascii="Arial" w:cs="Arial" w:eastAsia="Arial" w:hAnsi="Arial"/>
          <w:sz w:val="17"/>
          <w:szCs w:val="17"/>
          <w:b w:val="1"/>
          <w:bCs w:val="1"/>
          <w:color w:val="auto"/>
        </w:rPr>
        <w:t>Vice President, Human Resources, General Counsel and Corporate Secretary</w:t>
      </w:r>
    </w:p>
    <w:p>
      <w:pPr>
        <w:spacing w:after="0" w:line="11" w:lineRule="exact"/>
        <w:rPr>
          <w:sz w:val="24"/>
          <w:szCs w:val="24"/>
          <w:color w:val="auto"/>
        </w:rPr>
      </w:pPr>
    </w:p>
    <w:p>
      <w:pPr>
        <w:ind w:left="4900"/>
        <w:spacing w:after="0"/>
        <w:rPr>
          <w:sz w:val="20"/>
          <w:szCs w:val="20"/>
          <w:color w:val="auto"/>
        </w:rPr>
      </w:pPr>
      <w:r>
        <w:rPr>
          <w:rFonts w:ascii="Arial" w:cs="Arial" w:eastAsia="Arial" w:hAnsi="Arial"/>
          <w:sz w:val="17"/>
          <w:szCs w:val="17"/>
          <w:b w:val="1"/>
          <w:bCs w:val="1"/>
          <w:color w:val="auto"/>
        </w:rPr>
        <w:t>The Toro Company</w:t>
      </w:r>
    </w:p>
    <w:p>
      <w:pPr>
        <w:spacing w:after="0" w:line="11" w:lineRule="exact"/>
        <w:rPr>
          <w:sz w:val="24"/>
          <w:szCs w:val="24"/>
          <w:color w:val="auto"/>
        </w:rPr>
      </w:pPr>
    </w:p>
    <w:p>
      <w:pPr>
        <w:ind w:left="4600"/>
        <w:spacing w:after="0"/>
        <w:rPr>
          <w:sz w:val="20"/>
          <w:szCs w:val="20"/>
          <w:color w:val="auto"/>
        </w:rPr>
      </w:pPr>
      <w:r>
        <w:rPr>
          <w:rFonts w:ascii="Arial" w:cs="Arial" w:eastAsia="Arial" w:hAnsi="Arial"/>
          <w:sz w:val="17"/>
          <w:szCs w:val="17"/>
          <w:b w:val="1"/>
          <w:bCs w:val="1"/>
          <w:color w:val="auto"/>
        </w:rPr>
        <w:t>8111 Lyndale Avenue South</w:t>
      </w:r>
    </w:p>
    <w:p>
      <w:pPr>
        <w:spacing w:after="0" w:line="11" w:lineRule="exact"/>
        <w:rPr>
          <w:sz w:val="24"/>
          <w:szCs w:val="24"/>
          <w:color w:val="auto"/>
        </w:rPr>
      </w:pPr>
    </w:p>
    <w:p>
      <w:pPr>
        <w:ind w:left="4280"/>
        <w:spacing w:after="0"/>
        <w:rPr>
          <w:sz w:val="20"/>
          <w:szCs w:val="20"/>
          <w:color w:val="auto"/>
        </w:rPr>
      </w:pPr>
      <w:r>
        <w:rPr>
          <w:rFonts w:ascii="Arial" w:cs="Arial" w:eastAsia="Arial" w:hAnsi="Arial"/>
          <w:sz w:val="17"/>
          <w:szCs w:val="17"/>
          <w:b w:val="1"/>
          <w:bCs w:val="1"/>
          <w:color w:val="auto"/>
        </w:rPr>
        <w:t>Bloomington, Minnesota 55420-1196</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and address of agent for service)</w:t>
      </w:r>
    </w:p>
    <w:p>
      <w:pPr>
        <w:spacing w:after="0" w:line="175"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(952) 888-8801</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77"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Copies requested to:</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Amy E. Culbert, Esq.</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Fox Rothschild LLP</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222 South Ninth Street, Suite 2000</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Minneapolis, Minnesota 55402</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(612) 607-7287</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4"/>
          <w:szCs w:val="14"/>
          <w:b w:val="1"/>
          <w:bCs w:val="1"/>
          <w:color w:val="auto"/>
        </w:rPr>
        <w:t>___________________________</w:t>
      </w:r>
    </w:p>
    <w:p>
      <w:pPr>
        <w:spacing w:after="0" w:line="57" w:lineRule="exact"/>
        <w:rPr>
          <w:sz w:val="24"/>
          <w:szCs w:val="24"/>
          <w:color w:val="auto"/>
        </w:rPr>
      </w:pPr>
    </w:p>
    <w:p>
      <w:pPr>
        <w:ind w:right="200" w:firstLine="374"/>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8" w:lineRule="exact"/>
        <w:rPr>
          <w:sz w:val="24"/>
          <w:szCs w:val="24"/>
          <w:color w:val="auto"/>
        </w:rPr>
      </w:pPr>
    </w:p>
    <w:tbl>
      <w:tblPr>
        <w:tblLayout w:type="fixed"/>
        <w:tblInd w:w="1240" w:type="dxa"/>
        <w:tblCellMar>
          <w:top w:w="0" w:type="dxa"/>
          <w:left w:w="0" w:type="dxa"/>
          <w:bottom w:w="0" w:type="dxa"/>
          <w:right w:w="0" w:type="dxa"/>
        </w:tblCellMar>
      </w:tblPr>
      <w:tr>
        <w:trPr>
          <w:trHeight w:val="244"/>
        </w:trPr>
        <w:tc>
          <w:tcPr>
            <w:tcW w:w="1460" w:type="dxa"/>
            <w:vAlign w:val="bottom"/>
          </w:tcPr>
          <w:p>
            <w:pPr>
              <w:spacing w:after="0"/>
              <w:rPr>
                <w:sz w:val="20"/>
                <w:szCs w:val="20"/>
                <w:color w:val="auto"/>
              </w:rPr>
            </w:pPr>
            <w:r>
              <w:rPr>
                <w:rFonts w:ascii="Arial" w:cs="Arial" w:eastAsia="Arial" w:hAnsi="Arial"/>
                <w:sz w:val="15"/>
                <w:szCs w:val="15"/>
                <w:color w:val="auto"/>
                <w:w w:val="97"/>
              </w:rPr>
              <w:t>Large accelerated filer</w:t>
            </w:r>
          </w:p>
        </w:tc>
        <w:tc>
          <w:tcPr>
            <w:tcW w:w="1580" w:type="dxa"/>
            <w:vAlign w:val="bottom"/>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3120" w:type="dxa"/>
            <w:vAlign w:val="bottom"/>
          </w:tcPr>
          <w:p>
            <w:pPr>
              <w:ind w:left="1340"/>
              <w:spacing w:after="0"/>
              <w:rPr>
                <w:sz w:val="20"/>
                <w:szCs w:val="20"/>
                <w:color w:val="auto"/>
              </w:rPr>
            </w:pPr>
            <w:r>
              <w:rPr>
                <w:rFonts w:ascii="Arial" w:cs="Arial" w:eastAsia="Arial" w:hAnsi="Arial"/>
                <w:sz w:val="15"/>
                <w:szCs w:val="15"/>
                <w:color w:val="auto"/>
              </w:rPr>
              <w:t>Accelerated filer</w:t>
            </w:r>
          </w:p>
        </w:tc>
        <w:tc>
          <w:tcPr>
            <w:tcW w:w="220" w:type="dxa"/>
            <w:vAlign w:val="bottom"/>
          </w:tcPr>
          <w:p>
            <w:pPr>
              <w:ind w:left="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5"/>
        </w:trPr>
        <w:tc>
          <w:tcPr>
            <w:tcW w:w="1460" w:type="dxa"/>
            <w:vAlign w:val="bottom"/>
          </w:tcPr>
          <w:p>
            <w:pPr>
              <w:spacing w:after="0"/>
              <w:rPr>
                <w:sz w:val="20"/>
                <w:szCs w:val="20"/>
                <w:color w:val="auto"/>
              </w:rPr>
            </w:pPr>
            <w:r>
              <w:rPr>
                <w:rFonts w:ascii="Arial" w:cs="Arial" w:eastAsia="Arial" w:hAnsi="Arial"/>
                <w:sz w:val="15"/>
                <w:szCs w:val="15"/>
                <w:color w:val="auto"/>
              </w:rPr>
              <w:t>Non-accelerated filer</w:t>
            </w:r>
          </w:p>
        </w:tc>
        <w:tc>
          <w:tcPr>
            <w:tcW w:w="1580" w:type="dxa"/>
            <w:vAlign w:val="bottom"/>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3120" w:type="dxa"/>
            <w:vAlign w:val="bottom"/>
          </w:tcPr>
          <w:p>
            <w:pPr>
              <w:ind w:left="1340"/>
              <w:spacing w:after="0"/>
              <w:rPr>
                <w:sz w:val="20"/>
                <w:szCs w:val="20"/>
                <w:color w:val="auto"/>
              </w:rPr>
            </w:pPr>
            <w:r>
              <w:rPr>
                <w:rFonts w:ascii="Arial" w:cs="Arial" w:eastAsia="Arial" w:hAnsi="Arial"/>
                <w:sz w:val="15"/>
                <w:szCs w:val="15"/>
                <w:color w:val="auto"/>
                <w:w w:val="98"/>
              </w:rPr>
              <w:t>Smaller reporting company</w:t>
            </w:r>
          </w:p>
        </w:tc>
        <w:tc>
          <w:tcPr>
            <w:tcW w:w="220" w:type="dxa"/>
            <w:vAlign w:val="bottom"/>
          </w:tcPr>
          <w:p>
            <w:pPr>
              <w:ind w:left="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5"/>
        </w:trPr>
        <w:tc>
          <w:tcPr>
            <w:tcW w:w="1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120" w:type="dxa"/>
            <w:vAlign w:val="bottom"/>
          </w:tcPr>
          <w:p>
            <w:pPr>
              <w:ind w:left="1340"/>
              <w:spacing w:after="0"/>
              <w:rPr>
                <w:sz w:val="20"/>
                <w:szCs w:val="20"/>
                <w:color w:val="auto"/>
              </w:rPr>
            </w:pPr>
            <w:r>
              <w:rPr>
                <w:rFonts w:ascii="Arial" w:cs="Arial" w:eastAsia="Arial" w:hAnsi="Arial"/>
                <w:sz w:val="15"/>
                <w:szCs w:val="15"/>
                <w:color w:val="auto"/>
                <w:w w:val="98"/>
              </w:rPr>
              <w:t>Emerging growth company</w:t>
            </w:r>
          </w:p>
        </w:tc>
        <w:tc>
          <w:tcPr>
            <w:tcW w:w="220" w:type="dxa"/>
            <w:vAlign w:val="bottom"/>
          </w:tcPr>
          <w:p>
            <w:pPr>
              <w:ind w:left="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76" w:lineRule="exact"/>
        <w:rPr>
          <w:sz w:val="24"/>
          <w:szCs w:val="24"/>
          <w:color w:val="auto"/>
        </w:rPr>
      </w:pPr>
    </w:p>
    <w:p>
      <w:pPr>
        <w:ind w:firstLine="374"/>
        <w:spacing w:after="0" w:line="302"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626745</wp:posOffset>
            </wp:positionV>
            <wp:extent cx="717994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140"/>
          </w:cols>
          <w:pgMar w:left="320" w:top="435"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EXPLANATORY NOTE</w:t>
      </w:r>
    </w:p>
    <w:p>
      <w:pPr>
        <w:spacing w:after="0" w:line="213" w:lineRule="exact"/>
        <w:rPr>
          <w:sz w:val="20"/>
          <w:szCs w:val="20"/>
          <w:color w:val="auto"/>
        </w:rPr>
      </w:pPr>
    </w:p>
    <w:p>
      <w:pPr>
        <w:jc w:val="both"/>
        <w:ind w:firstLine="750"/>
        <w:spacing w:after="0" w:line="260" w:lineRule="auto"/>
        <w:rPr>
          <w:sz w:val="20"/>
          <w:szCs w:val="20"/>
          <w:color w:val="auto"/>
        </w:rPr>
      </w:pPr>
      <w:r>
        <w:rPr>
          <w:rFonts w:ascii="Arial" w:cs="Arial" w:eastAsia="Arial" w:hAnsi="Arial"/>
          <w:sz w:val="18"/>
          <w:szCs w:val="18"/>
          <w:color w:val="auto"/>
        </w:rPr>
        <w:t>The Toro Company (the “Registrant” or the “Company”) has filed this Registration Statement on Form S-8 (this “Registration Statement”) with the Securities and Exchange Commission (the “Commission”) under the Securities Act of 1933, as amended (the “Securities Act”), to register (i) 1,250,000 shares of the Company’s common stock, $1.00 par value per share (“Common Stock”), issuable pursuant to awards under The Toro Company 2022 Equity and Incentive Plan (the “2022 Plan”); (ii) 2,515,966 shares of Common Stock remaining available for issuance under The Toro Company Amended and Restated 2010 Plan, as amended and restated (the “2010 Plan”), as of the effective date of the 2022 Plan (the “Effective Date”) but not subject to outstanding awards as of the Effective Date; and (iii) such indeterminate number of shares as may become available under the 2022 Plan as a result of the adjustment provisions thereof.</w:t>
      </w:r>
    </w:p>
    <w:p>
      <w:pPr>
        <w:spacing w:after="0" w:line="173" w:lineRule="exact"/>
        <w:rPr>
          <w:sz w:val="20"/>
          <w:szCs w:val="20"/>
          <w:color w:val="auto"/>
        </w:rPr>
      </w:pPr>
    </w:p>
    <w:p>
      <w:pPr>
        <w:jc w:val="both"/>
        <w:ind w:firstLine="750"/>
        <w:spacing w:after="0" w:line="265" w:lineRule="auto"/>
        <w:rPr>
          <w:sz w:val="20"/>
          <w:szCs w:val="20"/>
          <w:color w:val="auto"/>
        </w:rPr>
      </w:pPr>
      <w:r>
        <w:rPr>
          <w:rFonts w:ascii="Arial" w:cs="Arial" w:eastAsia="Arial" w:hAnsi="Arial"/>
          <w:sz w:val="19"/>
          <w:szCs w:val="19"/>
          <w:color w:val="auto"/>
        </w:rPr>
        <w:t>The 2022 Plan was approved by the Company’s Board of Directors on January 19, 2022, and was approved and adopted by the Company’s shareholders on March 15, 2022.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Plan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Registrant Information and Employee Annual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99" w:lineRule="exact"/>
        <w:rPr>
          <w:sz w:val="20"/>
          <w:szCs w:val="20"/>
          <w:color w:val="auto"/>
        </w:rPr>
      </w:pPr>
    </w:p>
    <w:p>
      <w:pPr>
        <w:ind w:left="760" w:right="880" w:hanging="757"/>
        <w:spacing w:after="0" w:line="265" w:lineRule="auto"/>
        <w:tabs>
          <w:tab w:leader="none" w:pos="760" w:val="left"/>
        </w:tabs>
        <w:numPr>
          <w:ilvl w:val="0"/>
          <w:numId w:val="1"/>
        </w:numPr>
        <w:rPr>
          <w:rFonts w:ascii="Arial" w:cs="Arial" w:eastAsia="Arial" w:hAnsi="Arial"/>
          <w:sz w:val="19"/>
          <w:szCs w:val="19"/>
          <w:color w:val="auto"/>
        </w:rPr>
      </w:pPr>
      <w:r>
        <w:rPr>
          <w:rFonts w:ascii="Arial" w:cs="Arial" w:eastAsia="Arial" w:hAnsi="Arial"/>
          <w:sz w:val="19"/>
          <w:szCs w:val="19"/>
          <w:color w:val="auto"/>
        </w:rPr>
        <w:t>As permitted under Rule 428 under the Securities Act and the Note to Part I of Form S-8, this Registration Statement omits the information specified in Part I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1109345</wp:posOffset>
            </wp:positionV>
            <wp:extent cx="717994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1"/>
          <w:szCs w:val="21"/>
          <w:b w:val="1"/>
          <w:bCs w:val="1"/>
          <w:color w:val="auto"/>
        </w:rPr>
        <w:t>Part II</w:t>
      </w:r>
    </w:p>
    <w:p>
      <w:pPr>
        <w:spacing w:after="0" w:line="202"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Incorporation of Documents by Reference.</w:t>
      </w:r>
    </w:p>
    <w:p>
      <w:pPr>
        <w:spacing w:after="0" w:line="213" w:lineRule="exact"/>
        <w:rPr>
          <w:sz w:val="20"/>
          <w:szCs w:val="20"/>
          <w:color w:val="auto"/>
        </w:rPr>
      </w:pPr>
    </w:p>
    <w:p>
      <w:pPr>
        <w:ind w:firstLine="864"/>
        <w:spacing w:after="0" w:line="265" w:lineRule="auto"/>
        <w:rPr>
          <w:sz w:val="20"/>
          <w:szCs w:val="20"/>
          <w:color w:val="auto"/>
        </w:rPr>
      </w:pPr>
      <w:r>
        <w:rPr>
          <w:rFonts w:ascii="Arial" w:cs="Arial" w:eastAsia="Arial" w:hAnsi="Arial"/>
          <w:sz w:val="19"/>
          <w:szCs w:val="19"/>
          <w:color w:val="auto"/>
        </w:rPr>
        <w:t>The rules of the Commission allow the Registrant to incorporate by reference information into this Registration Statement. This means that the Registrant may disclose important information to you by referring you to another document.</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documents previously filed by the Registrant with the Commission are incorporated by reference into this Registration</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Statement:</w:t>
      </w:r>
    </w:p>
    <w:p>
      <w:pPr>
        <w:spacing w:after="0" w:line="191" w:lineRule="exact"/>
        <w:rPr>
          <w:sz w:val="20"/>
          <w:szCs w:val="20"/>
          <w:color w:val="auto"/>
        </w:rPr>
      </w:pPr>
    </w:p>
    <w:p>
      <w:pPr>
        <w:ind w:left="1700" w:hanging="845"/>
        <w:spacing w:after="0"/>
        <w:tabs>
          <w:tab w:leader="none" w:pos="1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The Registrant’s </w:t>
      </w:r>
      <w:hyperlink r:id="rId10">
        <w:r>
          <w:rPr>
            <w:rFonts w:ascii="Arial" w:cs="Arial" w:eastAsia="Arial" w:hAnsi="Arial"/>
            <w:sz w:val="19"/>
            <w:szCs w:val="19"/>
            <w:u w:val="single" w:color="auto"/>
            <w:color w:val="auto"/>
          </w:rPr>
          <w:t xml:space="preserve">Annual Report on Form 10-K </w:t>
        </w:r>
      </w:hyperlink>
      <w:r>
        <w:rPr>
          <w:rFonts w:ascii="Arial" w:cs="Arial" w:eastAsia="Arial" w:hAnsi="Arial"/>
          <w:sz w:val="19"/>
          <w:szCs w:val="19"/>
          <w:color w:val="auto"/>
        </w:rPr>
        <w:t>for the fiscal year ended October 31, 2021 (File No. 1-8649);</w:t>
      </w:r>
    </w:p>
    <w:p>
      <w:pPr>
        <w:spacing w:after="0" w:line="220" w:lineRule="exact"/>
        <w:rPr>
          <w:rFonts w:ascii="Arial" w:cs="Arial" w:eastAsia="Arial" w:hAnsi="Arial"/>
          <w:sz w:val="19"/>
          <w:szCs w:val="19"/>
          <w:color w:val="auto"/>
        </w:rPr>
      </w:pPr>
    </w:p>
    <w:p>
      <w:pPr>
        <w:ind w:left="1700" w:hanging="845"/>
        <w:spacing w:after="0"/>
        <w:tabs>
          <w:tab w:leader="none" w:pos="1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w:t>
      </w:r>
      <w:hyperlink r:id="rId11">
        <w:r>
          <w:rPr>
            <w:rFonts w:ascii="Arial" w:cs="Arial" w:eastAsia="Arial" w:hAnsi="Arial"/>
            <w:sz w:val="18"/>
            <w:szCs w:val="18"/>
            <w:u w:val="single" w:color="auto"/>
            <w:color w:val="auto"/>
          </w:rPr>
          <w:t xml:space="preserve">Quarterly Report on Form 10-Q </w:t>
        </w:r>
      </w:hyperlink>
      <w:r>
        <w:rPr>
          <w:rFonts w:ascii="Arial" w:cs="Arial" w:eastAsia="Arial" w:hAnsi="Arial"/>
          <w:sz w:val="18"/>
          <w:szCs w:val="18"/>
          <w:color w:val="auto"/>
        </w:rPr>
        <w:t>for the quarterly period ended January 28, 2022 (File No. 1-8649);</w:t>
      </w:r>
    </w:p>
    <w:p>
      <w:pPr>
        <w:spacing w:after="0" w:line="231" w:lineRule="exact"/>
        <w:rPr>
          <w:rFonts w:ascii="Arial" w:cs="Arial" w:eastAsia="Arial" w:hAnsi="Arial"/>
          <w:sz w:val="18"/>
          <w:szCs w:val="18"/>
          <w:color w:val="auto"/>
        </w:rPr>
      </w:pPr>
    </w:p>
    <w:p>
      <w:pPr>
        <w:ind w:left="1700" w:hanging="845"/>
        <w:spacing w:after="0"/>
        <w:tabs>
          <w:tab w:leader="none" w:pos="1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The Registrant’s Current Report on Form 8-K filed on </w:t>
      </w:r>
      <w:hyperlink r:id="rId12">
        <w:r>
          <w:rPr>
            <w:rFonts w:ascii="Arial" w:cs="Arial" w:eastAsia="Arial" w:hAnsi="Arial"/>
            <w:sz w:val="19"/>
            <w:szCs w:val="19"/>
            <w:u w:val="single" w:color="auto"/>
            <w:color w:val="0000EE"/>
          </w:rPr>
          <w:t>January 14, 2022</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 xml:space="preserve">and </w:t>
      </w:r>
      <w:hyperlink r:id="rId13">
        <w:r>
          <w:rPr>
            <w:rFonts w:ascii="Arial" w:cs="Arial" w:eastAsia="Arial" w:hAnsi="Arial"/>
            <w:sz w:val="19"/>
            <w:szCs w:val="19"/>
            <w:u w:val="single" w:color="auto"/>
            <w:color w:val="0000EE"/>
          </w:rPr>
          <w:t>March 16, 2022</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(File No. 1-8649)</w:t>
      </w:r>
    </w:p>
    <w:p>
      <w:pPr>
        <w:spacing w:after="0" w:line="207" w:lineRule="exact"/>
        <w:rPr>
          <w:rFonts w:ascii="Arial" w:cs="Arial" w:eastAsia="Arial" w:hAnsi="Arial"/>
          <w:sz w:val="19"/>
          <w:szCs w:val="19"/>
          <w:color w:val="auto"/>
        </w:rPr>
      </w:pPr>
    </w:p>
    <w:p>
      <w:pPr>
        <w:jc w:val="both"/>
        <w:ind w:left="1700" w:hanging="845"/>
        <w:spacing w:after="0" w:line="253" w:lineRule="auto"/>
        <w:tabs>
          <w:tab w:leader="none" w:pos="1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The description of the Registrant’s Common Stock contained in the Description of Securities filed as </w:t>
      </w:r>
      <w:hyperlink r:id="rId14">
        <w:r>
          <w:rPr>
            <w:rFonts w:ascii="Arial" w:cs="Arial" w:eastAsia="Arial" w:hAnsi="Arial"/>
            <w:sz w:val="19"/>
            <w:szCs w:val="19"/>
            <w:u w:val="single" w:color="auto"/>
            <w:color w:val="0000EE"/>
          </w:rPr>
          <w:t>Exhibit 4.5</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the Registrant’s Annual Report on Form 10-K for the fiscal year ended October 31, 2021, including any amendments or reports filed for the purpose of updating such description (File No. 1-8649).</w:t>
      </w:r>
    </w:p>
    <w:p>
      <w:pPr>
        <w:spacing w:after="0" w:line="174" w:lineRule="exact"/>
        <w:rPr>
          <w:rFonts w:ascii="Arial" w:cs="Arial" w:eastAsia="Arial" w:hAnsi="Arial"/>
          <w:sz w:val="19"/>
          <w:szCs w:val="19"/>
          <w:color w:val="auto"/>
        </w:rPr>
      </w:pPr>
    </w:p>
    <w:p>
      <w:pPr>
        <w:jc w:val="both"/>
        <w:ind w:firstLine="864"/>
        <w:spacing w:after="0" w:line="264" w:lineRule="auto"/>
        <w:rPr>
          <w:sz w:val="20"/>
          <w:szCs w:val="20"/>
          <w:color w:val="auto"/>
        </w:rPr>
      </w:pPr>
      <w:r>
        <w:rPr>
          <w:rFonts w:ascii="Arial" w:cs="Arial" w:eastAsia="Arial" w:hAnsi="Arial"/>
          <w:sz w:val="18"/>
          <w:szCs w:val="18"/>
          <w:color w:val="auto"/>
        </w:rPr>
        <w:t>In addition, all documents filed with the Commission by the Registrant (other than portions of such documents which are furnished and not filed) pursuant to Sections 13(a), 13(c), 14 and 15(d) of the Securities Exchange Act of 1934, as amended (the “Exchange Act”) subsequent to the date of this Registration Statement and prior to the filing of a post-effective amendment which indicates that all securities offered hereby have been sold or which deregisters all such securities then remaining unsold, shall be deemed to be incorporated by reference in this Registration Statement and to be a part hereof from the time of filing of such documents.</w:t>
      </w:r>
    </w:p>
    <w:p>
      <w:pPr>
        <w:spacing w:after="0" w:line="165" w:lineRule="exact"/>
        <w:rPr>
          <w:rFonts w:ascii="Arial" w:cs="Arial" w:eastAsia="Arial" w:hAnsi="Arial"/>
          <w:sz w:val="19"/>
          <w:szCs w:val="19"/>
          <w:color w:val="auto"/>
        </w:rPr>
      </w:pPr>
    </w:p>
    <w:p>
      <w:pPr>
        <w:jc w:val="both"/>
        <w:ind w:firstLine="864"/>
        <w:spacing w:after="0" w:line="247" w:lineRule="auto"/>
        <w:rPr>
          <w:sz w:val="20"/>
          <w:szCs w:val="20"/>
          <w:color w:val="auto"/>
        </w:rPr>
      </w:pPr>
      <w:r>
        <w:rPr>
          <w:rFonts w:ascii="Arial" w:cs="Arial" w:eastAsia="Arial" w:hAnsi="Arial"/>
          <w:sz w:val="19"/>
          <w:szCs w:val="19"/>
          <w:color w:val="auto"/>
        </w:rPr>
        <w:t>Any statement contained in the documents incorporated or deemed to be incorporated by reference in this Registration Statement shall be deemed to be modified or superseded for purposes of this Registration Statement to the extent that a statement contained herein or in any other subsequently filed document which also is incorporated or deemed to be incorporated by reference in this Registration Statement modifies or supersedes such statement. Any such statement so modified or superseded shall not be deemed, except as so modified or superseded, to constitute a part of this Registration Statement.</w:t>
      </w:r>
    </w:p>
    <w:p>
      <w:pPr>
        <w:spacing w:after="0" w:line="173"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19"/>
          <w:szCs w:val="19"/>
          <w:b w:val="1"/>
          <w:bCs w:val="1"/>
          <w:color w:val="auto"/>
        </w:rPr>
        <w:t>Item 4. Description of Securities.</w:t>
      </w:r>
    </w:p>
    <w:p>
      <w:pPr>
        <w:spacing w:after="0" w:line="213" w:lineRule="exact"/>
        <w:rPr>
          <w:rFonts w:ascii="Arial" w:cs="Arial" w:eastAsia="Arial" w:hAnsi="Arial"/>
          <w:sz w:val="19"/>
          <w:szCs w:val="19"/>
          <w:color w:val="auto"/>
        </w:rPr>
      </w:pPr>
    </w:p>
    <w:p>
      <w:pPr>
        <w:ind w:left="860"/>
        <w:spacing w:after="0"/>
        <w:rPr>
          <w:sz w:val="20"/>
          <w:szCs w:val="20"/>
          <w:color w:val="auto"/>
        </w:rPr>
      </w:pPr>
      <w:r>
        <w:rPr>
          <w:rFonts w:ascii="Arial" w:cs="Arial" w:eastAsia="Arial" w:hAnsi="Arial"/>
          <w:sz w:val="19"/>
          <w:szCs w:val="19"/>
          <w:color w:val="auto"/>
        </w:rPr>
        <w:t>Not applicable.</w:t>
      </w:r>
    </w:p>
    <w:p>
      <w:pPr>
        <w:spacing w:after="0" w:line="201"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19"/>
          <w:szCs w:val="19"/>
          <w:b w:val="1"/>
          <w:bCs w:val="1"/>
          <w:color w:val="auto"/>
        </w:rPr>
        <w:t>Item 5. Interests of Named Experts and Counsel.</w:t>
      </w:r>
    </w:p>
    <w:p>
      <w:pPr>
        <w:spacing w:after="0" w:line="213" w:lineRule="exact"/>
        <w:rPr>
          <w:rFonts w:ascii="Arial" w:cs="Arial" w:eastAsia="Arial" w:hAnsi="Arial"/>
          <w:sz w:val="19"/>
          <w:szCs w:val="19"/>
          <w:color w:val="auto"/>
        </w:rPr>
      </w:pPr>
    </w:p>
    <w:p>
      <w:pPr>
        <w:jc w:val="both"/>
        <w:ind w:firstLine="864"/>
        <w:spacing w:after="0" w:line="253" w:lineRule="auto"/>
        <w:rPr>
          <w:sz w:val="20"/>
          <w:szCs w:val="20"/>
          <w:color w:val="auto"/>
        </w:rPr>
      </w:pPr>
      <w:r>
        <w:rPr>
          <w:rFonts w:ascii="Arial" w:cs="Arial" w:eastAsia="Arial" w:hAnsi="Arial"/>
          <w:sz w:val="19"/>
          <w:szCs w:val="19"/>
          <w:color w:val="auto"/>
        </w:rPr>
        <w:t>The opinion of counsel as to the legality of the securities being registered, which is Exhibit 5.1 to this Registration Statement, is rendered by Amy E. Dahl, Vice President, Human Resources, General Counsel and Corporate Secretary of the Registrant. Ms. Dahl is eligible to participate in the 2022 Plan and</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-10160</wp:posOffset>
            </wp:positionH>
            <wp:positionV relativeFrom="paragraph">
              <wp:posOffset>304800</wp:posOffset>
            </wp:positionV>
            <wp:extent cx="717994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beneficially owns, or has rights to acquire, an aggregate of less than 0.5% of the Registrant’s outstanding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Indemnification of Directors and Officers.</w:t>
      </w:r>
    </w:p>
    <w:p>
      <w:pPr>
        <w:spacing w:after="0" w:line="213"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7"/>
          <w:szCs w:val="17"/>
          <w:color w:val="auto"/>
        </w:rPr>
        <w:t>Section 145(a) of the General Corporation Law of the State of Delaware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65"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as the Delaware Court of Chancery or such other court shall deem proper.</w:t>
      </w:r>
    </w:p>
    <w:p>
      <w:pPr>
        <w:spacing w:after="0" w:line="16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19"/>
          <w:szCs w:val="19"/>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Additionally, the corporation may indemnify any other person who is not a present or former director or officer of the corporation against expenses (including attorneys’ fees) actually and reasonably incurred by such person to the extent he or she has been successful on the merits or otherwise in defense of any action, suit or proceeding referred to in subsections (a) and (b) of Section 145, or in defense of any claim, issue or matter therein.</w:t>
      </w:r>
    </w:p>
    <w:p>
      <w:pPr>
        <w:spacing w:after="0" w:line="181"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7"/>
          <w:szCs w:val="17"/>
          <w:color w:val="auto"/>
        </w:rPr>
        <w:t>Section 145(d) of the DGCL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283210</wp:posOffset>
            </wp:positionV>
            <wp:extent cx="717994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 w:name="page5"/>
    <w:bookmarkEnd w:id="4"/>
    <w:p>
      <w:pPr>
        <w:jc w:val="both"/>
        <w:spacing w:after="0" w:line="287" w:lineRule="auto"/>
        <w:rPr>
          <w:sz w:val="20"/>
          <w:szCs w:val="20"/>
          <w:color w:val="auto"/>
        </w:rPr>
      </w:pPr>
      <w:r>
        <w:rPr>
          <w:rFonts w:ascii="Arial" w:cs="Arial" w:eastAsia="Arial" w:hAnsi="Arial"/>
          <w:sz w:val="17"/>
          <w:szCs w:val="17"/>
          <w:color w:val="auto"/>
        </w:rPr>
        <w:t>subsections (a) and (b) of Section 145. Such determination shall be made with respect to a person who is a director or officer of the corporation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49"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19"/>
          <w:szCs w:val="19"/>
          <w:color w:val="auto"/>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77"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18"/>
          <w:szCs w:val="18"/>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16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9"/>
          <w:szCs w:val="19"/>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74"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for any breach of the director’s duty of loyalty to the corporation or its stockholders, for acts or omissions not in good faith or which involve intentional misconduct or a knowing violation of law, for unlawful payments of dividends or unlawful stock repurchases, redemptions or other distributions, or for any transaction from which the director derived an improper personal benefit.</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9"/>
          <w:szCs w:val="19"/>
          <w:b w:val="1"/>
          <w:bCs w:val="1"/>
          <w:i w:val="1"/>
          <w:iCs w:val="1"/>
          <w:color w:val="auto"/>
        </w:rPr>
        <w:t>The Registrant’s Restated Certificate of Incorporation</w:t>
      </w:r>
    </w:p>
    <w:p>
      <w:pPr>
        <w:spacing w:after="0" w:line="20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Article X of the Registrant’s Restated Certificate of Incorporation mandates indemnification of a director or officer of the Registrant or a person serving at the request of the Registrant as a director, officer, employee or agent of another entity to the fullest extent authorized by the DGCL against expenses, liability and loss and authorizes the Board to express such rights in written contracts.</w:t>
      </w:r>
    </w:p>
    <w:p>
      <w:pPr>
        <w:spacing w:after="0" w:line="15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9"/>
          <w:szCs w:val="19"/>
          <w:color w:val="auto"/>
        </w:rPr>
        <w:t>Article X of the Registrant’s Restated Certificate of Incorporation provides, in accordance with Section 102(b)(7) of the DGCL, for the elimination of the personal liability of a director to the Registrant or its shareholders for monetary damages for breach of fiduciary duty as a director under certain circumstances.</w:t>
      </w:r>
    </w:p>
    <w:p>
      <w:pPr>
        <w:spacing w:after="0" w:line="174"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The above discussion of the Registrant’s Restated Certificate of Incorporation and of Sections 102(b)(7) and 145 of the DGCL is not intended to be exhaustive and is qualified in its entirety by the Restated Certificate of Incorporation and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297815</wp:posOffset>
            </wp:positionV>
            <wp:extent cx="717994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 w:name="page6"/>
    <w:bookmarkEnd w:id="5"/>
    <w:p>
      <w:pPr>
        <w:jc w:val="both"/>
        <w:ind w:firstLine="864"/>
        <w:spacing w:after="0" w:line="297" w:lineRule="auto"/>
        <w:rPr>
          <w:sz w:val="20"/>
          <w:szCs w:val="20"/>
          <w:color w:val="auto"/>
        </w:rPr>
      </w:pPr>
      <w:r>
        <w:rPr>
          <w:rFonts w:ascii="Arial" w:cs="Arial" w:eastAsia="Arial" w:hAnsi="Arial"/>
          <w:sz w:val="17"/>
          <w:szCs w:val="17"/>
          <w:color w:val="auto"/>
        </w:rPr>
        <w:t>The Registrant has entered into indemnification agreements with each of its non-employee directors pursuant to which the Registrant has agreed to indemnify each such director to the fullest extent permitted by law against any expenses, judgments, fines, penalties and amounts paid or owing that arise out of events or occurrences related to such director’s status, capacities and activities with the Registrant.</w:t>
      </w:r>
    </w:p>
    <w:p>
      <w:pPr>
        <w:spacing w:after="0" w:line="13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9"/>
          <w:szCs w:val="19"/>
          <w:color w:val="auto"/>
        </w:rPr>
        <w:t>The Registrant also maintains liability insurance policies which provide for indemnification of a director or officer of the Registrant or a person serving at the request of the Registrant as a director, officer, employee or agent of another entity against certain liabilities under certain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 Exemption from Registration Claimed.</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Not applicable.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 Exhibits.</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following exhibits are filed with or incorporated by reference into this Registration Statement:</w:t>
      </w:r>
    </w:p>
    <w:p>
      <w:pPr>
        <w:spacing w:after="0" w:line="201" w:lineRule="exact"/>
        <w:rPr>
          <w:sz w:val="20"/>
          <w:szCs w:val="20"/>
          <w:color w:val="auto"/>
        </w:rPr>
      </w:pPr>
    </w:p>
    <w:tbl>
      <w:tblPr>
        <w:tblLayout w:type="fixed"/>
        <w:tblInd w:w="1600" w:type="dxa"/>
        <w:tblCellMar>
          <w:top w:w="0" w:type="dxa"/>
          <w:left w:w="0" w:type="dxa"/>
          <w:bottom w:w="0" w:type="dxa"/>
          <w:right w:w="0" w:type="dxa"/>
        </w:tblCellMar>
      </w:tblPr>
      <w:tr>
        <w:trPr>
          <w:trHeight w:val="251"/>
        </w:trPr>
        <w:tc>
          <w:tcPr>
            <w:tcW w:w="15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Exhibit No.</w:t>
            </w:r>
          </w:p>
        </w:tc>
        <w:tc>
          <w:tcPr>
            <w:tcW w:w="6560" w:type="dxa"/>
            <w:vAlign w:val="bottom"/>
            <w:tcBorders>
              <w:bottom w:val="single" w:sz="8" w:color="auto"/>
            </w:tcBorders>
            <w:gridSpan w:val="9"/>
          </w:tcPr>
          <w:p>
            <w:pPr>
              <w:spacing w:after="0"/>
              <w:rPr>
                <w:sz w:val="20"/>
                <w:szCs w:val="20"/>
                <w:color w:val="auto"/>
              </w:rPr>
            </w:pPr>
            <w:r>
              <w:rPr>
                <w:rFonts w:ascii="Arial" w:cs="Arial" w:eastAsia="Arial" w:hAnsi="Arial"/>
                <w:sz w:val="19"/>
                <w:szCs w:val="19"/>
                <w:b w:val="1"/>
                <w:bCs w:val="1"/>
                <w:color w:val="auto"/>
              </w:rPr>
              <w:t>Description</w:t>
            </w:r>
          </w:p>
        </w:tc>
      </w:tr>
      <w:tr>
        <w:trPr>
          <w:trHeight w:val="178"/>
        </w:trPr>
        <w:tc>
          <w:tcPr>
            <w:tcW w:w="1500" w:type="dxa"/>
            <w:vAlign w:val="bottom"/>
          </w:tcPr>
          <w:p>
            <w:pPr>
              <w:spacing w:after="0" w:line="178" w:lineRule="exact"/>
              <w:rPr>
                <w:sz w:val="20"/>
                <w:szCs w:val="20"/>
                <w:color w:val="auto"/>
              </w:rPr>
            </w:pPr>
            <w:r>
              <w:rPr>
                <w:rFonts w:ascii="Arial" w:cs="Arial" w:eastAsia="Arial" w:hAnsi="Arial"/>
                <w:sz w:val="19"/>
                <w:szCs w:val="19"/>
                <w:color w:val="auto"/>
              </w:rPr>
              <w:t>4.1</w:t>
            </w:r>
          </w:p>
        </w:tc>
        <w:tc>
          <w:tcPr>
            <w:tcW w:w="6560" w:type="dxa"/>
            <w:vAlign w:val="bottom"/>
            <w:gridSpan w:val="9"/>
          </w:tcPr>
          <w:p>
            <w:pPr>
              <w:spacing w:after="0" w:line="178" w:lineRule="exact"/>
              <w:rPr>
                <w:rFonts w:ascii="Arial" w:cs="Arial" w:eastAsia="Arial" w:hAnsi="Arial"/>
                <w:sz w:val="19"/>
                <w:szCs w:val="19"/>
                <w:color w:val="0000EE"/>
                <w:w w:val="95"/>
              </w:rPr>
            </w:pPr>
            <w:hyperlink r:id="rId18">
              <w:r>
                <w:rPr>
                  <w:rFonts w:ascii="Arial" w:cs="Arial" w:eastAsia="Arial" w:hAnsi="Arial"/>
                  <w:sz w:val="19"/>
                  <w:szCs w:val="19"/>
                  <w:color w:val="0000EE"/>
                  <w:w w:val="95"/>
                </w:rPr>
                <w:t>Restated  Certificate  of  Incorporation  of  The  Toro  Company  (incorporated  by</w:t>
              </w:r>
            </w:hyperlink>
          </w:p>
        </w:tc>
      </w:tr>
      <w:tr>
        <w:trPr>
          <w:trHeight w:val="20"/>
        </w:trPr>
        <w:tc>
          <w:tcPr>
            <w:tcW w:w="150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500" w:type="dxa"/>
            <w:vAlign w:val="bottom"/>
          </w:tcPr>
          <w:p>
            <w:pPr>
              <w:spacing w:after="0"/>
              <w:rPr>
                <w:sz w:val="17"/>
                <w:szCs w:val="17"/>
                <w:color w:val="auto"/>
              </w:rPr>
            </w:pPr>
          </w:p>
        </w:tc>
        <w:tc>
          <w:tcPr>
            <w:tcW w:w="6560" w:type="dxa"/>
            <w:vAlign w:val="bottom"/>
            <w:gridSpan w:val="9"/>
          </w:tcPr>
          <w:p>
            <w:pPr>
              <w:spacing w:after="0" w:line="200" w:lineRule="exact"/>
              <w:rPr>
                <w:rFonts w:ascii="Arial" w:cs="Arial" w:eastAsia="Arial" w:hAnsi="Arial"/>
                <w:sz w:val="19"/>
                <w:szCs w:val="19"/>
                <w:color w:val="0000EE"/>
                <w:w w:val="94"/>
              </w:rPr>
            </w:pPr>
            <w:hyperlink r:id="rId18">
              <w:r>
                <w:rPr>
                  <w:rFonts w:ascii="Arial" w:cs="Arial" w:eastAsia="Arial" w:hAnsi="Arial"/>
                  <w:sz w:val="19"/>
                  <w:szCs w:val="19"/>
                  <w:color w:val="0000EE"/>
                  <w:w w:val="94"/>
                </w:rPr>
                <w:t>reference to Exhibit 3.1 to Registrant’s Current Report on Form 8-K dated June 17,</w:t>
              </w:r>
            </w:hyperlink>
          </w:p>
        </w:tc>
      </w:tr>
      <w:tr>
        <w:trPr>
          <w:trHeight w:val="199"/>
        </w:trPr>
        <w:tc>
          <w:tcPr>
            <w:tcW w:w="15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3"/>
          </w:tcPr>
          <w:p>
            <w:pPr>
              <w:spacing w:after="0" w:line="200" w:lineRule="exact"/>
              <w:rPr>
                <w:rFonts w:ascii="Arial" w:cs="Arial" w:eastAsia="Arial" w:hAnsi="Arial"/>
                <w:sz w:val="19"/>
                <w:szCs w:val="19"/>
                <w:color w:val="0000EE"/>
                <w:w w:val="91"/>
              </w:rPr>
            </w:pPr>
            <w:hyperlink r:id="rId18">
              <w:r>
                <w:rPr>
                  <w:rFonts w:ascii="Arial" w:cs="Arial" w:eastAsia="Arial" w:hAnsi="Arial"/>
                  <w:sz w:val="19"/>
                  <w:szCs w:val="19"/>
                  <w:color w:val="0000EE"/>
                  <w:w w:val="91"/>
                </w:rPr>
                <w:t>2008, Commission File No. 1-8649)</w:t>
              </w:r>
            </w:hyperlink>
          </w:p>
        </w:tc>
        <w:tc>
          <w:tcPr>
            <w:tcW w:w="378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03"/>
        </w:trPr>
        <w:tc>
          <w:tcPr>
            <w:tcW w:w="1500" w:type="dxa"/>
            <w:vAlign w:val="bottom"/>
          </w:tcPr>
          <w:p>
            <w:pPr>
              <w:spacing w:after="0"/>
              <w:rPr>
                <w:sz w:val="20"/>
                <w:szCs w:val="20"/>
                <w:color w:val="auto"/>
              </w:rPr>
            </w:pPr>
            <w:r>
              <w:rPr>
                <w:rFonts w:ascii="Arial" w:cs="Arial" w:eastAsia="Arial" w:hAnsi="Arial"/>
                <w:sz w:val="19"/>
                <w:szCs w:val="19"/>
                <w:color w:val="auto"/>
              </w:rPr>
              <w:t>4.2</w:t>
            </w:r>
          </w:p>
        </w:tc>
        <w:tc>
          <w:tcPr>
            <w:tcW w:w="6560" w:type="dxa"/>
            <w:vAlign w:val="bottom"/>
            <w:gridSpan w:val="9"/>
          </w:tcPr>
          <w:p>
            <w:pPr>
              <w:spacing w:after="0"/>
              <w:rPr>
                <w:rFonts w:ascii="Arial" w:cs="Arial" w:eastAsia="Arial" w:hAnsi="Arial"/>
                <w:sz w:val="19"/>
                <w:szCs w:val="19"/>
                <w:color w:val="0000EE"/>
              </w:rPr>
            </w:pPr>
            <w:hyperlink r:id="rId19">
              <w:r>
                <w:rPr>
                  <w:rFonts w:ascii="Arial" w:cs="Arial" w:eastAsia="Arial" w:hAnsi="Arial"/>
                  <w:sz w:val="19"/>
                  <w:szCs w:val="19"/>
                  <w:color w:val="0000EE"/>
                </w:rPr>
                <w:t>Certificate of Amendment to Restated Certificate of Incorporation of The Toro</w:t>
              </w:r>
            </w:hyperlink>
          </w:p>
        </w:tc>
      </w:tr>
      <w:tr>
        <w:trPr>
          <w:trHeight w:val="20"/>
        </w:trPr>
        <w:tc>
          <w:tcPr>
            <w:tcW w:w="150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500" w:type="dxa"/>
            <w:vAlign w:val="bottom"/>
          </w:tcPr>
          <w:p>
            <w:pPr>
              <w:spacing w:after="0"/>
              <w:rPr>
                <w:sz w:val="17"/>
                <w:szCs w:val="17"/>
                <w:color w:val="auto"/>
              </w:rPr>
            </w:pPr>
          </w:p>
        </w:tc>
        <w:tc>
          <w:tcPr>
            <w:tcW w:w="6560" w:type="dxa"/>
            <w:vAlign w:val="bottom"/>
            <w:tcBorders>
              <w:bottom w:val="single" w:sz="8" w:color="0000EE"/>
            </w:tcBorders>
            <w:gridSpan w:val="9"/>
          </w:tcPr>
          <w:p>
            <w:pPr>
              <w:spacing w:after="0" w:line="200" w:lineRule="exact"/>
              <w:rPr>
                <w:rFonts w:ascii="Arial" w:cs="Arial" w:eastAsia="Arial" w:hAnsi="Arial"/>
                <w:sz w:val="19"/>
                <w:szCs w:val="19"/>
                <w:color w:val="0000EE"/>
                <w:w w:val="92"/>
              </w:rPr>
            </w:pPr>
            <w:hyperlink r:id="rId19">
              <w:r>
                <w:rPr>
                  <w:rFonts w:ascii="Arial" w:cs="Arial" w:eastAsia="Arial" w:hAnsi="Arial"/>
                  <w:sz w:val="19"/>
                  <w:szCs w:val="19"/>
                  <w:color w:val="0000EE"/>
                  <w:w w:val="92"/>
                </w:rPr>
                <w:t>Company (incorporated by reference to Exhibit 3.1 to Registrant’s Current Report on</w:t>
              </w:r>
            </w:hyperlink>
          </w:p>
        </w:tc>
      </w:tr>
      <w:tr>
        <w:trPr>
          <w:trHeight w:val="199"/>
        </w:trPr>
        <w:tc>
          <w:tcPr>
            <w:tcW w:w="1500" w:type="dxa"/>
            <w:vAlign w:val="bottom"/>
          </w:tcPr>
          <w:p>
            <w:pPr>
              <w:spacing w:after="0"/>
              <w:rPr>
                <w:sz w:val="17"/>
                <w:szCs w:val="17"/>
                <w:color w:val="auto"/>
              </w:rPr>
            </w:pPr>
          </w:p>
        </w:tc>
        <w:tc>
          <w:tcPr>
            <w:tcW w:w="4840" w:type="dxa"/>
            <w:vAlign w:val="bottom"/>
            <w:tcBorders>
              <w:bottom w:val="single" w:sz="8" w:color="0000EE"/>
            </w:tcBorders>
            <w:gridSpan w:val="7"/>
          </w:tcPr>
          <w:p>
            <w:pPr>
              <w:spacing w:after="0" w:line="200" w:lineRule="exact"/>
              <w:rPr>
                <w:rFonts w:ascii="Arial" w:cs="Arial" w:eastAsia="Arial" w:hAnsi="Arial"/>
                <w:sz w:val="19"/>
                <w:szCs w:val="19"/>
                <w:color w:val="0000EE"/>
                <w:w w:val="91"/>
              </w:rPr>
            </w:pPr>
            <w:hyperlink r:id="rId19">
              <w:r>
                <w:rPr>
                  <w:rFonts w:ascii="Arial" w:cs="Arial" w:eastAsia="Arial" w:hAnsi="Arial"/>
                  <w:sz w:val="19"/>
                  <w:szCs w:val="19"/>
                  <w:color w:val="0000EE"/>
                  <w:w w:val="91"/>
                </w:rPr>
                <w:t>Form 8-K dated March 12, 2013, Commission File No. 1-8649)</w:t>
              </w:r>
            </w:hyperlink>
          </w:p>
        </w:tc>
        <w:tc>
          <w:tcPr>
            <w:tcW w:w="1720" w:type="dxa"/>
            <w:vAlign w:val="bottom"/>
            <w:gridSpan w:val="2"/>
          </w:tcPr>
          <w:p>
            <w:pPr>
              <w:spacing w:after="0"/>
              <w:rPr>
                <w:sz w:val="17"/>
                <w:szCs w:val="17"/>
                <w:color w:val="auto"/>
              </w:rPr>
            </w:pPr>
          </w:p>
        </w:tc>
      </w:tr>
      <w:tr>
        <w:trPr>
          <w:trHeight w:val="303"/>
        </w:trPr>
        <w:tc>
          <w:tcPr>
            <w:tcW w:w="1500" w:type="dxa"/>
            <w:vAlign w:val="bottom"/>
          </w:tcPr>
          <w:p>
            <w:pPr>
              <w:spacing w:after="0"/>
              <w:rPr>
                <w:sz w:val="20"/>
                <w:szCs w:val="20"/>
                <w:color w:val="auto"/>
              </w:rPr>
            </w:pPr>
            <w:r>
              <w:rPr>
                <w:rFonts w:ascii="Arial" w:cs="Arial" w:eastAsia="Arial" w:hAnsi="Arial"/>
                <w:sz w:val="19"/>
                <w:szCs w:val="19"/>
                <w:color w:val="auto"/>
              </w:rPr>
              <w:t>4.3</w:t>
            </w:r>
          </w:p>
        </w:tc>
        <w:tc>
          <w:tcPr>
            <w:tcW w:w="6560" w:type="dxa"/>
            <w:vAlign w:val="bottom"/>
            <w:tcBorders>
              <w:bottom w:val="single" w:sz="8" w:color="0000EE"/>
            </w:tcBorders>
            <w:gridSpan w:val="9"/>
          </w:tcPr>
          <w:p>
            <w:pPr>
              <w:spacing w:after="0"/>
              <w:rPr>
                <w:rFonts w:ascii="Arial" w:cs="Arial" w:eastAsia="Arial" w:hAnsi="Arial"/>
                <w:sz w:val="19"/>
                <w:szCs w:val="19"/>
                <w:color w:val="0000EE"/>
                <w:w w:val="92"/>
              </w:rPr>
            </w:pPr>
            <w:hyperlink r:id="rId20">
              <w:r>
                <w:rPr>
                  <w:rFonts w:ascii="Arial" w:cs="Arial" w:eastAsia="Arial" w:hAnsi="Arial"/>
                  <w:sz w:val="19"/>
                  <w:szCs w:val="19"/>
                  <w:color w:val="0000EE"/>
                  <w:w w:val="92"/>
                </w:rPr>
                <w:t>Amended and Restated Bylaws of The Toro Company (incorporated by reference to</w:t>
              </w:r>
            </w:hyperlink>
          </w:p>
        </w:tc>
      </w:tr>
      <w:tr>
        <w:trPr>
          <w:trHeight w:val="199"/>
        </w:trPr>
        <w:tc>
          <w:tcPr>
            <w:tcW w:w="1500" w:type="dxa"/>
            <w:vAlign w:val="bottom"/>
          </w:tcPr>
          <w:p>
            <w:pPr>
              <w:spacing w:after="0"/>
              <w:rPr>
                <w:sz w:val="17"/>
                <w:szCs w:val="17"/>
                <w:color w:val="auto"/>
              </w:rPr>
            </w:pPr>
          </w:p>
        </w:tc>
        <w:tc>
          <w:tcPr>
            <w:tcW w:w="6560" w:type="dxa"/>
            <w:vAlign w:val="bottom"/>
            <w:gridSpan w:val="9"/>
          </w:tcPr>
          <w:p>
            <w:pPr>
              <w:spacing w:after="0" w:line="200" w:lineRule="exact"/>
              <w:rPr>
                <w:rFonts w:ascii="Arial" w:cs="Arial" w:eastAsia="Arial" w:hAnsi="Arial"/>
                <w:sz w:val="19"/>
                <w:szCs w:val="19"/>
                <w:color w:val="0000EE"/>
              </w:rPr>
            </w:pPr>
            <w:hyperlink r:id="rId20">
              <w:r>
                <w:rPr>
                  <w:rFonts w:ascii="Arial" w:cs="Arial" w:eastAsia="Arial" w:hAnsi="Arial"/>
                  <w:sz w:val="19"/>
                  <w:szCs w:val="19"/>
                  <w:color w:val="0000EE"/>
                </w:rPr>
                <w:t>Exhibit 3.1 to Registrant’s Current Report on Form 8-K dated July 19, 2016,</w:t>
              </w:r>
            </w:hyperlink>
          </w:p>
        </w:tc>
      </w:tr>
      <w:tr>
        <w:trPr>
          <w:trHeight w:val="199"/>
        </w:trPr>
        <w:tc>
          <w:tcPr>
            <w:tcW w:w="1500" w:type="dxa"/>
            <w:vAlign w:val="bottom"/>
          </w:tcPr>
          <w:p>
            <w:pPr>
              <w:spacing w:after="0"/>
              <w:rPr>
                <w:sz w:val="17"/>
                <w:szCs w:val="17"/>
                <w:color w:val="auto"/>
              </w:rPr>
            </w:pPr>
          </w:p>
        </w:tc>
        <w:tc>
          <w:tcPr>
            <w:tcW w:w="2280" w:type="dxa"/>
            <w:vAlign w:val="bottom"/>
            <w:tcBorders>
              <w:top w:val="single" w:sz="8" w:color="0000EE"/>
              <w:bottom w:val="single" w:sz="8" w:color="0000EE"/>
            </w:tcBorders>
          </w:tcPr>
          <w:p>
            <w:pPr>
              <w:spacing w:after="0" w:line="200" w:lineRule="exact"/>
              <w:rPr>
                <w:rFonts w:ascii="Arial" w:cs="Arial" w:eastAsia="Arial" w:hAnsi="Arial"/>
                <w:sz w:val="19"/>
                <w:szCs w:val="19"/>
                <w:color w:val="0000EE"/>
                <w:w w:val="91"/>
              </w:rPr>
            </w:pPr>
            <w:hyperlink r:id="rId20">
              <w:r>
                <w:rPr>
                  <w:rFonts w:ascii="Arial" w:cs="Arial" w:eastAsia="Arial" w:hAnsi="Arial"/>
                  <w:sz w:val="19"/>
                  <w:szCs w:val="19"/>
                  <w:color w:val="0000EE"/>
                  <w:w w:val="91"/>
                </w:rPr>
                <w:t>Commission File No. 1-8649)</w:t>
              </w:r>
            </w:hyperlink>
          </w:p>
        </w:tc>
        <w:tc>
          <w:tcPr>
            <w:tcW w:w="426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03"/>
        </w:trPr>
        <w:tc>
          <w:tcPr>
            <w:tcW w:w="1500" w:type="dxa"/>
            <w:vAlign w:val="bottom"/>
          </w:tcPr>
          <w:p>
            <w:pPr>
              <w:spacing w:after="0"/>
              <w:rPr>
                <w:sz w:val="20"/>
                <w:szCs w:val="20"/>
                <w:color w:val="auto"/>
              </w:rPr>
            </w:pPr>
            <w:r>
              <w:rPr>
                <w:rFonts w:ascii="Arial" w:cs="Arial" w:eastAsia="Arial" w:hAnsi="Arial"/>
                <w:sz w:val="19"/>
                <w:szCs w:val="19"/>
                <w:color w:val="auto"/>
              </w:rPr>
              <w:t>4.4</w:t>
            </w:r>
          </w:p>
        </w:tc>
        <w:tc>
          <w:tcPr>
            <w:tcW w:w="6560" w:type="dxa"/>
            <w:vAlign w:val="bottom"/>
            <w:tcBorders>
              <w:bottom w:val="single" w:sz="8" w:color="0000EE"/>
            </w:tcBorders>
            <w:gridSpan w:val="9"/>
          </w:tcPr>
          <w:p>
            <w:pPr>
              <w:spacing w:after="0"/>
              <w:rPr>
                <w:rFonts w:ascii="Arial" w:cs="Arial" w:eastAsia="Arial" w:hAnsi="Arial"/>
                <w:sz w:val="19"/>
                <w:szCs w:val="19"/>
                <w:color w:val="0000EE"/>
                <w:w w:val="94"/>
              </w:rPr>
            </w:pPr>
            <w:hyperlink r:id="rId21">
              <w:r>
                <w:rPr>
                  <w:rFonts w:ascii="Arial" w:cs="Arial" w:eastAsia="Arial" w:hAnsi="Arial"/>
                  <w:sz w:val="19"/>
                  <w:szCs w:val="19"/>
                  <w:color w:val="0000EE"/>
                  <w:w w:val="94"/>
                </w:rPr>
                <w:t>Specimen Form of Common Stock Certificate (incorporated by reference to Exhibit</w:t>
              </w:r>
            </w:hyperlink>
          </w:p>
        </w:tc>
      </w:tr>
      <w:tr>
        <w:trPr>
          <w:trHeight w:val="199"/>
        </w:trPr>
        <w:tc>
          <w:tcPr>
            <w:tcW w:w="1500" w:type="dxa"/>
            <w:vAlign w:val="bottom"/>
          </w:tcPr>
          <w:p>
            <w:pPr>
              <w:spacing w:after="0"/>
              <w:rPr>
                <w:sz w:val="17"/>
                <w:szCs w:val="17"/>
                <w:color w:val="auto"/>
              </w:rPr>
            </w:pPr>
          </w:p>
        </w:tc>
        <w:tc>
          <w:tcPr>
            <w:tcW w:w="6540" w:type="dxa"/>
            <w:vAlign w:val="bottom"/>
            <w:tcBorders>
              <w:bottom w:val="single" w:sz="8" w:color="0000EE"/>
            </w:tcBorders>
            <w:gridSpan w:val="8"/>
          </w:tcPr>
          <w:p>
            <w:pPr>
              <w:spacing w:after="0" w:line="200" w:lineRule="exact"/>
              <w:rPr>
                <w:rFonts w:ascii="Arial" w:cs="Arial" w:eastAsia="Arial" w:hAnsi="Arial"/>
                <w:sz w:val="19"/>
                <w:szCs w:val="19"/>
                <w:color w:val="0000EE"/>
                <w:w w:val="93"/>
              </w:rPr>
            </w:pPr>
            <w:hyperlink r:id="rId21">
              <w:r>
                <w:rPr>
                  <w:rFonts w:ascii="Arial" w:cs="Arial" w:eastAsia="Arial" w:hAnsi="Arial"/>
                  <w:sz w:val="19"/>
                  <w:szCs w:val="19"/>
                  <w:color w:val="0000EE"/>
                  <w:w w:val="93"/>
                </w:rPr>
                <w:t>4(c) to Registrant’s Quarterly Report on Form 10-Q for the quarter ended August 1,</w:t>
              </w:r>
            </w:hyperlink>
          </w:p>
        </w:tc>
        <w:tc>
          <w:tcPr>
            <w:tcW w:w="20" w:type="dxa"/>
            <w:vAlign w:val="bottom"/>
          </w:tcPr>
          <w:p>
            <w:pPr>
              <w:spacing w:after="0"/>
              <w:rPr>
                <w:sz w:val="17"/>
                <w:szCs w:val="17"/>
                <w:color w:val="auto"/>
              </w:rPr>
            </w:pPr>
          </w:p>
        </w:tc>
      </w:tr>
      <w:tr>
        <w:trPr>
          <w:trHeight w:val="199"/>
        </w:trPr>
        <w:tc>
          <w:tcPr>
            <w:tcW w:w="1500" w:type="dxa"/>
            <w:vAlign w:val="bottom"/>
          </w:tcPr>
          <w:p>
            <w:pPr>
              <w:spacing w:after="0"/>
              <w:rPr>
                <w:sz w:val="17"/>
                <w:szCs w:val="17"/>
                <w:color w:val="auto"/>
              </w:rPr>
            </w:pPr>
          </w:p>
        </w:tc>
        <w:tc>
          <w:tcPr>
            <w:tcW w:w="2760" w:type="dxa"/>
            <w:vAlign w:val="bottom"/>
            <w:tcBorders>
              <w:bottom w:val="single" w:sz="8" w:color="0000EE"/>
            </w:tcBorders>
            <w:gridSpan w:val="3"/>
          </w:tcPr>
          <w:p>
            <w:pPr>
              <w:spacing w:after="0" w:line="200" w:lineRule="exact"/>
              <w:rPr>
                <w:rFonts w:ascii="Arial" w:cs="Arial" w:eastAsia="Arial" w:hAnsi="Arial"/>
                <w:sz w:val="19"/>
                <w:szCs w:val="19"/>
                <w:color w:val="0000EE"/>
                <w:w w:val="91"/>
              </w:rPr>
            </w:pPr>
            <w:hyperlink r:id="rId21">
              <w:r>
                <w:rPr>
                  <w:rFonts w:ascii="Arial" w:cs="Arial" w:eastAsia="Arial" w:hAnsi="Arial"/>
                  <w:sz w:val="19"/>
                  <w:szCs w:val="19"/>
                  <w:color w:val="0000EE"/>
                  <w:w w:val="91"/>
                </w:rPr>
                <w:t>2008, Commission File No. 1-8649)</w:t>
              </w:r>
            </w:hyperlink>
          </w:p>
        </w:tc>
        <w:tc>
          <w:tcPr>
            <w:tcW w:w="3800" w:type="dxa"/>
            <w:vAlign w:val="bottom"/>
            <w:gridSpan w:val="6"/>
          </w:tcPr>
          <w:p>
            <w:pPr>
              <w:spacing w:after="0"/>
              <w:rPr>
                <w:sz w:val="17"/>
                <w:szCs w:val="17"/>
                <w:color w:val="auto"/>
              </w:rPr>
            </w:pPr>
          </w:p>
        </w:tc>
      </w:tr>
      <w:tr>
        <w:trPr>
          <w:trHeight w:val="303"/>
        </w:trPr>
        <w:tc>
          <w:tcPr>
            <w:tcW w:w="1500" w:type="dxa"/>
            <w:vAlign w:val="bottom"/>
          </w:tcPr>
          <w:p>
            <w:pPr>
              <w:spacing w:after="0"/>
              <w:rPr>
                <w:sz w:val="20"/>
                <w:szCs w:val="20"/>
                <w:color w:val="auto"/>
              </w:rPr>
            </w:pPr>
            <w:r>
              <w:rPr>
                <w:rFonts w:ascii="Arial" w:cs="Arial" w:eastAsia="Arial" w:hAnsi="Arial"/>
                <w:sz w:val="19"/>
                <w:szCs w:val="19"/>
                <w:color w:val="auto"/>
              </w:rPr>
              <w:t>5.1</w:t>
            </w:r>
          </w:p>
        </w:tc>
        <w:tc>
          <w:tcPr>
            <w:tcW w:w="6560" w:type="dxa"/>
            <w:vAlign w:val="bottom"/>
            <w:gridSpan w:val="9"/>
          </w:tcPr>
          <w:p>
            <w:pPr>
              <w:spacing w:after="0"/>
              <w:rPr>
                <w:rFonts w:ascii="Arial" w:cs="Arial" w:eastAsia="Arial" w:hAnsi="Arial"/>
                <w:sz w:val="19"/>
                <w:szCs w:val="19"/>
                <w:color w:val="0000EE"/>
              </w:rPr>
            </w:pPr>
            <w:hyperlink w:anchor="page9">
              <w:r>
                <w:rPr>
                  <w:rFonts w:ascii="Arial" w:cs="Arial" w:eastAsia="Arial" w:hAnsi="Arial"/>
                  <w:sz w:val="19"/>
                  <w:szCs w:val="19"/>
                  <w:color w:val="0000EE"/>
                </w:rPr>
                <w:t>Opinion of Counsel Regarding Legality (filed herewith)</w:t>
              </w:r>
            </w:hyperlink>
          </w:p>
        </w:tc>
      </w:tr>
      <w:tr>
        <w:trPr>
          <w:trHeight w:val="303"/>
        </w:trPr>
        <w:tc>
          <w:tcPr>
            <w:tcW w:w="1500" w:type="dxa"/>
            <w:vAlign w:val="bottom"/>
          </w:tcPr>
          <w:p>
            <w:pPr>
              <w:spacing w:after="0"/>
              <w:rPr>
                <w:sz w:val="20"/>
                <w:szCs w:val="20"/>
                <w:color w:val="auto"/>
              </w:rPr>
            </w:pPr>
            <w:r>
              <w:rPr>
                <w:rFonts w:ascii="Arial" w:cs="Arial" w:eastAsia="Arial" w:hAnsi="Arial"/>
                <w:sz w:val="19"/>
                <w:szCs w:val="19"/>
                <w:color w:val="auto"/>
              </w:rPr>
              <w:t>23.1</w:t>
            </w:r>
          </w:p>
        </w:tc>
        <w:tc>
          <w:tcPr>
            <w:tcW w:w="4240" w:type="dxa"/>
            <w:vAlign w:val="bottom"/>
            <w:tcBorders>
              <w:top w:val="single" w:sz="8" w:color="0000EE"/>
            </w:tcBorders>
            <w:gridSpan w:val="6"/>
          </w:tcPr>
          <w:p>
            <w:pPr>
              <w:spacing w:after="0"/>
              <w:rPr>
                <w:rFonts w:ascii="Arial" w:cs="Arial" w:eastAsia="Arial" w:hAnsi="Arial"/>
                <w:sz w:val="19"/>
                <w:szCs w:val="19"/>
                <w:color w:val="0000EE"/>
                <w:w w:val="97"/>
              </w:rPr>
            </w:pPr>
            <w:hyperlink w:anchor="page9">
              <w:r>
                <w:rPr>
                  <w:rFonts w:ascii="Arial" w:cs="Arial" w:eastAsia="Arial" w:hAnsi="Arial"/>
                  <w:sz w:val="19"/>
                  <w:szCs w:val="19"/>
                  <w:color w:val="0000EE"/>
                  <w:w w:val="97"/>
                </w:rPr>
                <w:t>Consent of Counsel (included as part of Exhibit 5.1)</w:t>
              </w:r>
            </w:hyperlink>
          </w:p>
        </w:tc>
        <w:tc>
          <w:tcPr>
            <w:tcW w:w="2320" w:type="dxa"/>
            <w:vAlign w:val="bottom"/>
            <w:gridSpan w:val="3"/>
          </w:tcPr>
          <w:p>
            <w:pPr>
              <w:spacing w:after="0"/>
              <w:rPr>
                <w:sz w:val="24"/>
                <w:szCs w:val="24"/>
                <w:color w:val="auto"/>
              </w:rPr>
            </w:pPr>
          </w:p>
        </w:tc>
      </w:tr>
      <w:tr>
        <w:trPr>
          <w:trHeight w:val="303"/>
        </w:trPr>
        <w:tc>
          <w:tcPr>
            <w:tcW w:w="1500" w:type="dxa"/>
            <w:vAlign w:val="bottom"/>
          </w:tcPr>
          <w:p>
            <w:pPr>
              <w:spacing w:after="0"/>
              <w:rPr>
                <w:sz w:val="20"/>
                <w:szCs w:val="20"/>
                <w:color w:val="auto"/>
              </w:rPr>
            </w:pPr>
            <w:r>
              <w:rPr>
                <w:rFonts w:ascii="Arial" w:cs="Arial" w:eastAsia="Arial" w:hAnsi="Arial"/>
                <w:sz w:val="19"/>
                <w:szCs w:val="19"/>
                <w:color w:val="auto"/>
              </w:rPr>
              <w:t>23.2</w:t>
            </w:r>
          </w:p>
        </w:tc>
        <w:tc>
          <w:tcPr>
            <w:tcW w:w="3040" w:type="dxa"/>
            <w:vAlign w:val="bottom"/>
            <w:tcBorders>
              <w:top w:val="single" w:sz="8" w:color="0000EE"/>
              <w:bottom w:val="single" w:sz="8" w:color="0000EE"/>
            </w:tcBorders>
            <w:gridSpan w:val="4"/>
          </w:tcPr>
          <w:p>
            <w:pPr>
              <w:spacing w:after="0"/>
              <w:rPr>
                <w:rFonts w:ascii="Arial" w:cs="Arial" w:eastAsia="Arial" w:hAnsi="Arial"/>
                <w:sz w:val="19"/>
                <w:szCs w:val="19"/>
                <w:color w:val="0000EE"/>
                <w:w w:val="93"/>
              </w:rPr>
            </w:pPr>
            <w:hyperlink w:anchor="page10">
              <w:r>
                <w:rPr>
                  <w:rFonts w:ascii="Arial" w:cs="Arial" w:eastAsia="Arial" w:hAnsi="Arial"/>
                  <w:sz w:val="19"/>
                  <w:szCs w:val="19"/>
                  <w:color w:val="0000EE"/>
                  <w:w w:val="93"/>
                </w:rPr>
                <w:t>Consent of KPMG LLP (filed herewith)</w:t>
              </w:r>
            </w:hyperlink>
          </w:p>
        </w:tc>
        <w:tc>
          <w:tcPr>
            <w:tcW w:w="920" w:type="dxa"/>
            <w:vAlign w:val="bottom"/>
            <w:tcBorders>
              <w:top w:val="single" w:sz="8" w:color="0000EE"/>
            </w:tcBorders>
          </w:tcPr>
          <w:p>
            <w:pPr>
              <w:spacing w:after="0"/>
              <w:rPr>
                <w:sz w:val="24"/>
                <w:szCs w:val="24"/>
                <w:color w:val="auto"/>
              </w:rPr>
            </w:pPr>
          </w:p>
        </w:tc>
        <w:tc>
          <w:tcPr>
            <w:tcW w:w="2600" w:type="dxa"/>
            <w:vAlign w:val="bottom"/>
            <w:gridSpan w:val="4"/>
          </w:tcPr>
          <w:p>
            <w:pPr>
              <w:spacing w:after="0"/>
              <w:rPr>
                <w:sz w:val="24"/>
                <w:szCs w:val="24"/>
                <w:color w:val="auto"/>
              </w:rPr>
            </w:pPr>
          </w:p>
        </w:tc>
      </w:tr>
      <w:tr>
        <w:trPr>
          <w:trHeight w:val="303"/>
        </w:trPr>
        <w:tc>
          <w:tcPr>
            <w:tcW w:w="1500" w:type="dxa"/>
            <w:vAlign w:val="bottom"/>
          </w:tcPr>
          <w:p>
            <w:pPr>
              <w:spacing w:after="0"/>
              <w:rPr>
                <w:sz w:val="20"/>
                <w:szCs w:val="20"/>
                <w:color w:val="auto"/>
              </w:rPr>
            </w:pPr>
            <w:r>
              <w:rPr>
                <w:rFonts w:ascii="Arial" w:cs="Arial" w:eastAsia="Arial" w:hAnsi="Arial"/>
                <w:sz w:val="19"/>
                <w:szCs w:val="19"/>
                <w:color w:val="auto"/>
              </w:rPr>
              <w:t>24.1</w:t>
            </w:r>
          </w:p>
        </w:tc>
        <w:tc>
          <w:tcPr>
            <w:tcW w:w="6560" w:type="dxa"/>
            <w:vAlign w:val="bottom"/>
            <w:gridSpan w:val="9"/>
          </w:tcPr>
          <w:p>
            <w:pPr>
              <w:spacing w:after="0"/>
              <w:rPr>
                <w:rFonts w:ascii="Arial" w:cs="Arial" w:eastAsia="Arial" w:hAnsi="Arial"/>
                <w:sz w:val="19"/>
                <w:szCs w:val="19"/>
                <w:color w:val="0000EE"/>
              </w:rPr>
            </w:pPr>
            <w:hyperlink w:anchor="page11">
              <w:r>
                <w:rPr>
                  <w:rFonts w:ascii="Arial" w:cs="Arial" w:eastAsia="Arial" w:hAnsi="Arial"/>
                  <w:sz w:val="19"/>
                  <w:szCs w:val="19"/>
                  <w:color w:val="0000EE"/>
                </w:rPr>
                <w:t>Power of Attorney (filed herewith)</w:t>
              </w:r>
            </w:hyperlink>
          </w:p>
        </w:tc>
      </w:tr>
      <w:tr>
        <w:trPr>
          <w:trHeight w:val="20"/>
        </w:trPr>
        <w:tc>
          <w:tcPr>
            <w:tcW w:w="150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3"/>
        </w:trPr>
        <w:tc>
          <w:tcPr>
            <w:tcW w:w="1500" w:type="dxa"/>
            <w:vAlign w:val="bottom"/>
          </w:tcPr>
          <w:p>
            <w:pPr>
              <w:spacing w:after="0"/>
              <w:rPr>
                <w:sz w:val="20"/>
                <w:szCs w:val="20"/>
                <w:color w:val="auto"/>
              </w:rPr>
            </w:pPr>
            <w:r>
              <w:rPr>
                <w:rFonts w:ascii="Arial" w:cs="Arial" w:eastAsia="Arial" w:hAnsi="Arial"/>
                <w:sz w:val="19"/>
                <w:szCs w:val="19"/>
                <w:color w:val="auto"/>
              </w:rPr>
              <w:t>99.1</w:t>
            </w:r>
          </w:p>
        </w:tc>
        <w:tc>
          <w:tcPr>
            <w:tcW w:w="6560" w:type="dxa"/>
            <w:vAlign w:val="bottom"/>
            <w:gridSpan w:val="9"/>
          </w:tcPr>
          <w:p>
            <w:pPr>
              <w:spacing w:after="0"/>
              <w:rPr>
                <w:rFonts w:ascii="Arial" w:cs="Arial" w:eastAsia="Arial" w:hAnsi="Arial"/>
                <w:sz w:val="19"/>
                <w:szCs w:val="19"/>
                <w:color w:val="0000EE"/>
                <w:w w:val="96"/>
              </w:rPr>
            </w:pPr>
            <w:hyperlink r:id="rId22">
              <w:r>
                <w:rPr>
                  <w:rFonts w:ascii="Arial" w:cs="Arial" w:eastAsia="Arial" w:hAnsi="Arial"/>
                  <w:sz w:val="19"/>
                  <w:szCs w:val="19"/>
                  <w:color w:val="0000EE"/>
                  <w:w w:val="96"/>
                </w:rPr>
                <w:t>The Toro Company 2022 Equity and Incentive Plan (incorporated by reference to</w:t>
              </w:r>
            </w:hyperlink>
          </w:p>
        </w:tc>
      </w:tr>
      <w:tr>
        <w:trPr>
          <w:trHeight w:val="20"/>
        </w:trPr>
        <w:tc>
          <w:tcPr>
            <w:tcW w:w="150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2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500" w:type="dxa"/>
            <w:vAlign w:val="bottom"/>
          </w:tcPr>
          <w:p>
            <w:pPr>
              <w:spacing w:after="0"/>
              <w:rPr>
                <w:sz w:val="17"/>
                <w:szCs w:val="17"/>
                <w:color w:val="auto"/>
              </w:rPr>
            </w:pPr>
          </w:p>
        </w:tc>
        <w:tc>
          <w:tcPr>
            <w:tcW w:w="6560" w:type="dxa"/>
            <w:vAlign w:val="bottom"/>
            <w:gridSpan w:val="9"/>
          </w:tcPr>
          <w:p>
            <w:pPr>
              <w:spacing w:after="0" w:line="200" w:lineRule="exact"/>
              <w:rPr>
                <w:rFonts w:ascii="Arial" w:cs="Arial" w:eastAsia="Arial" w:hAnsi="Arial"/>
                <w:sz w:val="19"/>
                <w:szCs w:val="19"/>
                <w:color w:val="0000EE"/>
                <w:w w:val="98"/>
              </w:rPr>
            </w:pPr>
            <w:hyperlink r:id="rId22">
              <w:r>
                <w:rPr>
                  <w:rFonts w:ascii="Arial" w:cs="Arial" w:eastAsia="Arial" w:hAnsi="Arial"/>
                  <w:sz w:val="19"/>
                  <w:szCs w:val="19"/>
                  <w:color w:val="0000EE"/>
                  <w:w w:val="98"/>
                </w:rPr>
                <w:t>Exhibit 10.1 to Registrant’s Current Report on Form 8-K dated March 16, 2022,</w:t>
              </w:r>
            </w:hyperlink>
          </w:p>
        </w:tc>
      </w:tr>
      <w:tr>
        <w:trPr>
          <w:trHeight w:val="199"/>
        </w:trPr>
        <w:tc>
          <w:tcPr>
            <w:tcW w:w="1500" w:type="dxa"/>
            <w:vAlign w:val="bottom"/>
          </w:tcPr>
          <w:p>
            <w:pPr>
              <w:spacing w:after="0"/>
              <w:rPr>
                <w:sz w:val="17"/>
                <w:szCs w:val="17"/>
                <w:color w:val="auto"/>
              </w:rPr>
            </w:pPr>
          </w:p>
        </w:tc>
        <w:tc>
          <w:tcPr>
            <w:tcW w:w="2280" w:type="dxa"/>
            <w:vAlign w:val="bottom"/>
            <w:tcBorders>
              <w:top w:val="single" w:sz="8" w:color="0000EE"/>
              <w:bottom w:val="single" w:sz="8" w:color="0000EE"/>
            </w:tcBorders>
          </w:tcPr>
          <w:p>
            <w:pPr>
              <w:spacing w:after="0" w:line="200" w:lineRule="exact"/>
              <w:rPr>
                <w:rFonts w:ascii="Arial" w:cs="Arial" w:eastAsia="Arial" w:hAnsi="Arial"/>
                <w:sz w:val="19"/>
                <w:szCs w:val="19"/>
                <w:color w:val="0000EE"/>
                <w:w w:val="91"/>
              </w:rPr>
            </w:pPr>
            <w:hyperlink r:id="rId22">
              <w:r>
                <w:rPr>
                  <w:rFonts w:ascii="Arial" w:cs="Arial" w:eastAsia="Arial" w:hAnsi="Arial"/>
                  <w:sz w:val="19"/>
                  <w:szCs w:val="19"/>
                  <w:color w:val="0000EE"/>
                  <w:w w:val="91"/>
                </w:rPr>
                <w:t>Commission File No. 1-8649)</w:t>
              </w:r>
            </w:hyperlink>
          </w:p>
        </w:tc>
        <w:tc>
          <w:tcPr>
            <w:tcW w:w="426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bl>
    <w:p>
      <w:pPr>
        <w:spacing w:after="0" w:line="112" w:lineRule="exact"/>
        <w:rPr>
          <w:sz w:val="20"/>
          <w:szCs w:val="20"/>
          <w:color w:val="auto"/>
        </w:rPr>
      </w:pPr>
    </w:p>
    <w:p>
      <w:pPr>
        <w:ind w:left="3100" w:hanging="1503"/>
        <w:spacing w:after="0"/>
        <w:tabs>
          <w:tab w:leader="none" w:pos="3100" w:val="left"/>
        </w:tabs>
        <w:numPr>
          <w:ilvl w:val="0"/>
          <w:numId w:val="3"/>
        </w:numPr>
        <w:rPr>
          <w:rFonts w:ascii="Arial" w:cs="Arial" w:eastAsia="Arial" w:hAnsi="Arial"/>
          <w:sz w:val="19"/>
          <w:szCs w:val="19"/>
          <w:u w:val="single" w:color="auto"/>
          <w:color w:val="0000EE"/>
        </w:rPr>
      </w:pPr>
      <w:hyperlink w:anchor="page12">
        <w:r>
          <w:rPr>
            <w:rFonts w:ascii="Arial" w:cs="Arial" w:eastAsia="Arial" w:hAnsi="Arial"/>
            <w:sz w:val="19"/>
            <w:szCs w:val="19"/>
            <w:u w:val="single" w:color="auto"/>
            <w:color w:val="0000EE"/>
          </w:rPr>
          <w:t>Filing Fee Table (filed herewith)</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 Undertakings.</w:t>
      </w:r>
    </w:p>
    <w:p>
      <w:pPr>
        <w:spacing w:after="0" w:line="213" w:lineRule="exact"/>
        <w:rPr>
          <w:sz w:val="20"/>
          <w:szCs w:val="20"/>
          <w:color w:val="auto"/>
        </w:rPr>
      </w:pPr>
    </w:p>
    <w:p>
      <w:pPr>
        <w:ind w:left="1700" w:hanging="832"/>
        <w:spacing w:after="0"/>
        <w:tabs>
          <w:tab w:leader="none" w:pos="170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undersigned Registrant hereby undertakes:</w:t>
      </w:r>
    </w:p>
    <w:p>
      <w:pPr>
        <w:spacing w:after="0" w:line="207" w:lineRule="exact"/>
        <w:rPr>
          <w:rFonts w:ascii="Arial" w:cs="Arial" w:eastAsia="Arial" w:hAnsi="Arial"/>
          <w:sz w:val="19"/>
          <w:szCs w:val="19"/>
          <w:color w:val="auto"/>
        </w:rPr>
      </w:pPr>
    </w:p>
    <w:p>
      <w:pPr>
        <w:ind w:left="2500" w:hanging="834"/>
        <w:spacing w:after="0"/>
        <w:tabs>
          <w:tab w:leader="none" w:pos="25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w:t>
      </w:r>
    </w:p>
    <w:p>
      <w:pPr>
        <w:spacing w:after="0" w:line="39"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9"/>
          <w:szCs w:val="19"/>
          <w:color w:val="auto"/>
        </w:rPr>
        <w:t>Statement:</w:t>
      </w:r>
    </w:p>
    <w:p>
      <w:pPr>
        <w:spacing w:after="0" w:line="191" w:lineRule="exact"/>
        <w:rPr>
          <w:rFonts w:ascii="Arial" w:cs="Arial" w:eastAsia="Arial" w:hAnsi="Arial"/>
          <w:sz w:val="17"/>
          <w:szCs w:val="17"/>
          <w:color w:val="auto"/>
        </w:rPr>
      </w:pPr>
    </w:p>
    <w:p>
      <w:pPr>
        <w:ind w:left="3260" w:hanging="796"/>
        <w:spacing w:after="0"/>
        <w:tabs>
          <w:tab w:leader="none" w:pos="3260" w:val="left"/>
        </w:tabs>
        <w:numPr>
          <w:ilvl w:val="2"/>
          <w:numId w:val="4"/>
        </w:numPr>
        <w:rPr>
          <w:rFonts w:ascii="Arial" w:cs="Arial" w:eastAsia="Arial" w:hAnsi="Arial"/>
          <w:sz w:val="19"/>
          <w:szCs w:val="19"/>
          <w:color w:val="auto"/>
        </w:rPr>
      </w:pPr>
      <w:r>
        <w:rPr>
          <w:rFonts w:ascii="Arial" w:cs="Arial" w:eastAsia="Arial" w:hAnsi="Arial"/>
          <w:sz w:val="19"/>
          <w:szCs w:val="19"/>
          <w:color w:val="auto"/>
        </w:rPr>
        <w:t>To include any prospectus required by Section 10(a)(3)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326390</wp:posOffset>
            </wp:positionV>
            <wp:extent cx="717994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 w:name="page7"/>
    <w:bookmarkEnd w:id="6"/>
    <w:p>
      <w:pPr>
        <w:jc w:val="both"/>
        <w:ind w:left="880" w:firstLine="724"/>
        <w:spacing w:after="0" w:line="259" w:lineRule="auto"/>
        <w:tabs>
          <w:tab w:leader="none" w:pos="246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74" w:lineRule="exact"/>
        <w:rPr>
          <w:rFonts w:ascii="Arial" w:cs="Arial" w:eastAsia="Arial" w:hAnsi="Arial"/>
          <w:sz w:val="18"/>
          <w:szCs w:val="18"/>
          <w:color w:val="auto"/>
        </w:rPr>
      </w:pPr>
    </w:p>
    <w:p>
      <w:pPr>
        <w:ind w:left="880" w:firstLine="724"/>
        <w:spacing w:after="0" w:line="265" w:lineRule="auto"/>
        <w:tabs>
          <w:tab w:leader="none" w:pos="2514"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paragraphs (a)(1)(i) and (a)(1)(ii) do not apply if the Registration Statement is on Form S-8, and the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77" w:lineRule="exact"/>
        <w:rPr>
          <w:sz w:val="20"/>
          <w:szCs w:val="20"/>
          <w:color w:val="auto"/>
        </w:rPr>
      </w:pPr>
    </w:p>
    <w:p>
      <w:pPr>
        <w:jc w:val="both"/>
        <w:ind w:firstLine="806"/>
        <w:spacing w:after="0" w:line="253" w:lineRule="auto"/>
        <w:tabs>
          <w:tab w:leader="none" w:pos="1638" w:val="left"/>
        </w:tabs>
        <w:numPr>
          <w:ilvl w:val="1"/>
          <w:numId w:val="6"/>
        </w:numPr>
        <w:rPr>
          <w:rFonts w:ascii="Arial" w:cs="Arial" w:eastAsia="Arial" w:hAnsi="Arial"/>
          <w:sz w:val="19"/>
          <w:szCs w:val="19"/>
          <w:color w:val="auto"/>
        </w:rPr>
      </w:pPr>
      <w:r>
        <w:rPr>
          <w:rFonts w:ascii="Arial" w:cs="Arial" w:eastAsia="Arial" w:hAnsi="Arial"/>
          <w:sz w:val="19"/>
          <w:szCs w:val="19"/>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offering thereof.</w:t>
      </w:r>
    </w:p>
    <w:p>
      <w:pPr>
        <w:spacing w:after="0" w:line="173" w:lineRule="exact"/>
        <w:rPr>
          <w:rFonts w:ascii="Arial" w:cs="Arial" w:eastAsia="Arial" w:hAnsi="Arial"/>
          <w:sz w:val="19"/>
          <w:szCs w:val="19"/>
          <w:color w:val="auto"/>
        </w:rPr>
      </w:pPr>
    </w:p>
    <w:p>
      <w:pPr>
        <w:ind w:firstLine="806"/>
        <w:spacing w:after="0" w:line="265" w:lineRule="auto"/>
        <w:tabs>
          <w:tab w:leader="none" w:pos="1638" w:val="left"/>
        </w:tabs>
        <w:numPr>
          <w:ilvl w:val="1"/>
          <w:numId w:val="6"/>
        </w:numPr>
        <w:rPr>
          <w:rFonts w:ascii="Arial" w:cs="Arial" w:eastAsia="Arial" w:hAnsi="Arial"/>
          <w:sz w:val="19"/>
          <w:szCs w:val="19"/>
          <w:color w:val="auto"/>
        </w:rPr>
      </w:pPr>
      <w:r>
        <w:rPr>
          <w:rFonts w:ascii="Arial" w:cs="Arial" w:eastAsia="Arial" w:hAnsi="Arial"/>
          <w:sz w:val="19"/>
          <w:szCs w:val="19"/>
          <w:color w:val="auto"/>
        </w:rPr>
        <w:t>To remove from registration by means of a post-effective amendment any of the securities being registered which remain unsold at the termination of the offering.</w:t>
      </w:r>
    </w:p>
    <w:p>
      <w:pPr>
        <w:spacing w:after="0" w:line="162" w:lineRule="exact"/>
        <w:rPr>
          <w:rFonts w:ascii="Arial" w:cs="Arial" w:eastAsia="Arial" w:hAnsi="Arial"/>
          <w:sz w:val="19"/>
          <w:szCs w:val="19"/>
          <w:color w:val="auto"/>
        </w:rPr>
      </w:pPr>
    </w:p>
    <w:p>
      <w:pPr>
        <w:jc w:val="both"/>
        <w:ind w:left="-860" w:firstLine="868"/>
        <w:spacing w:after="0" w:line="247" w:lineRule="auto"/>
        <w:tabs>
          <w:tab w:leader="none" w:pos="844"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offering thereof.</w:t>
      </w:r>
    </w:p>
    <w:p>
      <w:pPr>
        <w:spacing w:after="0" w:line="179" w:lineRule="exact"/>
        <w:rPr>
          <w:rFonts w:ascii="Arial" w:cs="Arial" w:eastAsia="Arial" w:hAnsi="Arial"/>
          <w:sz w:val="19"/>
          <w:szCs w:val="19"/>
          <w:color w:val="auto"/>
        </w:rPr>
      </w:pPr>
    </w:p>
    <w:p>
      <w:pPr>
        <w:jc w:val="both"/>
        <w:ind w:left="-860" w:firstLine="868"/>
        <w:spacing w:after="0" w:line="259" w:lineRule="auto"/>
        <w:tabs>
          <w:tab w:leader="none" w:pos="8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575945</wp:posOffset>
            </wp:positionV>
            <wp:extent cx="717994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0380"/>
          </w:cols>
          <w:pgMar w:left="1180" w:top="32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9"/>
          <w:szCs w:val="19"/>
          <w:b w:val="1"/>
          <w:bCs w:val="1"/>
          <w:color w:val="auto"/>
        </w:rPr>
        <w:t>SIGNATURES</w:t>
      </w:r>
    </w:p>
    <w:p>
      <w:pPr>
        <w:spacing w:after="0" w:line="21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9"/>
          <w:szCs w:val="19"/>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March 23, 2022.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80"/>
        <w:spacing w:after="0"/>
        <w:rPr>
          <w:sz w:val="20"/>
          <w:szCs w:val="20"/>
          <w:color w:val="auto"/>
        </w:rPr>
      </w:pPr>
      <w:r>
        <w:rPr>
          <w:rFonts w:ascii="Arial" w:cs="Arial" w:eastAsia="Arial" w:hAnsi="Arial"/>
          <w:sz w:val="19"/>
          <w:szCs w:val="19"/>
          <w:b w:val="1"/>
          <w:bCs w:val="1"/>
          <w:color w:val="auto"/>
        </w:rPr>
        <w:t>THE TORO COMPANY</w:t>
      </w:r>
    </w:p>
    <w:p>
      <w:pPr>
        <w:spacing w:after="0" w:line="28" w:lineRule="exact"/>
        <w:rPr>
          <w:sz w:val="20"/>
          <w:szCs w:val="20"/>
          <w:color w:val="auto"/>
        </w:rPr>
      </w:pPr>
    </w:p>
    <w:p>
      <w:pPr>
        <w:ind w:left="5680"/>
        <w:spacing w:after="0"/>
        <w:rPr>
          <w:sz w:val="20"/>
          <w:szCs w:val="20"/>
          <w:color w:val="auto"/>
        </w:rPr>
      </w:pPr>
      <w:r>
        <w:rPr>
          <w:rFonts w:ascii="Arial" w:cs="Arial" w:eastAsia="Arial" w:hAnsi="Arial"/>
          <w:sz w:val="19"/>
          <w:szCs w:val="19"/>
          <w:b w:val="1"/>
          <w:bCs w:val="1"/>
          <w:color w:val="auto"/>
        </w:rPr>
        <w:t>(Registrant)</w:t>
      </w:r>
    </w:p>
    <w:p>
      <w:pPr>
        <w:sectPr>
          <w:pgSz w:w="11900" w:h="16838" w:orient="portrait"/>
          <w:cols w:equalWidth="0" w:num="1">
            <w:col w:w="11240"/>
          </w:cols>
          <w:pgMar w:left="320" w:top="32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Date: March 23,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3270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3270250" cy="825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3">
            <w:col w:w="4960" w:space="720"/>
            <w:col w:w="280" w:space="140"/>
            <w:col w:w="5140"/>
          </w:cols>
          <w:pgMar w:left="320" w:top="323" w:right="339" w:bottom="1440" w:gutter="0" w:footer="0" w:header="0"/>
          <w:type w:val="continuous"/>
        </w:sectPr>
      </w:pPr>
    </w:p>
    <w:p>
      <w:pPr>
        <w:ind w:left="6100"/>
        <w:spacing w:after="0"/>
        <w:rPr>
          <w:sz w:val="20"/>
          <w:szCs w:val="20"/>
          <w:color w:val="auto"/>
        </w:rPr>
      </w:pPr>
      <w:r>
        <w:rPr>
          <w:rFonts w:ascii="Arial" w:cs="Arial" w:eastAsia="Arial" w:hAnsi="Arial"/>
          <w:sz w:val="19"/>
          <w:szCs w:val="19"/>
          <w:color w:val="auto"/>
        </w:rPr>
        <w:t>Amy E. Dahl</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9"/>
          <w:szCs w:val="19"/>
          <w:color w:val="auto"/>
        </w:rPr>
        <w:t>Vice President, Human Resources and General Counsel and</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9"/>
          <w:szCs w:val="19"/>
          <w:color w:val="auto"/>
        </w:rPr>
        <w:t>Corporate Secretary</w:t>
      </w:r>
    </w:p>
    <w:p>
      <w:pPr>
        <w:spacing w:after="0" w:line="200" w:lineRule="exact"/>
        <w:rPr>
          <w:sz w:val="20"/>
          <w:szCs w:val="20"/>
          <w:color w:val="auto"/>
        </w:rPr>
      </w:pPr>
    </w:p>
    <w:p>
      <w:pPr>
        <w:spacing w:after="0" w:line="327" w:lineRule="exact"/>
        <w:rPr>
          <w:sz w:val="20"/>
          <w:szCs w:val="20"/>
          <w:color w:val="auto"/>
        </w:rPr>
      </w:pPr>
    </w:p>
    <w:p>
      <w:pPr>
        <w:ind w:firstLine="864"/>
        <w:spacing w:after="0" w:line="265" w:lineRule="auto"/>
        <w:rPr>
          <w:sz w:val="20"/>
          <w:szCs w:val="20"/>
          <w:color w:val="auto"/>
        </w:rPr>
      </w:pPr>
      <w:r>
        <w:rPr>
          <w:rFonts w:ascii="Arial" w:cs="Arial" w:eastAsia="Arial" w:hAnsi="Arial"/>
          <w:sz w:val="19"/>
          <w:szCs w:val="19"/>
          <w:color w:val="auto"/>
        </w:rPr>
        <w:t>Pursuant to the requirements of the Securities Act, this Registration Statement has been signed by the following persons in the capacities and on the dates indicated.</w:t>
      </w:r>
    </w:p>
    <w:p>
      <w:pPr>
        <w:spacing w:after="0" w:line="160" w:lineRule="exact"/>
        <w:rPr>
          <w:sz w:val="20"/>
          <w:szCs w:val="20"/>
          <w:color w:val="auto"/>
        </w:rPr>
      </w:pPr>
    </w:p>
    <w:tbl>
      <w:tblPr>
        <w:tblLayout w:type="fixed"/>
        <w:tblInd w:w="1600" w:type="dxa"/>
        <w:tblCellMar>
          <w:top w:w="0" w:type="dxa"/>
          <w:left w:w="0" w:type="dxa"/>
          <w:bottom w:w="0" w:type="dxa"/>
          <w:right w:w="0" w:type="dxa"/>
        </w:tblCellMar>
      </w:tblPr>
      <w:tr>
        <w:trPr>
          <w:trHeight w:val="232"/>
        </w:trPr>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9"/>
                <w:szCs w:val="19"/>
                <w:b w:val="1"/>
                <w:bCs w:val="1"/>
                <w:color w:val="auto"/>
              </w:rPr>
              <w:t>Signature</w:t>
            </w:r>
          </w:p>
        </w:tc>
        <w:tc>
          <w:tcPr>
            <w:tcW w:w="20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9"/>
                <w:szCs w:val="19"/>
                <w:b w:val="1"/>
                <w:bCs w:val="1"/>
                <w:color w:val="auto"/>
              </w:rPr>
              <w:t>Title</w:t>
            </w:r>
          </w:p>
        </w:tc>
        <w:tc>
          <w:tcPr>
            <w:tcW w:w="1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415"/>
        </w:trPr>
        <w:tc>
          <w:tcPr>
            <w:tcW w:w="4620" w:type="dxa"/>
            <w:vAlign w:val="bottom"/>
          </w:tcPr>
          <w:p>
            <w:pPr>
              <w:spacing w:after="0"/>
              <w:rPr>
                <w:sz w:val="20"/>
                <w:szCs w:val="20"/>
                <w:color w:val="auto"/>
              </w:rPr>
            </w:pPr>
            <w:r>
              <w:rPr>
                <w:rFonts w:ascii="Arial" w:cs="Arial" w:eastAsia="Arial" w:hAnsi="Arial"/>
                <w:sz w:val="19"/>
                <w:szCs w:val="19"/>
                <w:color w:val="auto"/>
              </w:rPr>
              <w:t>/s/ Richard M. Olson</w:t>
            </w:r>
          </w:p>
        </w:tc>
        <w:tc>
          <w:tcPr>
            <w:tcW w:w="2080" w:type="dxa"/>
            <w:vAlign w:val="bottom"/>
          </w:tcPr>
          <w:p>
            <w:pPr>
              <w:ind w:left="80"/>
              <w:spacing w:after="0"/>
              <w:rPr>
                <w:sz w:val="20"/>
                <w:szCs w:val="20"/>
                <w:color w:val="auto"/>
              </w:rPr>
            </w:pPr>
            <w:r>
              <w:rPr>
                <w:rFonts w:ascii="Arial" w:cs="Arial" w:eastAsia="Arial" w:hAnsi="Arial"/>
                <w:sz w:val="19"/>
                <w:szCs w:val="19"/>
                <w:color w:val="auto"/>
              </w:rPr>
              <w:t>Chairman of the Board,</w:t>
            </w:r>
          </w:p>
        </w:tc>
        <w:tc>
          <w:tcPr>
            <w:tcW w:w="1360" w:type="dxa"/>
            <w:vAlign w:val="bottom"/>
          </w:tcPr>
          <w:p>
            <w:pPr>
              <w:spacing w:after="0"/>
              <w:rPr>
                <w:sz w:val="20"/>
                <w:szCs w:val="20"/>
                <w:color w:val="auto"/>
              </w:rPr>
            </w:pPr>
            <w:r>
              <w:rPr>
                <w:rFonts w:ascii="Arial" w:cs="Arial" w:eastAsia="Arial" w:hAnsi="Arial"/>
                <w:sz w:val="19"/>
                <w:szCs w:val="19"/>
                <w:color w:val="auto"/>
              </w:rPr>
              <w:t>March 23, 2022</w:t>
            </w:r>
          </w:p>
        </w:tc>
        <w:tc>
          <w:tcPr>
            <w:tcW w:w="0" w:type="dxa"/>
            <w:vAlign w:val="bottom"/>
          </w:tcPr>
          <w:p>
            <w:pPr>
              <w:spacing w:after="0"/>
              <w:rPr>
                <w:sz w:val="1"/>
                <w:szCs w:val="1"/>
                <w:color w:val="auto"/>
              </w:rPr>
            </w:pPr>
          </w:p>
        </w:tc>
      </w:tr>
      <w:tr>
        <w:trPr>
          <w:trHeight w:val="30"/>
        </w:trPr>
        <w:tc>
          <w:tcPr>
            <w:tcW w:w="4620" w:type="dxa"/>
            <w:vAlign w:val="bottom"/>
            <w:tcBorders>
              <w:bottom w:val="single" w:sz="8" w:color="auto"/>
            </w:tcBorders>
          </w:tcPr>
          <w:p>
            <w:pPr>
              <w:spacing w:after="0"/>
              <w:rPr>
                <w:sz w:val="2"/>
                <w:szCs w:val="2"/>
                <w:color w:val="auto"/>
              </w:rPr>
            </w:pPr>
          </w:p>
        </w:tc>
        <w:tc>
          <w:tcPr>
            <w:tcW w:w="2080" w:type="dxa"/>
            <w:vAlign w:val="bottom"/>
            <w:vMerge w:val="restart"/>
          </w:tcPr>
          <w:p>
            <w:pPr>
              <w:ind w:left="80"/>
              <w:spacing w:after="0"/>
              <w:rPr>
                <w:sz w:val="20"/>
                <w:szCs w:val="20"/>
                <w:color w:val="auto"/>
              </w:rPr>
            </w:pPr>
            <w:r>
              <w:rPr>
                <w:rFonts w:ascii="Arial" w:cs="Arial" w:eastAsia="Arial" w:hAnsi="Arial"/>
                <w:sz w:val="19"/>
                <w:szCs w:val="19"/>
                <w:color w:val="auto"/>
              </w:rPr>
              <w:t>President and Chief</w:t>
            </w: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620" w:type="dxa"/>
            <w:vAlign w:val="bottom"/>
          </w:tcPr>
          <w:p>
            <w:pPr>
              <w:spacing w:after="0" w:line="170" w:lineRule="exact"/>
              <w:rPr>
                <w:sz w:val="20"/>
                <w:szCs w:val="20"/>
                <w:color w:val="auto"/>
              </w:rPr>
            </w:pPr>
            <w:r>
              <w:rPr>
                <w:rFonts w:ascii="Arial" w:cs="Arial" w:eastAsia="Arial" w:hAnsi="Arial"/>
                <w:sz w:val="19"/>
                <w:szCs w:val="19"/>
                <w:color w:val="auto"/>
              </w:rPr>
              <w:t>Richard M. Olson</w:t>
            </w:r>
          </w:p>
        </w:tc>
        <w:tc>
          <w:tcPr>
            <w:tcW w:w="208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620" w:type="dxa"/>
            <w:vAlign w:val="bottom"/>
          </w:tcPr>
          <w:p>
            <w:pPr>
              <w:spacing w:after="0"/>
              <w:rPr>
                <w:sz w:val="19"/>
                <w:szCs w:val="19"/>
                <w:color w:val="auto"/>
              </w:rPr>
            </w:pPr>
          </w:p>
        </w:tc>
        <w:tc>
          <w:tcPr>
            <w:tcW w:w="2080" w:type="dxa"/>
            <w:vAlign w:val="bottom"/>
          </w:tcPr>
          <w:p>
            <w:pPr>
              <w:ind w:left="80"/>
              <w:spacing w:after="0"/>
              <w:rPr>
                <w:sz w:val="20"/>
                <w:szCs w:val="20"/>
                <w:color w:val="auto"/>
              </w:rPr>
            </w:pPr>
            <w:r>
              <w:rPr>
                <w:rFonts w:ascii="Arial" w:cs="Arial" w:eastAsia="Arial" w:hAnsi="Arial"/>
                <w:sz w:val="19"/>
                <w:szCs w:val="19"/>
                <w:color w:val="auto"/>
              </w:rPr>
              <w:t>Executive Officer and</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tcPr>
          <w:p>
            <w:pPr>
              <w:spacing w:after="0"/>
              <w:rPr>
                <w:sz w:val="19"/>
                <w:szCs w:val="19"/>
                <w:color w:val="auto"/>
              </w:rPr>
            </w:pPr>
          </w:p>
        </w:tc>
        <w:tc>
          <w:tcPr>
            <w:tcW w:w="2080" w:type="dxa"/>
            <w:vAlign w:val="bottom"/>
          </w:tcPr>
          <w:p>
            <w:pPr>
              <w:ind w:left="80"/>
              <w:spacing w:after="0"/>
              <w:rPr>
                <w:sz w:val="20"/>
                <w:szCs w:val="20"/>
                <w:color w:val="auto"/>
              </w:rPr>
            </w:pPr>
            <w:r>
              <w:rPr>
                <w:rFonts w:ascii="Arial" w:cs="Arial" w:eastAsia="Arial" w:hAnsi="Arial"/>
                <w:sz w:val="19"/>
                <w:szCs w:val="19"/>
                <w:color w:val="auto"/>
              </w:rPr>
              <w:t>Director (principal</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2080" w:type="dxa"/>
            <w:vAlign w:val="bottom"/>
          </w:tcPr>
          <w:p>
            <w:pPr>
              <w:ind w:left="80"/>
              <w:spacing w:after="0"/>
              <w:rPr>
                <w:sz w:val="20"/>
                <w:szCs w:val="20"/>
                <w:color w:val="auto"/>
              </w:rPr>
            </w:pPr>
            <w:r>
              <w:rPr>
                <w:rFonts w:ascii="Arial" w:cs="Arial" w:eastAsia="Arial" w:hAnsi="Arial"/>
                <w:sz w:val="19"/>
                <w:szCs w:val="19"/>
                <w:color w:val="auto"/>
              </w:rPr>
              <w:t>executive officer)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4620" w:type="dxa"/>
            <w:vAlign w:val="bottom"/>
          </w:tcPr>
          <w:p>
            <w:pPr>
              <w:spacing w:after="0"/>
              <w:rPr>
                <w:sz w:val="24"/>
                <w:szCs w:val="24"/>
                <w:color w:val="auto"/>
              </w:rPr>
            </w:pPr>
          </w:p>
        </w:tc>
        <w:tc>
          <w:tcPr>
            <w:tcW w:w="2080" w:type="dxa"/>
            <w:vAlign w:val="bottom"/>
          </w:tcPr>
          <w:p>
            <w:pPr>
              <w:ind w:left="80"/>
              <w:spacing w:after="0"/>
              <w:rPr>
                <w:sz w:val="20"/>
                <w:szCs w:val="20"/>
                <w:color w:val="auto"/>
              </w:rPr>
            </w:pPr>
            <w:r>
              <w:rPr>
                <w:rFonts w:ascii="Arial" w:cs="Arial" w:eastAsia="Arial" w:hAnsi="Arial"/>
                <w:sz w:val="19"/>
                <w:szCs w:val="19"/>
                <w:color w:val="auto"/>
              </w:rPr>
              <w:t>Vice President, Chief</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Renee J. Peterson</w:t>
            </w:r>
          </w:p>
        </w:tc>
        <w:tc>
          <w:tcPr>
            <w:tcW w:w="2080" w:type="dxa"/>
            <w:vAlign w:val="bottom"/>
          </w:tcPr>
          <w:p>
            <w:pPr>
              <w:ind w:left="80"/>
              <w:spacing w:after="0"/>
              <w:rPr>
                <w:sz w:val="20"/>
                <w:szCs w:val="20"/>
                <w:color w:val="auto"/>
              </w:rPr>
            </w:pPr>
            <w:r>
              <w:rPr>
                <w:rFonts w:ascii="Arial" w:cs="Arial" w:eastAsia="Arial" w:hAnsi="Arial"/>
                <w:sz w:val="19"/>
                <w:szCs w:val="19"/>
                <w:color w:val="auto"/>
              </w:rPr>
              <w:t>Financial Officer</w:t>
            </w:r>
          </w:p>
        </w:tc>
        <w:tc>
          <w:tcPr>
            <w:tcW w:w="1360" w:type="dxa"/>
            <w:vAlign w:val="bottom"/>
          </w:tcPr>
          <w:p>
            <w:pPr>
              <w:spacing w:after="0"/>
              <w:rPr>
                <w:sz w:val="20"/>
                <w:szCs w:val="20"/>
                <w:color w:val="auto"/>
              </w:rPr>
            </w:pPr>
            <w:r>
              <w:rPr>
                <w:rFonts w:ascii="Arial" w:cs="Arial" w:eastAsia="Arial" w:hAnsi="Arial"/>
                <w:sz w:val="19"/>
                <w:szCs w:val="19"/>
                <w:color w:val="auto"/>
              </w:rPr>
              <w:t>March 23, 2022</w:t>
            </w:r>
          </w:p>
        </w:tc>
        <w:tc>
          <w:tcPr>
            <w:tcW w:w="0" w:type="dxa"/>
            <w:vAlign w:val="bottom"/>
          </w:tcPr>
          <w:p>
            <w:pPr>
              <w:spacing w:after="0"/>
              <w:rPr>
                <w:sz w:val="1"/>
                <w:szCs w:val="1"/>
                <w:color w:val="auto"/>
              </w:rPr>
            </w:pPr>
          </w:p>
        </w:tc>
      </w:tr>
      <w:tr>
        <w:trPr>
          <w:trHeight w:val="196"/>
        </w:trPr>
        <w:tc>
          <w:tcPr>
            <w:tcW w:w="4620" w:type="dxa"/>
            <w:vAlign w:val="bottom"/>
          </w:tcPr>
          <w:p>
            <w:pPr>
              <w:spacing w:after="0" w:line="195" w:lineRule="exact"/>
              <w:rPr>
                <w:sz w:val="20"/>
                <w:szCs w:val="20"/>
                <w:color w:val="auto"/>
              </w:rPr>
            </w:pPr>
            <w:r>
              <w:rPr>
                <w:rFonts w:ascii="Arial" w:cs="Arial" w:eastAsia="Arial" w:hAnsi="Arial"/>
                <w:sz w:val="19"/>
                <w:szCs w:val="19"/>
                <w:color w:val="auto"/>
              </w:rPr>
              <w:t>Renee J. Peterson</w:t>
            </w:r>
          </w:p>
        </w:tc>
        <w:tc>
          <w:tcPr>
            <w:tcW w:w="2080" w:type="dxa"/>
            <w:vAlign w:val="bottom"/>
          </w:tcPr>
          <w:p>
            <w:pPr>
              <w:ind w:left="80"/>
              <w:spacing w:after="0" w:line="195" w:lineRule="exact"/>
              <w:rPr>
                <w:sz w:val="20"/>
                <w:szCs w:val="20"/>
                <w:color w:val="auto"/>
              </w:rPr>
            </w:pPr>
            <w:r>
              <w:rPr>
                <w:rFonts w:ascii="Arial" w:cs="Arial" w:eastAsia="Arial" w:hAnsi="Arial"/>
                <w:sz w:val="19"/>
                <w:szCs w:val="19"/>
                <w:color w:val="auto"/>
                <w:w w:val="99"/>
              </w:rPr>
              <w:t>(principal  financial  and</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2080" w:type="dxa"/>
            <w:vAlign w:val="bottom"/>
          </w:tcPr>
          <w:p>
            <w:pPr>
              <w:ind w:left="80"/>
              <w:spacing w:after="0"/>
              <w:rPr>
                <w:sz w:val="20"/>
                <w:szCs w:val="20"/>
                <w:color w:val="auto"/>
              </w:rPr>
            </w:pPr>
            <w:r>
              <w:rPr>
                <w:rFonts w:ascii="Arial" w:cs="Arial" w:eastAsia="Arial" w:hAnsi="Arial"/>
                <w:sz w:val="19"/>
                <w:szCs w:val="19"/>
                <w:color w:val="auto"/>
              </w:rPr>
              <w:t>accounting officer)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46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Amy E. Dahl</w:t>
            </w:r>
          </w:p>
        </w:tc>
        <w:tc>
          <w:tcPr>
            <w:tcW w:w="2080" w:type="dxa"/>
            <w:vAlign w:val="bottom"/>
          </w:tcPr>
          <w:p>
            <w:pPr>
              <w:ind w:left="80"/>
              <w:spacing w:after="0"/>
              <w:rPr>
                <w:sz w:val="20"/>
                <w:szCs w:val="20"/>
                <w:color w:val="auto"/>
              </w:rPr>
            </w:pPr>
            <w:r>
              <w:rPr>
                <w:rFonts w:ascii="Arial" w:cs="Arial" w:eastAsia="Arial" w:hAnsi="Arial"/>
                <w:sz w:val="19"/>
                <w:szCs w:val="19"/>
                <w:color w:val="auto"/>
              </w:rPr>
              <w:t>Directors</w:t>
            </w:r>
          </w:p>
        </w:tc>
        <w:tc>
          <w:tcPr>
            <w:tcW w:w="1360" w:type="dxa"/>
            <w:vAlign w:val="bottom"/>
          </w:tcPr>
          <w:p>
            <w:pPr>
              <w:spacing w:after="0"/>
              <w:rPr>
                <w:sz w:val="20"/>
                <w:szCs w:val="20"/>
                <w:color w:val="auto"/>
              </w:rPr>
            </w:pPr>
            <w:r>
              <w:rPr>
                <w:rFonts w:ascii="Arial" w:cs="Arial" w:eastAsia="Arial" w:hAnsi="Arial"/>
                <w:sz w:val="19"/>
                <w:szCs w:val="19"/>
                <w:color w:val="auto"/>
              </w:rPr>
              <w:t>March 23, 2022</w:t>
            </w:r>
          </w:p>
        </w:tc>
        <w:tc>
          <w:tcPr>
            <w:tcW w:w="0" w:type="dxa"/>
            <w:vAlign w:val="bottom"/>
          </w:tcPr>
          <w:p>
            <w:pPr>
              <w:spacing w:after="0"/>
              <w:rPr>
                <w:sz w:val="1"/>
                <w:szCs w:val="1"/>
                <w:color w:val="auto"/>
              </w:rPr>
            </w:pPr>
          </w:p>
        </w:tc>
      </w:tr>
      <w:tr>
        <w:trPr>
          <w:trHeight w:val="196"/>
        </w:trPr>
        <w:tc>
          <w:tcPr>
            <w:tcW w:w="4620" w:type="dxa"/>
            <w:vAlign w:val="bottom"/>
          </w:tcPr>
          <w:p>
            <w:pPr>
              <w:spacing w:after="0" w:line="195" w:lineRule="exact"/>
              <w:rPr>
                <w:sz w:val="20"/>
                <w:szCs w:val="20"/>
                <w:color w:val="auto"/>
              </w:rPr>
            </w:pPr>
            <w:r>
              <w:rPr>
                <w:rFonts w:ascii="Arial" w:cs="Arial" w:eastAsia="Arial" w:hAnsi="Arial"/>
                <w:sz w:val="19"/>
                <w:szCs w:val="19"/>
                <w:color w:val="auto"/>
              </w:rPr>
              <w:t>Amy E. Dahl</w:t>
            </w:r>
          </w:p>
        </w:tc>
        <w:tc>
          <w:tcPr>
            <w:tcW w:w="2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20" w:type="dxa"/>
            <w:vAlign w:val="bottom"/>
          </w:tcPr>
          <w:p>
            <w:pPr>
              <w:spacing w:after="0"/>
              <w:rPr>
                <w:sz w:val="20"/>
                <w:szCs w:val="20"/>
                <w:color w:val="auto"/>
              </w:rPr>
            </w:pPr>
            <w:r>
              <w:rPr>
                <w:rFonts w:ascii="Arial" w:cs="Arial" w:eastAsia="Arial" w:hAnsi="Arial"/>
                <w:sz w:val="19"/>
                <w:szCs w:val="19"/>
                <w:color w:val="auto"/>
              </w:rPr>
              <w:t>As attorney in fact for Janet K. Cooper, Gary L. Ellis,</w:t>
            </w:r>
          </w:p>
        </w:tc>
        <w:tc>
          <w:tcPr>
            <w:tcW w:w="2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tcPr>
          <w:p>
            <w:pPr>
              <w:spacing w:after="0"/>
              <w:rPr>
                <w:sz w:val="20"/>
                <w:szCs w:val="20"/>
                <w:color w:val="auto"/>
              </w:rPr>
            </w:pPr>
            <w:r>
              <w:rPr>
                <w:rFonts w:ascii="Arial" w:cs="Arial" w:eastAsia="Arial" w:hAnsi="Arial"/>
                <w:sz w:val="19"/>
                <w:szCs w:val="19"/>
                <w:color w:val="auto"/>
                <w:w w:val="94"/>
              </w:rPr>
              <w:t>Jeffrey M. Ettinger, Eric P. Hansotia, Katherine J. Harless,</w:t>
            </w:r>
          </w:p>
        </w:tc>
        <w:tc>
          <w:tcPr>
            <w:tcW w:w="2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tcPr>
          <w:p>
            <w:pPr>
              <w:spacing w:after="0"/>
              <w:rPr>
                <w:sz w:val="20"/>
                <w:szCs w:val="20"/>
                <w:color w:val="auto"/>
              </w:rPr>
            </w:pPr>
            <w:r>
              <w:rPr>
                <w:rFonts w:ascii="Arial" w:cs="Arial" w:eastAsia="Arial" w:hAnsi="Arial"/>
                <w:sz w:val="19"/>
                <w:szCs w:val="19"/>
                <w:color w:val="auto"/>
                <w:w w:val="94"/>
              </w:rPr>
              <w:t>Jeffrey L. Harmening, D. Christian Koch, Joyce A. Mullen,</w:t>
            </w:r>
          </w:p>
        </w:tc>
        <w:tc>
          <w:tcPr>
            <w:tcW w:w="2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tcPr>
          <w:p>
            <w:pPr>
              <w:spacing w:after="0"/>
              <w:rPr>
                <w:sz w:val="20"/>
                <w:szCs w:val="20"/>
                <w:color w:val="auto"/>
              </w:rPr>
            </w:pPr>
            <w:r>
              <w:rPr>
                <w:rFonts w:ascii="Arial" w:cs="Arial" w:eastAsia="Arial" w:hAnsi="Arial"/>
                <w:sz w:val="19"/>
                <w:szCs w:val="19"/>
                <w:color w:val="auto"/>
                <w:w w:val="91"/>
              </w:rPr>
              <w:t>James C. O’Rourke, Jill M. Pemberton and Michael G. Vale,</w:t>
            </w:r>
          </w:p>
        </w:tc>
        <w:tc>
          <w:tcPr>
            <w:tcW w:w="2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9"/>
                <w:szCs w:val="19"/>
                <w:color w:val="auto"/>
              </w:rPr>
              <w:t>Ph.D.</w:t>
            </w:r>
          </w:p>
        </w:tc>
        <w:tc>
          <w:tcPr>
            <w:tcW w:w="2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3"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9"/>
          <w:szCs w:val="19"/>
          <w:b w:val="1"/>
          <w:bCs w:val="1"/>
          <w:color w:val="auto"/>
        </w:rPr>
        <w:t>Exhibits 5.1 and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14605</wp:posOffset>
            </wp:positionV>
            <wp:extent cx="3458845" cy="467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3458845" cy="46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color w:val="auto"/>
        </w:rPr>
        <w:t>March 23, 2022</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Toro Company</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8111 Lyndale Avenue South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Bloomington, Minnesota 55420</w:t>
      </w: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color w:val="auto"/>
        </w:rPr>
        <w:t>Registration Statement on Form S-8 for The Toro Company 2022 Equity and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07" w:lineRule="exact"/>
        <w:rPr>
          <w:sz w:val="20"/>
          <w:szCs w:val="20"/>
          <w:color w:val="auto"/>
        </w:rPr>
      </w:pPr>
    </w:p>
    <w:p>
      <w:pPr>
        <w:jc w:val="both"/>
        <w:ind w:firstLine="839"/>
        <w:spacing w:after="0" w:line="258" w:lineRule="auto"/>
        <w:rPr>
          <w:sz w:val="20"/>
          <w:szCs w:val="20"/>
          <w:color w:val="auto"/>
        </w:rPr>
      </w:pPr>
      <w:r>
        <w:rPr>
          <w:rFonts w:ascii="Arial" w:cs="Arial" w:eastAsia="Arial" w:hAnsi="Arial"/>
          <w:sz w:val="18"/>
          <w:szCs w:val="18"/>
          <w:color w:val="auto"/>
        </w:rPr>
        <w:t>I am the Vice President, Human Resources, General Counsel and Corporate Secretary of The Toro Company (the “Company”). In connection with the Registration Statement on Form S-8 filed by the Company with the Securities and Exchange Commission relating to the registration of (i) 1,250,000 shares of the Company’s common stock, $1.00 par value per share (“Common Stock”), issuable pursuant to awards under The Toro Company 2022 Equity and Incentive Plan (the “2022 Plan”); (ii) 2,515,966 shares of Common Stock remaining available for issuance under The Toro Company Amended and Restated 2010 Plan, as amended and restated (the “2010 Plan”), as of the effective date of the 2022 Plan (the “Effective Date”) but not subject to outstanding awards as of the Effective Date; and (iii) such indeterminate number of shares as may become available under the 2022 Plan as a result of the adjustment provisions thereof, please be advised that as counsel to the Company, upon examination of such corporate documents and records as I have deemed necessary or appropriate for the purpose of rendering this opinion, it is my opinion that the shares of Common Stock being offered by the Company, when issued in accordance with proper corporate authorizations, will be legally issued, fully paid and non-assessable.</w:t>
      </w:r>
    </w:p>
    <w:p>
      <w:pPr>
        <w:spacing w:after="0" w:line="176" w:lineRule="exact"/>
        <w:rPr>
          <w:sz w:val="20"/>
          <w:szCs w:val="20"/>
          <w:color w:val="auto"/>
        </w:rPr>
      </w:pPr>
    </w:p>
    <w:p>
      <w:pPr>
        <w:jc w:val="both"/>
        <w:ind w:firstLine="839"/>
        <w:spacing w:after="0" w:line="253" w:lineRule="auto"/>
        <w:rPr>
          <w:sz w:val="20"/>
          <w:szCs w:val="20"/>
          <w:color w:val="auto"/>
        </w:rPr>
      </w:pPr>
      <w:r>
        <w:rPr>
          <w:rFonts w:ascii="Arial" w:cs="Arial" w:eastAsia="Arial" w:hAnsi="Arial"/>
          <w:sz w:val="19"/>
          <w:szCs w:val="19"/>
          <w:color w:val="auto"/>
        </w:rPr>
        <w:t>The foregoing opinion is limited to the Federal laws of the United States and the General Corporation Law of the State of Delaware (including the statutory provisions, all applicable provisions of the Delaware Constitution and reported judicial decisions interpreting the foregoing), and I am expressing no opinion as to the effect of the laws of any other jurisdiction.</w:t>
      </w:r>
    </w:p>
    <w:p>
      <w:pPr>
        <w:spacing w:after="0" w:line="174" w:lineRule="exact"/>
        <w:rPr>
          <w:sz w:val="20"/>
          <w:szCs w:val="20"/>
          <w:color w:val="auto"/>
        </w:rPr>
      </w:pPr>
    </w:p>
    <w:p>
      <w:pPr>
        <w:jc w:val="both"/>
        <w:ind w:firstLine="839"/>
        <w:spacing w:after="0" w:line="273" w:lineRule="auto"/>
        <w:rPr>
          <w:sz w:val="20"/>
          <w:szCs w:val="20"/>
          <w:color w:val="auto"/>
        </w:rPr>
      </w:pPr>
      <w:r>
        <w:rPr>
          <w:rFonts w:ascii="Arial" w:cs="Arial" w:eastAsia="Arial" w:hAnsi="Arial"/>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Securities Act of 1933, as amended.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Very truly yours,</w:t>
      </w:r>
    </w:p>
    <w:p>
      <w:pPr>
        <w:spacing w:after="0" w:line="220" w:lineRule="exact"/>
        <w:rPr>
          <w:sz w:val="20"/>
          <w:szCs w:val="20"/>
          <w:color w:val="auto"/>
        </w:rPr>
      </w:pPr>
    </w:p>
    <w:p>
      <w:pPr>
        <w:ind w:left="5460"/>
        <w:spacing w:after="0"/>
        <w:rPr>
          <w:sz w:val="20"/>
          <w:szCs w:val="20"/>
          <w:color w:val="auto"/>
        </w:rPr>
      </w:pPr>
      <w:r>
        <w:rPr>
          <w:rFonts w:ascii="Arial" w:cs="Arial" w:eastAsia="Arial" w:hAnsi="Arial"/>
          <w:sz w:val="19"/>
          <w:szCs w:val="19"/>
          <w:u w:val="single" w:color="auto"/>
          <w:color w:val="auto"/>
        </w:rPr>
        <w:t>/s/ Amy E. Dahl</w:t>
      </w:r>
    </w:p>
    <w:p>
      <w:pPr>
        <w:spacing w:after="0" w:line="17"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Amy E. Dahl</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Vice President, Human Resources, General Counsel and Corporate</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Secretary</w:t>
      </w:r>
    </w:p>
    <w:p>
      <w:pPr>
        <w:sectPr>
          <w:pgSz w:w="11900" w:h="16838" w:orient="portrait"/>
          <w:cols w:equalWidth="0" w:num="1">
            <w:col w:w="11240"/>
          </w:cols>
          <w:pgMar w:left="320" w:top="11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9"/>
          <w:szCs w:val="19"/>
          <w:b w:val="1"/>
          <w:bCs w:val="1"/>
          <w:color w:val="auto"/>
        </w:rPr>
        <w:t>Exhibit 23.2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00" w:lineRule="exact"/>
        <w:rPr>
          <w:sz w:val="20"/>
          <w:szCs w:val="20"/>
          <w:color w:val="auto"/>
        </w:rPr>
      </w:pPr>
    </w:p>
    <w:p>
      <w:pPr>
        <w:spacing w:after="0" w:line="224"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We consent to the use of our report dated December 17, 2021, with respect to the consolidated financial statements of The Toro Company and subsidiaries, and the effectiveness of internal control over financial reporting, incorporated herein by reference.</w:t>
      </w: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/s/ KPMG LLP</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Minneapolis, Minnesota</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March 23, 2022</w:t>
      </w:r>
    </w:p>
    <w:p>
      <w:pPr>
        <w:sectPr>
          <w:pgSz w:w="11900" w:h="16838" w:orient="portrait"/>
          <w:cols w:equalWidth="0" w:num="1">
            <w:col w:w="11240"/>
          </w:cols>
          <w:pgMar w:left="320" w:top="11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9"/>
          <w:szCs w:val="19"/>
          <w:b w:val="1"/>
          <w:bCs w:val="1"/>
          <w:color w:val="auto"/>
        </w:rPr>
        <w:t>Exhibit 24.1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9"/>
          <w:szCs w:val="19"/>
          <w:b w:val="1"/>
          <w:bCs w:val="1"/>
          <w:color w:val="auto"/>
        </w:rPr>
        <w:t>KNOW ALL PERSONS BY THESE PRESENTS</w:t>
      </w:r>
      <w:r>
        <w:rPr>
          <w:rFonts w:ascii="Arial" w:cs="Arial" w:eastAsia="Arial" w:hAnsi="Arial"/>
          <w:sz w:val="19"/>
          <w:szCs w:val="19"/>
          <w:color w:val="auto"/>
        </w:rPr>
        <w:t>, that the undersigned, each being a member of the Board of Directors of The Toro</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 Delaware corporation, do hereby make, nominate and appoint each of RICHARD M. OLSON AND AMY E. DAHL, signing singly, to be his or her attorney-in-fact, with full power and authority to sign his or her name to a Registration Statement on Form S-8 relating to The Toro Company 2022 Equity and Incentive Plan (the “Registration Statement”), and any and all additional amendments thereto (including without limitation additional post-effective amendments to register or de-register shares), provided that the Registration Statement, in final form, be approved by said attorney-in-fact; and his or her name, when thus signed, shall have the same force and effect as though I had manually signed said document or documents.</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I have hereunto affixed my signature this 15</w:t>
      </w:r>
      <w:r>
        <w:rPr>
          <w:rFonts w:ascii="Arial" w:cs="Arial" w:eastAsia="Arial" w:hAnsi="Arial"/>
          <w:sz w:val="16"/>
          <w:szCs w:val="16"/>
          <w:color w:val="auto"/>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day of March, 2022.</w:t>
      </w:r>
    </w:p>
    <w:p>
      <w:pPr>
        <w:spacing w:after="0" w:line="226" w:lineRule="exact"/>
        <w:rPr>
          <w:sz w:val="20"/>
          <w:szCs w:val="20"/>
          <w:color w:val="auto"/>
        </w:rPr>
      </w:pPr>
    </w:p>
    <w:p>
      <w:pPr>
        <w:jc w:val="center"/>
        <w:ind w:left="620"/>
        <w:spacing w:after="0"/>
        <w:rPr>
          <w:sz w:val="20"/>
          <w:szCs w:val="20"/>
          <w:color w:val="auto"/>
        </w:rPr>
      </w:pPr>
      <w:r>
        <w:rPr>
          <w:rFonts w:ascii="Arial" w:cs="Arial" w:eastAsia="Arial" w:hAnsi="Arial"/>
          <w:sz w:val="19"/>
          <w:szCs w:val="19"/>
          <w:u w:val="single" w:color="auto"/>
          <w:color w:val="auto"/>
        </w:rPr>
        <w:t>/s/ Janet K. Cooper</w:t>
      </w:r>
    </w:p>
    <w:p>
      <w:pPr>
        <w:spacing w:after="0" w:line="17" w:lineRule="exact"/>
        <w:rPr>
          <w:sz w:val="20"/>
          <w:szCs w:val="20"/>
          <w:color w:val="auto"/>
        </w:rPr>
      </w:pPr>
    </w:p>
    <w:p>
      <w:pPr>
        <w:jc w:val="center"/>
        <w:ind w:left="620"/>
        <w:spacing w:after="0"/>
        <w:rPr>
          <w:sz w:val="20"/>
          <w:szCs w:val="20"/>
          <w:color w:val="auto"/>
        </w:rPr>
      </w:pPr>
      <w:r>
        <w:rPr>
          <w:rFonts w:ascii="Arial" w:cs="Arial" w:eastAsia="Arial" w:hAnsi="Arial"/>
          <w:sz w:val="19"/>
          <w:szCs w:val="19"/>
          <w:color w:val="auto"/>
        </w:rPr>
        <w:t>Janet K. Cooper</w:t>
      </w:r>
    </w:p>
    <w:p>
      <w:pPr>
        <w:spacing w:after="0" w:line="204" w:lineRule="exact"/>
        <w:rPr>
          <w:sz w:val="20"/>
          <w:szCs w:val="20"/>
          <w:color w:val="auto"/>
        </w:rPr>
      </w:pPr>
    </w:p>
    <w:p>
      <w:pPr>
        <w:jc w:val="center"/>
        <w:ind w:left="620"/>
        <w:spacing w:after="0"/>
        <w:rPr>
          <w:sz w:val="20"/>
          <w:szCs w:val="20"/>
          <w:color w:val="auto"/>
        </w:rPr>
      </w:pPr>
      <w:r>
        <w:rPr>
          <w:rFonts w:ascii="Arial" w:cs="Arial" w:eastAsia="Arial" w:hAnsi="Arial"/>
          <w:sz w:val="19"/>
          <w:szCs w:val="19"/>
          <w:u w:val="single" w:color="auto"/>
          <w:color w:val="auto"/>
        </w:rPr>
        <w:t>/s/ Gary L. Ellis</w:t>
      </w:r>
    </w:p>
    <w:p>
      <w:pPr>
        <w:spacing w:after="0" w:line="17" w:lineRule="exact"/>
        <w:rPr>
          <w:sz w:val="20"/>
          <w:szCs w:val="20"/>
          <w:color w:val="auto"/>
        </w:rPr>
      </w:pPr>
    </w:p>
    <w:p>
      <w:pPr>
        <w:jc w:val="center"/>
        <w:ind w:left="620"/>
        <w:spacing w:after="0"/>
        <w:rPr>
          <w:sz w:val="20"/>
          <w:szCs w:val="20"/>
          <w:color w:val="auto"/>
        </w:rPr>
      </w:pPr>
      <w:r>
        <w:rPr>
          <w:rFonts w:ascii="Arial" w:cs="Arial" w:eastAsia="Arial" w:hAnsi="Arial"/>
          <w:sz w:val="19"/>
          <w:szCs w:val="19"/>
          <w:color w:val="auto"/>
        </w:rPr>
        <w:t>Gary L. Ellis</w:t>
      </w:r>
    </w:p>
    <w:p>
      <w:pPr>
        <w:spacing w:after="0" w:line="204" w:lineRule="exact"/>
        <w:rPr>
          <w:sz w:val="20"/>
          <w:szCs w:val="20"/>
          <w:color w:val="auto"/>
        </w:rPr>
      </w:pPr>
    </w:p>
    <w:p>
      <w:pPr>
        <w:jc w:val="center"/>
        <w:ind w:left="620"/>
        <w:spacing w:after="0"/>
        <w:rPr>
          <w:sz w:val="20"/>
          <w:szCs w:val="20"/>
          <w:color w:val="auto"/>
        </w:rPr>
      </w:pPr>
      <w:r>
        <w:rPr>
          <w:rFonts w:ascii="Arial" w:cs="Arial" w:eastAsia="Arial" w:hAnsi="Arial"/>
          <w:sz w:val="19"/>
          <w:szCs w:val="19"/>
          <w:u w:val="single" w:color="auto"/>
          <w:color w:val="auto"/>
        </w:rPr>
        <w:t>/s/ Jeffrey M. Ettinger</w:t>
      </w:r>
    </w:p>
    <w:p>
      <w:pPr>
        <w:spacing w:after="0" w:line="17" w:lineRule="exact"/>
        <w:rPr>
          <w:sz w:val="20"/>
          <w:szCs w:val="20"/>
          <w:color w:val="auto"/>
        </w:rPr>
      </w:pPr>
    </w:p>
    <w:p>
      <w:pPr>
        <w:jc w:val="center"/>
        <w:ind w:left="620"/>
        <w:spacing w:after="0"/>
        <w:rPr>
          <w:sz w:val="20"/>
          <w:szCs w:val="20"/>
          <w:color w:val="auto"/>
        </w:rPr>
      </w:pPr>
      <w:r>
        <w:rPr>
          <w:rFonts w:ascii="Arial" w:cs="Arial" w:eastAsia="Arial" w:hAnsi="Arial"/>
          <w:sz w:val="19"/>
          <w:szCs w:val="19"/>
          <w:color w:val="auto"/>
        </w:rPr>
        <w:t>Jeffrey M. Ettinger</w:t>
      </w:r>
    </w:p>
    <w:p>
      <w:pPr>
        <w:spacing w:after="0" w:line="204" w:lineRule="exact"/>
        <w:rPr>
          <w:sz w:val="20"/>
          <w:szCs w:val="20"/>
          <w:color w:val="auto"/>
        </w:rPr>
      </w:pPr>
    </w:p>
    <w:p>
      <w:pPr>
        <w:jc w:val="center"/>
        <w:ind w:left="620"/>
        <w:spacing w:after="0"/>
        <w:rPr>
          <w:sz w:val="20"/>
          <w:szCs w:val="20"/>
          <w:color w:val="auto"/>
        </w:rPr>
      </w:pPr>
      <w:r>
        <w:rPr>
          <w:rFonts w:ascii="Arial" w:cs="Arial" w:eastAsia="Arial" w:hAnsi="Arial"/>
          <w:sz w:val="19"/>
          <w:szCs w:val="19"/>
          <w:u w:val="single" w:color="auto"/>
          <w:color w:val="auto"/>
        </w:rPr>
        <w:t>/s/ Eric P. Hansotia</w:t>
      </w:r>
    </w:p>
    <w:p>
      <w:pPr>
        <w:spacing w:after="0" w:line="17" w:lineRule="exact"/>
        <w:rPr>
          <w:sz w:val="20"/>
          <w:szCs w:val="20"/>
          <w:color w:val="auto"/>
        </w:rPr>
      </w:pPr>
    </w:p>
    <w:p>
      <w:pPr>
        <w:jc w:val="center"/>
        <w:ind w:left="620"/>
        <w:spacing w:after="0"/>
        <w:rPr>
          <w:sz w:val="20"/>
          <w:szCs w:val="20"/>
          <w:color w:val="auto"/>
        </w:rPr>
      </w:pPr>
      <w:r>
        <w:rPr>
          <w:rFonts w:ascii="Arial" w:cs="Arial" w:eastAsia="Arial" w:hAnsi="Arial"/>
          <w:sz w:val="19"/>
          <w:szCs w:val="19"/>
          <w:color w:val="auto"/>
        </w:rPr>
        <w:t>Eric P. Hansotia</w:t>
      </w:r>
    </w:p>
    <w:p>
      <w:pPr>
        <w:spacing w:after="0" w:line="204" w:lineRule="exact"/>
        <w:rPr>
          <w:sz w:val="20"/>
          <w:szCs w:val="20"/>
          <w:color w:val="auto"/>
        </w:rPr>
      </w:pPr>
    </w:p>
    <w:p>
      <w:pPr>
        <w:jc w:val="center"/>
        <w:ind w:left="620"/>
        <w:spacing w:after="0"/>
        <w:rPr>
          <w:sz w:val="20"/>
          <w:szCs w:val="20"/>
          <w:color w:val="auto"/>
        </w:rPr>
      </w:pPr>
      <w:r>
        <w:rPr>
          <w:rFonts w:ascii="Arial" w:cs="Arial" w:eastAsia="Arial" w:hAnsi="Arial"/>
          <w:sz w:val="19"/>
          <w:szCs w:val="19"/>
          <w:u w:val="single" w:color="auto"/>
          <w:color w:val="auto"/>
        </w:rPr>
        <w:t>/s/ Katherine J. Harless</w:t>
      </w:r>
    </w:p>
    <w:p>
      <w:pPr>
        <w:spacing w:after="0" w:line="17" w:lineRule="exact"/>
        <w:rPr>
          <w:sz w:val="20"/>
          <w:szCs w:val="20"/>
          <w:color w:val="auto"/>
        </w:rPr>
      </w:pPr>
    </w:p>
    <w:p>
      <w:pPr>
        <w:jc w:val="center"/>
        <w:ind w:left="620"/>
        <w:spacing w:after="0"/>
        <w:rPr>
          <w:sz w:val="20"/>
          <w:szCs w:val="20"/>
          <w:color w:val="auto"/>
        </w:rPr>
      </w:pPr>
      <w:r>
        <w:rPr>
          <w:rFonts w:ascii="Arial" w:cs="Arial" w:eastAsia="Arial" w:hAnsi="Arial"/>
          <w:sz w:val="19"/>
          <w:szCs w:val="19"/>
          <w:color w:val="auto"/>
        </w:rPr>
        <w:t>Katherine J. Harless</w:t>
      </w:r>
    </w:p>
    <w:p>
      <w:pPr>
        <w:spacing w:after="0" w:line="204" w:lineRule="exact"/>
        <w:rPr>
          <w:sz w:val="20"/>
          <w:szCs w:val="20"/>
          <w:color w:val="auto"/>
        </w:rPr>
      </w:pPr>
    </w:p>
    <w:p>
      <w:pPr>
        <w:jc w:val="center"/>
        <w:ind w:left="620"/>
        <w:spacing w:after="0"/>
        <w:rPr>
          <w:sz w:val="20"/>
          <w:szCs w:val="20"/>
          <w:color w:val="auto"/>
        </w:rPr>
      </w:pPr>
      <w:r>
        <w:rPr>
          <w:rFonts w:ascii="Arial" w:cs="Arial" w:eastAsia="Arial" w:hAnsi="Arial"/>
          <w:sz w:val="19"/>
          <w:szCs w:val="19"/>
          <w:u w:val="single" w:color="auto"/>
          <w:color w:val="auto"/>
        </w:rPr>
        <w:t>/s/ Jeffrey L. Harmening</w:t>
      </w:r>
    </w:p>
    <w:p>
      <w:pPr>
        <w:spacing w:after="0" w:line="17" w:lineRule="exact"/>
        <w:rPr>
          <w:sz w:val="20"/>
          <w:szCs w:val="20"/>
          <w:color w:val="auto"/>
        </w:rPr>
      </w:pPr>
    </w:p>
    <w:p>
      <w:pPr>
        <w:jc w:val="center"/>
        <w:ind w:left="620"/>
        <w:spacing w:after="0"/>
        <w:rPr>
          <w:sz w:val="20"/>
          <w:szCs w:val="20"/>
          <w:color w:val="auto"/>
        </w:rPr>
      </w:pPr>
      <w:r>
        <w:rPr>
          <w:rFonts w:ascii="Arial" w:cs="Arial" w:eastAsia="Arial" w:hAnsi="Arial"/>
          <w:sz w:val="19"/>
          <w:szCs w:val="19"/>
          <w:color w:val="auto"/>
        </w:rPr>
        <w:t>Jeffrey L. Harmening</w:t>
      </w:r>
    </w:p>
    <w:p>
      <w:pPr>
        <w:spacing w:after="0" w:line="204" w:lineRule="exact"/>
        <w:rPr>
          <w:sz w:val="20"/>
          <w:szCs w:val="20"/>
          <w:color w:val="auto"/>
        </w:rPr>
      </w:pPr>
    </w:p>
    <w:p>
      <w:pPr>
        <w:jc w:val="center"/>
        <w:ind w:left="620"/>
        <w:spacing w:after="0"/>
        <w:rPr>
          <w:sz w:val="20"/>
          <w:szCs w:val="20"/>
          <w:color w:val="auto"/>
        </w:rPr>
      </w:pPr>
      <w:r>
        <w:rPr>
          <w:rFonts w:ascii="Arial" w:cs="Arial" w:eastAsia="Arial" w:hAnsi="Arial"/>
          <w:sz w:val="19"/>
          <w:szCs w:val="19"/>
          <w:u w:val="single" w:color="auto"/>
          <w:color w:val="auto"/>
        </w:rPr>
        <w:t>/s/ D. Christian Koch</w:t>
      </w:r>
    </w:p>
    <w:p>
      <w:pPr>
        <w:spacing w:after="0" w:line="17" w:lineRule="exact"/>
        <w:rPr>
          <w:sz w:val="20"/>
          <w:szCs w:val="20"/>
          <w:color w:val="auto"/>
        </w:rPr>
      </w:pPr>
    </w:p>
    <w:p>
      <w:pPr>
        <w:jc w:val="center"/>
        <w:ind w:left="620"/>
        <w:spacing w:after="0"/>
        <w:rPr>
          <w:sz w:val="20"/>
          <w:szCs w:val="20"/>
          <w:color w:val="auto"/>
        </w:rPr>
      </w:pPr>
      <w:r>
        <w:rPr>
          <w:rFonts w:ascii="Arial" w:cs="Arial" w:eastAsia="Arial" w:hAnsi="Arial"/>
          <w:sz w:val="19"/>
          <w:szCs w:val="19"/>
          <w:color w:val="auto"/>
        </w:rPr>
        <w:t>D. Christian Koch</w:t>
      </w:r>
    </w:p>
    <w:p>
      <w:pPr>
        <w:spacing w:after="0" w:line="204" w:lineRule="exact"/>
        <w:rPr>
          <w:sz w:val="20"/>
          <w:szCs w:val="20"/>
          <w:color w:val="auto"/>
        </w:rPr>
      </w:pPr>
    </w:p>
    <w:p>
      <w:pPr>
        <w:jc w:val="center"/>
        <w:ind w:left="620"/>
        <w:spacing w:after="0"/>
        <w:rPr>
          <w:sz w:val="20"/>
          <w:szCs w:val="20"/>
          <w:color w:val="auto"/>
        </w:rPr>
      </w:pPr>
      <w:r>
        <w:rPr>
          <w:rFonts w:ascii="Arial" w:cs="Arial" w:eastAsia="Arial" w:hAnsi="Arial"/>
          <w:sz w:val="19"/>
          <w:szCs w:val="19"/>
          <w:u w:val="single" w:color="auto"/>
          <w:color w:val="auto"/>
        </w:rPr>
        <w:t>/s/ Joyce A. Mullen</w:t>
      </w:r>
    </w:p>
    <w:p>
      <w:pPr>
        <w:spacing w:after="0" w:line="17" w:lineRule="exact"/>
        <w:rPr>
          <w:sz w:val="20"/>
          <w:szCs w:val="20"/>
          <w:color w:val="auto"/>
        </w:rPr>
      </w:pPr>
    </w:p>
    <w:p>
      <w:pPr>
        <w:jc w:val="center"/>
        <w:ind w:left="620"/>
        <w:spacing w:after="0"/>
        <w:rPr>
          <w:sz w:val="20"/>
          <w:szCs w:val="20"/>
          <w:color w:val="auto"/>
        </w:rPr>
      </w:pPr>
      <w:r>
        <w:rPr>
          <w:rFonts w:ascii="Arial" w:cs="Arial" w:eastAsia="Arial" w:hAnsi="Arial"/>
          <w:sz w:val="19"/>
          <w:szCs w:val="19"/>
          <w:color w:val="auto"/>
        </w:rPr>
        <w:t>Joyce A. Mullen</w:t>
      </w:r>
    </w:p>
    <w:p>
      <w:pPr>
        <w:spacing w:after="0" w:line="204" w:lineRule="exact"/>
        <w:rPr>
          <w:sz w:val="20"/>
          <w:szCs w:val="20"/>
          <w:color w:val="auto"/>
        </w:rPr>
      </w:pPr>
    </w:p>
    <w:p>
      <w:pPr>
        <w:jc w:val="center"/>
        <w:ind w:left="620"/>
        <w:spacing w:after="0"/>
        <w:rPr>
          <w:sz w:val="20"/>
          <w:szCs w:val="20"/>
          <w:color w:val="auto"/>
        </w:rPr>
      </w:pPr>
      <w:r>
        <w:rPr>
          <w:rFonts w:ascii="Arial" w:cs="Arial" w:eastAsia="Arial" w:hAnsi="Arial"/>
          <w:sz w:val="19"/>
          <w:szCs w:val="19"/>
          <w:u w:val="single" w:color="auto"/>
          <w:color w:val="auto"/>
        </w:rPr>
        <w:t>/s/ James C. O’Rourke</w:t>
      </w:r>
    </w:p>
    <w:p>
      <w:pPr>
        <w:spacing w:after="0" w:line="17" w:lineRule="exact"/>
        <w:rPr>
          <w:sz w:val="20"/>
          <w:szCs w:val="20"/>
          <w:color w:val="auto"/>
        </w:rPr>
      </w:pPr>
    </w:p>
    <w:p>
      <w:pPr>
        <w:jc w:val="center"/>
        <w:ind w:left="620"/>
        <w:spacing w:after="0"/>
        <w:rPr>
          <w:sz w:val="20"/>
          <w:szCs w:val="20"/>
          <w:color w:val="auto"/>
        </w:rPr>
      </w:pPr>
      <w:r>
        <w:rPr>
          <w:rFonts w:ascii="Arial" w:cs="Arial" w:eastAsia="Arial" w:hAnsi="Arial"/>
          <w:sz w:val="19"/>
          <w:szCs w:val="19"/>
          <w:color w:val="auto"/>
        </w:rPr>
        <w:t>James C. O’Rourke</w:t>
      </w:r>
    </w:p>
    <w:p>
      <w:pPr>
        <w:spacing w:after="0" w:line="204" w:lineRule="exact"/>
        <w:rPr>
          <w:sz w:val="20"/>
          <w:szCs w:val="20"/>
          <w:color w:val="auto"/>
        </w:rPr>
      </w:pPr>
    </w:p>
    <w:p>
      <w:pPr>
        <w:jc w:val="center"/>
        <w:ind w:left="620"/>
        <w:spacing w:after="0"/>
        <w:rPr>
          <w:sz w:val="20"/>
          <w:szCs w:val="20"/>
          <w:color w:val="auto"/>
        </w:rPr>
      </w:pPr>
      <w:r>
        <w:rPr>
          <w:rFonts w:ascii="Arial" w:cs="Arial" w:eastAsia="Arial" w:hAnsi="Arial"/>
          <w:sz w:val="19"/>
          <w:szCs w:val="19"/>
          <w:u w:val="single" w:color="auto"/>
          <w:color w:val="auto"/>
        </w:rPr>
        <w:t>/s/ Jill M. Pemberton</w:t>
      </w:r>
    </w:p>
    <w:p>
      <w:pPr>
        <w:spacing w:after="0" w:line="17" w:lineRule="exact"/>
        <w:rPr>
          <w:sz w:val="20"/>
          <w:szCs w:val="20"/>
          <w:color w:val="auto"/>
        </w:rPr>
      </w:pPr>
    </w:p>
    <w:p>
      <w:pPr>
        <w:jc w:val="center"/>
        <w:ind w:left="620"/>
        <w:spacing w:after="0"/>
        <w:rPr>
          <w:sz w:val="20"/>
          <w:szCs w:val="20"/>
          <w:color w:val="auto"/>
        </w:rPr>
      </w:pPr>
      <w:r>
        <w:rPr>
          <w:rFonts w:ascii="Arial" w:cs="Arial" w:eastAsia="Arial" w:hAnsi="Arial"/>
          <w:sz w:val="19"/>
          <w:szCs w:val="19"/>
          <w:color w:val="auto"/>
        </w:rPr>
        <w:t>Jill M. Pemberton</w:t>
      </w:r>
    </w:p>
    <w:p>
      <w:pPr>
        <w:spacing w:after="0" w:line="204" w:lineRule="exact"/>
        <w:rPr>
          <w:sz w:val="20"/>
          <w:szCs w:val="20"/>
          <w:color w:val="auto"/>
        </w:rPr>
      </w:pPr>
    </w:p>
    <w:p>
      <w:pPr>
        <w:jc w:val="center"/>
        <w:ind w:left="620"/>
        <w:spacing w:after="0"/>
        <w:rPr>
          <w:sz w:val="20"/>
          <w:szCs w:val="20"/>
          <w:color w:val="auto"/>
        </w:rPr>
      </w:pPr>
      <w:r>
        <w:rPr>
          <w:rFonts w:ascii="Arial" w:cs="Arial" w:eastAsia="Arial" w:hAnsi="Arial"/>
          <w:sz w:val="19"/>
          <w:szCs w:val="19"/>
          <w:u w:val="single" w:color="auto"/>
          <w:color w:val="auto"/>
        </w:rPr>
        <w:t>/s/ Michael G. Vale, Ph.D.</w:t>
      </w:r>
    </w:p>
    <w:p>
      <w:pPr>
        <w:spacing w:after="0" w:line="17" w:lineRule="exact"/>
        <w:rPr>
          <w:sz w:val="20"/>
          <w:szCs w:val="20"/>
          <w:color w:val="auto"/>
        </w:rPr>
      </w:pPr>
    </w:p>
    <w:p>
      <w:pPr>
        <w:jc w:val="center"/>
        <w:ind w:left="620"/>
        <w:spacing w:after="0"/>
        <w:rPr>
          <w:sz w:val="20"/>
          <w:szCs w:val="20"/>
          <w:color w:val="auto"/>
        </w:rPr>
      </w:pPr>
      <w:r>
        <w:rPr>
          <w:rFonts w:ascii="Arial" w:cs="Arial" w:eastAsia="Arial" w:hAnsi="Arial"/>
          <w:sz w:val="19"/>
          <w:szCs w:val="19"/>
          <w:color w:val="auto"/>
        </w:rPr>
        <w:t>Michael G. Vale, Ph.D.</w:t>
      </w:r>
    </w:p>
    <w:p>
      <w:pPr>
        <w:sectPr>
          <w:pgSz w:w="11900" w:h="16838" w:orient="portrait"/>
          <w:cols w:equalWidth="0" w:num="1">
            <w:col w:w="11240"/>
          </w:cols>
          <w:pgMar w:left="320" w:top="118"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7"/>
          <w:szCs w:val="17"/>
          <w:b w:val="1"/>
          <w:bCs w:val="1"/>
          <w:color w:val="auto"/>
        </w:rPr>
        <w:t>Exhibit 107</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Calculation of Filing Fee Tables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S-8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Type)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Toro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Table 1: Newly Registered Securities</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280" w:type="dxa"/>
            <w:vAlign w:val="bottom"/>
            <w:tcBorders>
              <w:top w:val="single" w:sz="8" w:color="auto"/>
              <w:left w:val="single" w:sz="8" w:color="auto"/>
              <w:right w:val="single" w:sz="8" w:color="auto"/>
            </w:tcBorders>
          </w:tcPr>
          <w:p>
            <w:pPr>
              <w:spacing w:after="0"/>
              <w:rPr>
                <w:sz w:val="16"/>
                <w:szCs w:val="16"/>
                <w:color w:val="auto"/>
              </w:rPr>
            </w:pPr>
          </w:p>
        </w:tc>
        <w:tc>
          <w:tcPr>
            <w:tcW w:w="1240" w:type="dxa"/>
            <w:vAlign w:val="bottom"/>
            <w:tcBorders>
              <w:top w:val="single" w:sz="8" w:color="auto"/>
              <w:right w:val="single" w:sz="8" w:color="auto"/>
            </w:tcBorders>
          </w:tcPr>
          <w:p>
            <w:pPr>
              <w:spacing w:after="0"/>
              <w:rPr>
                <w:sz w:val="16"/>
                <w:szCs w:val="16"/>
                <w:color w:val="auto"/>
              </w:rPr>
            </w:pPr>
          </w:p>
        </w:tc>
        <w:tc>
          <w:tcPr>
            <w:tcW w:w="1380" w:type="dxa"/>
            <w:vAlign w:val="bottom"/>
            <w:tcBorders>
              <w:top w:val="single" w:sz="8" w:color="auto"/>
              <w:right w:val="single" w:sz="8" w:color="auto"/>
            </w:tcBorders>
          </w:tcPr>
          <w:p>
            <w:pPr>
              <w:spacing w:after="0"/>
              <w:rPr>
                <w:sz w:val="16"/>
                <w:szCs w:val="16"/>
                <w:color w:val="auto"/>
              </w:rPr>
            </w:pPr>
          </w:p>
        </w:tc>
        <w:tc>
          <w:tcPr>
            <w:tcW w:w="1380" w:type="dxa"/>
            <w:vAlign w:val="bottom"/>
            <w:tcBorders>
              <w:top w:val="single" w:sz="8" w:color="auto"/>
              <w:right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Proposed maximum</w:t>
            </w:r>
          </w:p>
        </w:tc>
        <w:tc>
          <w:tcPr>
            <w:tcW w:w="1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Maximum aggregate</w:t>
            </w:r>
          </w:p>
        </w:tc>
        <w:tc>
          <w:tcPr>
            <w:tcW w:w="138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Amount of</w:t>
            </w:r>
          </w:p>
        </w:tc>
        <w:tc>
          <w:tcPr>
            <w:tcW w:w="0" w:type="dxa"/>
            <w:vAlign w:val="bottom"/>
          </w:tcPr>
          <w:p>
            <w:pPr>
              <w:spacing w:after="0"/>
              <w:rPr>
                <w:sz w:val="1"/>
                <w:szCs w:val="1"/>
                <w:color w:val="auto"/>
              </w:rPr>
            </w:pPr>
          </w:p>
        </w:tc>
      </w:tr>
      <w:tr>
        <w:trPr>
          <w:trHeight w:val="90"/>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Security type</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1"/>
              </w:rPr>
              <w:t>Security class title</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2"/>
              </w:rPr>
              <w:t>Fee calculation rule</w:t>
            </w:r>
          </w:p>
        </w:tc>
        <w:tc>
          <w:tcPr>
            <w:tcW w:w="1380" w:type="dxa"/>
            <w:vAlign w:val="bottom"/>
            <w:tcBorders>
              <w:right w:val="single" w:sz="8" w:color="auto"/>
            </w:tcBorders>
            <w:vMerge w:val="restart"/>
          </w:tcPr>
          <w:p>
            <w:pPr>
              <w:jc w:val="center"/>
              <w:spacing w:after="0" w:line="193" w:lineRule="exact"/>
              <w:rPr>
                <w:sz w:val="20"/>
                <w:szCs w:val="20"/>
                <w:color w:val="auto"/>
              </w:rPr>
            </w:pPr>
            <w:r>
              <w:rPr>
                <w:rFonts w:ascii="Arial" w:cs="Arial" w:eastAsia="Arial" w:hAnsi="Arial"/>
                <w:sz w:val="15"/>
                <w:szCs w:val="15"/>
                <w:b w:val="1"/>
                <w:bCs w:val="1"/>
                <w:color w:val="auto"/>
                <w:w w:val="89"/>
              </w:rPr>
              <w:t>Amount registered</w:t>
            </w:r>
            <w:r>
              <w:rPr>
                <w:rFonts w:ascii="Arial" w:cs="Arial" w:eastAsia="Arial" w:hAnsi="Arial"/>
                <w:sz w:val="22"/>
                <w:szCs w:val="22"/>
                <w:b w:val="1"/>
                <w:bCs w:val="1"/>
                <w:color w:val="auto"/>
                <w:w w:val="89"/>
                <w:vertAlign w:val="superscript"/>
              </w:rPr>
              <w:t>(1)</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offering price per</w:t>
            </w:r>
          </w:p>
        </w:tc>
        <w:tc>
          <w:tcPr>
            <w:tcW w:w="18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Fee rate</w:t>
            </w:r>
          </w:p>
        </w:tc>
        <w:tc>
          <w:tcPr>
            <w:tcW w:w="1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offering price</w:t>
            </w:r>
          </w:p>
        </w:tc>
        <w:tc>
          <w:tcPr>
            <w:tcW w:w="138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2"/>
              </w:rPr>
              <w:t>registration fee</w:t>
            </w:r>
          </w:p>
        </w:tc>
        <w:tc>
          <w:tcPr>
            <w:tcW w:w="0" w:type="dxa"/>
            <w:vAlign w:val="bottom"/>
          </w:tcPr>
          <w:p>
            <w:pPr>
              <w:spacing w:after="0"/>
              <w:rPr>
                <w:sz w:val="1"/>
                <w:szCs w:val="1"/>
                <w:color w:val="auto"/>
              </w:rPr>
            </w:pPr>
          </w:p>
        </w:tc>
      </w:tr>
      <w:tr>
        <w:trPr>
          <w:trHeight w:val="99"/>
        </w:trPr>
        <w:tc>
          <w:tcPr>
            <w:tcW w:w="128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restart"/>
          </w:tcPr>
          <w:p>
            <w:pPr>
              <w:jc w:val="center"/>
              <w:spacing w:after="0" w:line="246" w:lineRule="exact"/>
              <w:rPr>
                <w:sz w:val="20"/>
                <w:szCs w:val="20"/>
                <w:color w:val="auto"/>
              </w:rPr>
            </w:pPr>
            <w:r>
              <w:rPr>
                <w:rFonts w:ascii="Arial" w:cs="Arial" w:eastAsia="Arial" w:hAnsi="Arial"/>
                <w:sz w:val="15"/>
                <w:szCs w:val="15"/>
                <w:b w:val="1"/>
                <w:bCs w:val="1"/>
                <w:color w:val="auto"/>
                <w:w w:val="90"/>
              </w:rPr>
              <w:t>unit</w:t>
            </w:r>
            <w:r>
              <w:rPr>
                <w:rFonts w:ascii="Arial" w:cs="Arial" w:eastAsia="Arial" w:hAnsi="Arial"/>
                <w:sz w:val="23"/>
                <w:szCs w:val="23"/>
                <w:b w:val="1"/>
                <w:bCs w:val="1"/>
                <w:color w:val="auto"/>
                <w:w w:val="90"/>
                <w:vertAlign w:val="superscript"/>
              </w:rPr>
              <w:t>(2)</w:t>
            </w:r>
          </w:p>
        </w:tc>
        <w:tc>
          <w:tcPr>
            <w:tcW w:w="182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vMerge w:val="continue"/>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Common Stock,</w:t>
            </w:r>
          </w:p>
        </w:tc>
        <w:tc>
          <w:tcPr>
            <w:tcW w:w="138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$92.70 per</w:t>
            </w:r>
          </w:p>
        </w:tc>
        <w:tc>
          <w:tcPr>
            <w:tcW w:w="1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Equity – 2022 Plan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par value $1.00 per</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457(c) and 457 (h)</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1,250,000 shares</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$84.54</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$105,675,000.00</w:t>
            </w:r>
          </w:p>
        </w:tc>
        <w:tc>
          <w:tcPr>
            <w:tcW w:w="138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$9,796.07</w:t>
            </w:r>
          </w:p>
        </w:tc>
        <w:tc>
          <w:tcPr>
            <w:tcW w:w="0" w:type="dxa"/>
            <w:vAlign w:val="bottom"/>
          </w:tcPr>
          <w:p>
            <w:pPr>
              <w:spacing w:after="0"/>
              <w:rPr>
                <w:sz w:val="1"/>
                <w:szCs w:val="1"/>
                <w:color w:val="auto"/>
              </w:rPr>
            </w:pPr>
          </w:p>
        </w:tc>
      </w:tr>
      <w:tr>
        <w:trPr>
          <w:trHeight w:val="100"/>
        </w:trPr>
        <w:tc>
          <w:tcPr>
            <w:tcW w:w="128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$1,000,000</w:t>
            </w:r>
          </w:p>
        </w:tc>
        <w:tc>
          <w:tcPr>
            <w:tcW w:w="14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15"/>
                <w:szCs w:val="15"/>
                <w:color w:val="auto"/>
                <w:w w:val="81"/>
              </w:rPr>
              <w:t>share</w:t>
            </w:r>
            <w:r>
              <w:rPr>
                <w:rFonts w:ascii="Arial" w:cs="Arial" w:eastAsia="Arial" w:hAnsi="Arial"/>
                <w:sz w:val="26"/>
                <w:szCs w:val="26"/>
                <w:color w:val="auto"/>
                <w:w w:val="81"/>
                <w:vertAlign w:val="superscript"/>
              </w:rPr>
              <w:t>(3)</w:t>
            </w:r>
          </w:p>
        </w:tc>
        <w:tc>
          <w:tcPr>
            <w:tcW w:w="138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vMerge w:val="continue"/>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Common Stock,</w:t>
            </w:r>
          </w:p>
        </w:tc>
        <w:tc>
          <w:tcPr>
            <w:tcW w:w="138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$92.70 per</w:t>
            </w:r>
          </w:p>
        </w:tc>
        <w:tc>
          <w:tcPr>
            <w:tcW w:w="1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4"/>
              </w:rPr>
              <w:t>Equity - 2010 Plan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par value $1.00 per</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457(c) and 457 (h)</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2,515,966 shares</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$84.54</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$212,699,765.64</w:t>
            </w:r>
          </w:p>
        </w:tc>
        <w:tc>
          <w:tcPr>
            <w:tcW w:w="138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$19,717.27</w:t>
            </w:r>
          </w:p>
        </w:tc>
        <w:tc>
          <w:tcPr>
            <w:tcW w:w="0" w:type="dxa"/>
            <w:vAlign w:val="bottom"/>
          </w:tcPr>
          <w:p>
            <w:pPr>
              <w:spacing w:after="0"/>
              <w:rPr>
                <w:sz w:val="1"/>
                <w:szCs w:val="1"/>
                <w:color w:val="auto"/>
              </w:rPr>
            </w:pPr>
          </w:p>
        </w:tc>
      </w:tr>
      <w:tr>
        <w:trPr>
          <w:trHeight w:val="100"/>
        </w:trPr>
        <w:tc>
          <w:tcPr>
            <w:tcW w:w="128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$1,000,000</w:t>
            </w:r>
          </w:p>
        </w:tc>
        <w:tc>
          <w:tcPr>
            <w:tcW w:w="14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28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center"/>
              <w:spacing w:after="0" w:line="243" w:lineRule="exact"/>
              <w:rPr>
                <w:sz w:val="20"/>
                <w:szCs w:val="20"/>
                <w:color w:val="auto"/>
              </w:rPr>
            </w:pPr>
            <w:r>
              <w:rPr>
                <w:rFonts w:ascii="Arial" w:cs="Arial" w:eastAsia="Arial" w:hAnsi="Arial"/>
                <w:sz w:val="15"/>
                <w:szCs w:val="15"/>
                <w:color w:val="auto"/>
                <w:w w:val="81"/>
              </w:rPr>
              <w:t>share</w:t>
            </w:r>
            <w:r>
              <w:rPr>
                <w:rFonts w:ascii="Arial" w:cs="Arial" w:eastAsia="Arial" w:hAnsi="Arial"/>
                <w:sz w:val="26"/>
                <w:szCs w:val="26"/>
                <w:color w:val="auto"/>
                <w:w w:val="81"/>
                <w:vertAlign w:val="superscript"/>
              </w:rPr>
              <w:t>(4)</w:t>
            </w:r>
          </w:p>
        </w:tc>
        <w:tc>
          <w:tcPr>
            <w:tcW w:w="138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vMerge w:val="continue"/>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2760" w:type="dxa"/>
            <w:vAlign w:val="bottom"/>
            <w:gridSpan w:val="2"/>
          </w:tcPr>
          <w:p>
            <w:pPr>
              <w:jc w:val="center"/>
              <w:ind w:right="1104"/>
              <w:spacing w:after="0"/>
              <w:rPr>
                <w:sz w:val="20"/>
                <w:szCs w:val="20"/>
                <w:color w:val="auto"/>
              </w:rPr>
            </w:pPr>
            <w:r>
              <w:rPr>
                <w:rFonts w:ascii="Arial" w:cs="Arial" w:eastAsia="Arial" w:hAnsi="Arial"/>
                <w:sz w:val="15"/>
                <w:szCs w:val="15"/>
                <w:color w:val="auto"/>
                <w:w w:val="97"/>
              </w:rPr>
              <w:t>Total Offering Amounts</w:t>
            </w:r>
          </w:p>
        </w:tc>
        <w:tc>
          <w:tcPr>
            <w:tcW w:w="136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$318,374,765.64</w:t>
            </w:r>
          </w:p>
        </w:tc>
        <w:tc>
          <w:tcPr>
            <w:tcW w:w="138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$29,513.34</w:t>
            </w:r>
          </w:p>
        </w:tc>
        <w:tc>
          <w:tcPr>
            <w:tcW w:w="0" w:type="dxa"/>
            <w:vAlign w:val="bottom"/>
          </w:tcPr>
          <w:p>
            <w:pPr>
              <w:spacing w:after="0"/>
              <w:rPr>
                <w:sz w:val="1"/>
                <w:szCs w:val="1"/>
                <w:color w:val="auto"/>
              </w:rPr>
            </w:pPr>
          </w:p>
        </w:tc>
      </w:tr>
      <w:tr>
        <w:trPr>
          <w:trHeight w:val="36"/>
        </w:trPr>
        <w:tc>
          <w:tcPr>
            <w:tcW w:w="1280" w:type="dxa"/>
            <w:vAlign w:val="bottom"/>
            <w:tcBorders>
              <w:left w:val="single" w:sz="8" w:color="auto"/>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380" w:type="dxa"/>
            <w:vAlign w:val="bottom"/>
          </w:tcPr>
          <w:p>
            <w:pPr>
              <w:jc w:val="center"/>
              <w:ind w:left="123"/>
              <w:spacing w:after="0"/>
              <w:rPr>
                <w:sz w:val="20"/>
                <w:szCs w:val="20"/>
                <w:color w:val="auto"/>
              </w:rPr>
            </w:pPr>
            <w:r>
              <w:rPr>
                <w:rFonts w:ascii="Arial" w:cs="Arial" w:eastAsia="Arial" w:hAnsi="Arial"/>
                <w:sz w:val="15"/>
                <w:szCs w:val="15"/>
                <w:color w:val="auto"/>
                <w:w w:val="92"/>
              </w:rPr>
              <w:t>Total Fee Offsets</w:t>
            </w:r>
          </w:p>
        </w:tc>
        <w:tc>
          <w:tcPr>
            <w:tcW w:w="138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$0.00</w:t>
            </w:r>
          </w:p>
        </w:tc>
        <w:tc>
          <w:tcPr>
            <w:tcW w:w="0" w:type="dxa"/>
            <w:vAlign w:val="bottom"/>
          </w:tcPr>
          <w:p>
            <w:pPr>
              <w:spacing w:after="0"/>
              <w:rPr>
                <w:sz w:val="1"/>
                <w:szCs w:val="1"/>
                <w:color w:val="auto"/>
              </w:rPr>
            </w:pPr>
          </w:p>
        </w:tc>
      </w:tr>
      <w:tr>
        <w:trPr>
          <w:trHeight w:val="36"/>
        </w:trPr>
        <w:tc>
          <w:tcPr>
            <w:tcW w:w="1280" w:type="dxa"/>
            <w:vAlign w:val="bottom"/>
            <w:tcBorders>
              <w:left w:val="single" w:sz="8" w:color="auto"/>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380" w:type="dxa"/>
            <w:vAlign w:val="bottom"/>
          </w:tcPr>
          <w:p>
            <w:pPr>
              <w:jc w:val="center"/>
              <w:ind w:left="123"/>
              <w:spacing w:after="0"/>
              <w:rPr>
                <w:sz w:val="20"/>
                <w:szCs w:val="20"/>
                <w:color w:val="auto"/>
              </w:rPr>
            </w:pPr>
            <w:r>
              <w:rPr>
                <w:rFonts w:ascii="Arial" w:cs="Arial" w:eastAsia="Arial" w:hAnsi="Arial"/>
                <w:sz w:val="15"/>
                <w:szCs w:val="15"/>
                <w:color w:val="auto"/>
                <w:w w:val="91"/>
              </w:rPr>
              <w:t>Net Fee Due</w:t>
            </w:r>
          </w:p>
        </w:tc>
        <w:tc>
          <w:tcPr>
            <w:tcW w:w="138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$29,513.34</w:t>
            </w:r>
          </w:p>
        </w:tc>
        <w:tc>
          <w:tcPr>
            <w:tcW w:w="0" w:type="dxa"/>
            <w:vAlign w:val="bottom"/>
          </w:tcPr>
          <w:p>
            <w:pPr>
              <w:spacing w:after="0"/>
              <w:rPr>
                <w:sz w:val="1"/>
                <w:szCs w:val="1"/>
                <w:color w:val="auto"/>
              </w:rPr>
            </w:pPr>
          </w:p>
        </w:tc>
      </w:tr>
      <w:tr>
        <w:trPr>
          <w:trHeight w:val="36"/>
        </w:trPr>
        <w:tc>
          <w:tcPr>
            <w:tcW w:w="1280" w:type="dxa"/>
            <w:vAlign w:val="bottom"/>
            <w:tcBorders>
              <w:left w:val="single" w:sz="8" w:color="auto"/>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420" w:hanging="417"/>
        <w:spacing w:after="0" w:line="227"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Pursuant to Rule 416 under the Securities Act of 1933, as amended (the “Securities Act”), this registration statement also covers any additional shares of the registrant’s common stock that become issuable under The Toro Company 2022 Equity and Incentive Plan (the “2022 Plan”) by reason of any stock split, stock dividend or other similar transaction effected without receipt of consideration where the registrant’s outstanding shares of common stock are increased, converted or exchanged.</w:t>
      </w:r>
    </w:p>
    <w:p>
      <w:pPr>
        <w:spacing w:after="0" w:line="72" w:lineRule="exact"/>
        <w:rPr>
          <w:rFonts w:ascii="Arial" w:cs="Arial" w:eastAsia="Arial" w:hAnsi="Arial"/>
          <w:sz w:val="14"/>
          <w:szCs w:val="14"/>
          <w:color w:val="auto"/>
        </w:rPr>
      </w:pPr>
    </w:p>
    <w:p>
      <w:pPr>
        <w:ind w:left="420" w:hanging="417"/>
        <w:spacing w:after="0" w:line="235"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and calculated pursuant to Rule 457(c) and Rule 457(h) under the Securities Act on the basis of the average of the high and low sales prices of the registrant’s common stock, as reported by the New York Stock Exchange on March 17, 2022.</w:t>
      </w:r>
    </w:p>
    <w:p>
      <w:pPr>
        <w:spacing w:after="0" w:line="71" w:lineRule="exact"/>
        <w:rPr>
          <w:rFonts w:ascii="Arial" w:cs="Arial" w:eastAsia="Arial" w:hAnsi="Arial"/>
          <w:sz w:val="14"/>
          <w:szCs w:val="14"/>
          <w:color w:val="auto"/>
        </w:rPr>
      </w:pPr>
    </w:p>
    <w:p>
      <w:pPr>
        <w:ind w:left="420" w:hanging="417"/>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shares of the registrant’s common stock available for issuance under the 2022 Plan.</w:t>
      </w:r>
    </w:p>
    <w:p>
      <w:pPr>
        <w:spacing w:after="0" w:line="84" w:lineRule="exact"/>
        <w:rPr>
          <w:rFonts w:ascii="Arial" w:cs="Arial" w:eastAsia="Arial" w:hAnsi="Arial"/>
          <w:sz w:val="14"/>
          <w:szCs w:val="14"/>
          <w:color w:val="auto"/>
        </w:rPr>
      </w:pPr>
    </w:p>
    <w:p>
      <w:pPr>
        <w:jc w:val="both"/>
        <w:ind w:left="420" w:hanging="417"/>
        <w:spacing w:after="0" w:line="223"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shares of the registrant’s common stock remaining available for issuance under The Toro Company Amended and Restated 2010 Equity and Incentive Plan, as amended and restated (the “2010 Plan”), as of the effective date of the 2022 Plan (the “Effective Date”) but not subject to outstanding awards as of the Effective Date. These shares were previously registered on Registration Statements on Form S-8 (Registration Statement Nos. 333-165582 and 333-204336). A post-effective amendment to the foregoing Registration Statement on Form S-8 is being filed contemporaneously with the filing of this Registration Statement on Form S-8 to deregister such shares.</w:t>
      </w:r>
    </w:p>
    <w:sectPr>
      <w:pgSz w:w="11900" w:h="16838" w:orient="portrait"/>
      <w:cols w:equalWidth="0" w:num="1">
        <w:col w:w="11240"/>
      </w:cols>
      <w:pgMar w:left="320" w:top="4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107"/>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1"/>
      <w:numFmt w:val="lowerLetter"/>
      <w:start w:val="1"/>
    </w:lvl>
    <w:lvl w:ilvl="1">
      <w:lvlJc w:val="left"/>
      <w:lvlText w:val="(%2)"/>
      <w:numFmt w:val="decimal"/>
      <w:start w:val="2"/>
    </w:lvl>
  </w:abstractNum>
  <w:abstractNum w:abstractNumId="6">
    <w:nsid w:val="79E2A9E3"/>
    <w:multiLevelType w:val="hybridMultilevel"/>
    <w:lvl w:ilvl="0">
      <w:lvlJc w:val="left"/>
      <w:lvlText w:val="(%1)"/>
      <w:numFmt w:val="low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10" Type="http://schemas.openxmlformats.org/officeDocument/2006/relationships/hyperlink" Target="https://www.sec.gov/ix?doc=/Archives/edgar/data/0000737758/000073775821000030/ttc-20211031.htm" TargetMode="External"/><Relationship Id="rId11" Type="http://schemas.openxmlformats.org/officeDocument/2006/relationships/hyperlink" Target="https://www.sec.gov/ix?doc=/Archives/edgar/data/737758/000073775822000006/ttc-20220128.htm" TargetMode="External"/><Relationship Id="rId12" Type="http://schemas.openxmlformats.org/officeDocument/2006/relationships/hyperlink" Target="https://www.sec.gov/ix?doc=/Archives/edgar/data/0000737758/000114036122001679/brhc10032851_8k.htm" TargetMode="External"/><Relationship Id="rId13" Type="http://schemas.openxmlformats.org/officeDocument/2006/relationships/hyperlink" Target="https://www.sec.gov/ix?doc=/Archives/edgar/data/737758/000156459022010675/ttc-8k_20220315.htm" TargetMode="External"/><Relationship Id="rId14" Type="http://schemas.openxmlformats.org/officeDocument/2006/relationships/hyperlink" Target="http://www.sec.gov/Archives/edgar/data/737758/000073775821000030/ttc-10312021xex45.htm" TargetMode="External"/><Relationship Id="rId18" Type="http://schemas.openxmlformats.org/officeDocument/2006/relationships/hyperlink" Target="http://www.sec.gov/Archives/edgar/data/737758/000073775808000033/form8-k06172008exhibitcert.htm" TargetMode="External"/><Relationship Id="rId19" Type="http://schemas.openxmlformats.org/officeDocument/2006/relationships/hyperlink" Target="http://www.sec.gov/Archives/edgar/data/737758/000119312513105223/d501846dex31.htm" TargetMode="External"/><Relationship Id="rId20" Type="http://schemas.openxmlformats.org/officeDocument/2006/relationships/hyperlink" Target="http://www.sec.gov/Archives/edgar/data/737758/000110465916133324/a16-15127_1ex3d1.htm" TargetMode="External"/><Relationship Id="rId21" Type="http://schemas.openxmlformats.org/officeDocument/2006/relationships/hyperlink" Target="http://www.sec.gov/Archives/edgar/data/737758/000073775808000041/stock_certificate1.htm" TargetMode="External"/><Relationship Id="rId22" Type="http://schemas.openxmlformats.org/officeDocument/2006/relationships/hyperlink" Target="http://www.sec.gov/Archives/edgar/data/737758/000156459022010675/ttc-ex10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2022-03-23T15:31:10Z</dcterms:created>
  <dcterms:modified xsi:type="dcterms:W3CDTF">2022-03-23T15:31:10Z</dcterms:modified>
</cp:coreProperties>
</file>